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bookmarkStart w:id="0" w:name="_GoBack"/>
      <w:bookmarkEnd w:id="0"/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1" w:name="LGS_Internal_ID"/>
      <w:r>
        <w:rPr>
          <w:rFonts w:cs="David" w:hint="cs"/>
          <w:sz w:val="20"/>
          <w:szCs w:val="20"/>
          <w:rtl/>
        </w:rPr>
        <w:t>2143822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 ושלוש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איתן גינזבורג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מיכל </w:t>
      </w:r>
      <w:proofErr w:type="spellStart"/>
      <w:r>
        <w:rPr>
          <w:rFonts w:hint="cs"/>
          <w:b/>
          <w:bCs/>
          <w:rtl/>
        </w:rPr>
        <w:t>וונש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עינב </w:t>
      </w:r>
      <w:proofErr w:type="spellStart"/>
      <w:r>
        <w:rPr>
          <w:rFonts w:hint="cs"/>
          <w:b/>
          <w:bCs/>
          <w:rtl/>
        </w:rPr>
        <w:t>קאבלה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b/>
          <w:bCs/>
          <w:rtl/>
        </w:rPr>
        <w:t>תהלה</w:t>
      </w:r>
      <w:proofErr w:type="spellEnd"/>
      <w:r>
        <w:rPr>
          <w:rFonts w:hint="cs"/>
          <w:b/>
          <w:bCs/>
          <w:rtl/>
        </w:rPr>
        <w:t xml:space="preserve"> פרידמן</w:t>
      </w:r>
      <w:bookmarkEnd w:id="4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7" w:name="Private_Number"/>
      <w:r>
        <w:rPr>
          <w:rFonts w:hint="cs"/>
          <w:rtl/>
        </w:rPr>
        <w:t>פ/1728/23</w:t>
      </w:r>
      <w:bookmarkEnd w:id="7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>הצעת חוק-יסוד: כבוד האדם וחירותו (תיקון – הזכות לשוויון)</w:t>
      </w:r>
      <w:bookmarkEnd w:id="8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1872"/>
        <w:gridCol w:w="624"/>
        <w:gridCol w:w="4650"/>
      </w:tblGrid>
      <w:tr w:rsidR="002F1D80" w14:paraId="035EEF3D" w14:textId="77777777" w:rsidTr="007224CB">
        <w:trPr>
          <w:cantSplit/>
          <w:trHeight w:val="60"/>
        </w:trPr>
        <w:tc>
          <w:tcPr>
            <w:tcW w:w="1871" w:type="dxa"/>
          </w:tcPr>
          <w:p w14:paraId="3863FF98" w14:textId="4D40AC27" w:rsidR="002F1D80" w:rsidRDefault="00267226" w:rsidP="002C3041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הוספת סעיף 5א</w:t>
            </w:r>
          </w:p>
        </w:tc>
        <w:tc>
          <w:tcPr>
            <w:tcW w:w="624" w:type="dxa"/>
          </w:tcPr>
          <w:p w14:paraId="6F513EF6" w14:textId="017E4390" w:rsidR="002F1D80" w:rsidRDefault="00267226" w:rsidP="002C3041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3"/>
          </w:tcPr>
          <w:p w14:paraId="1AE94DEB" w14:textId="49A7644F" w:rsidR="002F1D80" w:rsidRPr="00A357AA" w:rsidRDefault="00267226" w:rsidP="00267226">
            <w:pPr>
              <w:pStyle w:val="TableHead"/>
              <w:keepLines w:val="0"/>
              <w:jc w:val="both"/>
              <w:rPr>
                <w:b w:val="0"/>
                <w:bCs w:val="0"/>
              </w:rPr>
            </w:pPr>
            <w:r w:rsidRPr="00A357AA">
              <w:rPr>
                <w:rFonts w:hint="cs"/>
                <w:b w:val="0"/>
                <w:bCs w:val="0"/>
                <w:rtl/>
              </w:rPr>
              <w:t>בחוק</w:t>
            </w:r>
            <w:r w:rsidR="004F3006">
              <w:rPr>
                <w:rFonts w:hint="cs"/>
                <w:b w:val="0"/>
                <w:bCs w:val="0"/>
                <w:rtl/>
              </w:rPr>
              <w:t>-</w:t>
            </w:r>
            <w:r w:rsidRPr="00A357AA">
              <w:rPr>
                <w:rFonts w:hint="cs"/>
                <w:b w:val="0"/>
                <w:bCs w:val="0"/>
                <w:rtl/>
              </w:rPr>
              <w:t>יסוד: כבוד האדם וחירותו</w:t>
            </w:r>
            <w:r w:rsidR="00A357AA" w:rsidRPr="00A357AA">
              <w:rPr>
                <w:rStyle w:val="a5"/>
                <w:b w:val="0"/>
                <w:bCs w:val="0"/>
                <w:rtl/>
              </w:rPr>
              <w:footnoteReference w:id="2"/>
            </w:r>
            <w:r w:rsidR="00DC45E6">
              <w:rPr>
                <w:rFonts w:hint="cs"/>
                <w:b w:val="0"/>
                <w:bCs w:val="0"/>
                <w:rtl/>
              </w:rPr>
              <w:t>, אחרי סעיף 5 יבוא –</w:t>
            </w:r>
          </w:p>
        </w:tc>
      </w:tr>
      <w:tr w:rsidR="00A87608" w14:paraId="6B6FD05F" w14:textId="77777777">
        <w:trPr>
          <w:cantSplit/>
          <w:trHeight w:val="60"/>
        </w:trPr>
        <w:tc>
          <w:tcPr>
            <w:tcW w:w="1871" w:type="dxa"/>
          </w:tcPr>
          <w:p w14:paraId="10F5882D" w14:textId="77777777" w:rsidR="00A87608" w:rsidRDefault="00A87608" w:rsidP="00A8760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675DF98" w14:textId="77777777" w:rsidR="00A87608" w:rsidRDefault="00A87608" w:rsidP="00A87608">
            <w:pPr>
              <w:pStyle w:val="TableText"/>
              <w:keepLines w:val="0"/>
            </w:pPr>
          </w:p>
        </w:tc>
        <w:tc>
          <w:tcPr>
            <w:tcW w:w="1872" w:type="dxa"/>
          </w:tcPr>
          <w:p w14:paraId="2FB6E04F" w14:textId="77777777" w:rsidR="00A87608" w:rsidRDefault="00A87608" w:rsidP="00A87608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שוויון בפני החוק </w:t>
            </w:r>
          </w:p>
          <w:p w14:paraId="630F9B5D" w14:textId="1436C12C" w:rsidR="00A87608" w:rsidRDefault="00A87608" w:rsidP="00A87608">
            <w:pPr>
              <w:pStyle w:val="TableInnerSideHeading"/>
            </w:pPr>
            <w:r>
              <w:rPr>
                <w:rFonts w:hint="cs"/>
                <w:rtl/>
              </w:rPr>
              <w:t xml:space="preserve">ואיסור </w:t>
            </w:r>
            <w:r w:rsidR="00CC0620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פליה</w:t>
            </w:r>
          </w:p>
        </w:tc>
        <w:tc>
          <w:tcPr>
            <w:tcW w:w="624" w:type="dxa"/>
          </w:tcPr>
          <w:p w14:paraId="68C8341F" w14:textId="33F3750D" w:rsidR="00A87608" w:rsidRDefault="00A87608" w:rsidP="00A87608">
            <w:pPr>
              <w:pStyle w:val="TableText"/>
            </w:pPr>
            <w:r>
              <w:rPr>
                <w:rFonts w:hint="cs"/>
                <w:rtl/>
              </w:rPr>
              <w:t>5א.</w:t>
            </w:r>
          </w:p>
        </w:tc>
        <w:tc>
          <w:tcPr>
            <w:tcW w:w="4650" w:type="dxa"/>
          </w:tcPr>
          <w:p w14:paraId="63847455" w14:textId="1DDE4AB8" w:rsidR="00A87608" w:rsidRDefault="00A87608" w:rsidP="00A87608">
            <w:pPr>
              <w:pStyle w:val="TableBlock"/>
            </w:pPr>
            <w:r>
              <w:rPr>
                <w:rFonts w:hint="cs"/>
                <w:rtl/>
              </w:rPr>
              <w:t>"הכול שווים בפני החוק; אין מפלים בין אדם לאדם במישרין או בעקיפין, להלכה או למעשה".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A0A2250" w14:textId="0188422F" w:rsidR="00FD4054" w:rsidRDefault="00A155A0" w:rsidP="00A87608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בהצעת חוק זו מוצע לעגן במסגרת חוק</w:t>
      </w:r>
      <w:r w:rsidR="00D27DAA">
        <w:rPr>
          <w:rFonts w:hint="cs"/>
          <w:rtl/>
        </w:rPr>
        <w:t>-</w:t>
      </w:r>
      <w:r>
        <w:rPr>
          <w:rFonts w:hint="cs"/>
          <w:rtl/>
        </w:rPr>
        <w:t>יסוד: כבוד</w:t>
      </w:r>
      <w:r w:rsidR="00D27DA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האדם וחירותו את הזכות לשוויון ואת האיסור על </w:t>
      </w:r>
      <w:r w:rsidR="00CC0620">
        <w:rPr>
          <w:rFonts w:hint="cs"/>
          <w:rtl/>
        </w:rPr>
        <w:t>הפליה</w:t>
      </w:r>
      <w:r>
        <w:rPr>
          <w:rFonts w:hint="cs"/>
          <w:rtl/>
        </w:rPr>
        <w:t xml:space="preserve">. </w:t>
      </w:r>
    </w:p>
    <w:p w14:paraId="5E313933" w14:textId="4A4EBC73" w:rsidR="00FD4054" w:rsidRDefault="00A155A0" w:rsidP="00A87608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אף שעקרון השוויון מוכר כעקרון יסוד של הדמוקרטיה הישראלית הזוכה למעמד חוקתי ואף שהוא רכיב הכרחי בכל דמוקרטיה חוקתית שלאחר מלחמת העולם</w:t>
      </w:r>
      <w:r w:rsidR="00D27DAA">
        <w:rPr>
          <w:rFonts w:hint="cs"/>
          <w:rtl/>
        </w:rPr>
        <w:t xml:space="preserve"> השנייה</w:t>
      </w:r>
      <w:r w:rsidR="004F3006">
        <w:rPr>
          <w:rFonts w:hint="cs"/>
          <w:rtl/>
        </w:rPr>
        <w:t>,</w:t>
      </w:r>
      <w:r>
        <w:rPr>
          <w:rFonts w:hint="cs"/>
          <w:rtl/>
        </w:rPr>
        <w:t xml:space="preserve"> הוא אינו אחת מהזכויות המנויות </w:t>
      </w:r>
      <w:r w:rsidR="00D27DAA">
        <w:rPr>
          <w:rFonts w:hint="cs"/>
          <w:rtl/>
        </w:rPr>
        <w:t xml:space="preserve">במפורש </w:t>
      </w:r>
      <w:r>
        <w:rPr>
          <w:rFonts w:hint="cs"/>
          <w:rtl/>
        </w:rPr>
        <w:t xml:space="preserve">בחוק-יסוד: כבוד האדם וחירותו. </w:t>
      </w:r>
      <w:r w:rsidR="00D27DAA">
        <w:rPr>
          <w:rFonts w:hint="cs"/>
          <w:rtl/>
        </w:rPr>
        <w:t xml:space="preserve">כך, </w:t>
      </w:r>
      <w:r>
        <w:rPr>
          <w:rFonts w:hint="cs"/>
          <w:rtl/>
        </w:rPr>
        <w:t>הזכות לשוויון נותרה עד היום אחת מזכויות היסוד שאינן כתובות עלי ספר, אף שהיא זכתה להכרה בחקיקה ובפסיקה</w:t>
      </w:r>
      <w:r w:rsidR="00FD4054">
        <w:rPr>
          <w:rFonts w:hint="cs"/>
          <w:rtl/>
        </w:rPr>
        <w:t>, בין היתר בקביעתו של</w:t>
      </w:r>
      <w:r>
        <w:rPr>
          <w:rFonts w:hint="cs"/>
          <w:rtl/>
        </w:rPr>
        <w:t xml:space="preserve"> בית המשפט העליון שהזכות החוקתית לכבוד האדם כוללת</w:t>
      </w:r>
      <w:r w:rsidR="00FD4054">
        <w:rPr>
          <w:rFonts w:hint="cs"/>
          <w:rtl/>
        </w:rPr>
        <w:t>,</w:t>
      </w:r>
      <w:r>
        <w:rPr>
          <w:rFonts w:hint="cs"/>
          <w:rtl/>
        </w:rPr>
        <w:t xml:space="preserve"> בנסיבות מסוימות</w:t>
      </w:r>
      <w:r w:rsidR="00FD4054">
        <w:rPr>
          <w:rFonts w:hint="cs"/>
          <w:rtl/>
        </w:rPr>
        <w:t>,</w:t>
      </w:r>
      <w:r>
        <w:rPr>
          <w:rFonts w:hint="cs"/>
          <w:rtl/>
        </w:rPr>
        <w:t xml:space="preserve"> את האיסור על </w:t>
      </w:r>
      <w:r w:rsidR="00CC0620">
        <w:rPr>
          <w:rFonts w:hint="cs"/>
          <w:rtl/>
        </w:rPr>
        <w:t>הפליה</w:t>
      </w:r>
      <w:r>
        <w:rPr>
          <w:rFonts w:hint="cs"/>
          <w:rtl/>
        </w:rPr>
        <w:t xml:space="preserve">. אולם הכרה זו היא חלקית והזכות לשוויון והאיסור על </w:t>
      </w:r>
      <w:r w:rsidR="00CC0620">
        <w:rPr>
          <w:rFonts w:hint="cs"/>
          <w:rtl/>
        </w:rPr>
        <w:t>הפליה</w:t>
      </w:r>
      <w:r>
        <w:rPr>
          <w:rFonts w:hint="cs"/>
          <w:rtl/>
        </w:rPr>
        <w:t xml:space="preserve"> זוכים להגנה חוקתית חלשה וחסרה.</w:t>
      </w:r>
      <w:r w:rsidR="00FD4054">
        <w:rPr>
          <w:rFonts w:hint="cs"/>
          <w:rtl/>
        </w:rPr>
        <w:t xml:space="preserve"> </w:t>
      </w:r>
    </w:p>
    <w:p w14:paraId="76D289C0" w14:textId="098EDD67" w:rsidR="00A155A0" w:rsidRDefault="00FD4054" w:rsidP="00A87608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יש לציין ש</w:t>
      </w:r>
      <w:r w:rsidR="00A155A0">
        <w:rPr>
          <w:rFonts w:hint="cs"/>
          <w:rtl/>
        </w:rPr>
        <w:t xml:space="preserve">בהשוואה בינלאומית, ישראל חריגה מאוד באי-הכרתה בזכות לשוויון ובאיסור על </w:t>
      </w:r>
      <w:r w:rsidR="00CC0620">
        <w:rPr>
          <w:rFonts w:hint="cs"/>
          <w:rtl/>
        </w:rPr>
        <w:t>הפליה</w:t>
      </w:r>
      <w:r w:rsidR="00A155A0">
        <w:rPr>
          <w:rFonts w:hint="cs"/>
          <w:rtl/>
        </w:rPr>
        <w:t xml:space="preserve"> בחוקי היסוד שלה. הכרה חסרה זו מונעת את ההגנה המלאה על הזכות לשוויון</w:t>
      </w:r>
      <w:r>
        <w:rPr>
          <w:rFonts w:hint="cs"/>
          <w:rtl/>
        </w:rPr>
        <w:t xml:space="preserve"> והיא </w:t>
      </w:r>
      <w:r w:rsidR="00A155A0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בעלת </w:t>
      </w:r>
      <w:r w:rsidR="00A155A0">
        <w:rPr>
          <w:rFonts w:hint="cs"/>
          <w:rtl/>
        </w:rPr>
        <w:t xml:space="preserve">משמעות סמלית וזהותית. הכרה מפורשת בזכות לשוויון ובאיסור על </w:t>
      </w:r>
      <w:r w:rsidR="00CC0620">
        <w:rPr>
          <w:rFonts w:hint="cs"/>
          <w:rtl/>
        </w:rPr>
        <w:t>הפליה</w:t>
      </w:r>
      <w:r w:rsidR="00A155A0">
        <w:rPr>
          <w:rFonts w:hint="cs"/>
          <w:rtl/>
        </w:rPr>
        <w:t xml:space="preserve"> תחזק את ההכרה בקרב מקבלי ההחלטות והציבור</w:t>
      </w:r>
      <w:r>
        <w:rPr>
          <w:rFonts w:hint="cs"/>
          <w:rtl/>
        </w:rPr>
        <w:t xml:space="preserve"> </w:t>
      </w:r>
      <w:r w:rsidR="00A155A0">
        <w:rPr>
          <w:rFonts w:hint="cs"/>
          <w:rtl/>
        </w:rPr>
        <w:t>בדבר מעמדה של הזכות לשוויון בישראל.</w:t>
      </w:r>
      <w:r>
        <w:rPr>
          <w:rFonts w:hint="cs"/>
          <w:rtl/>
        </w:rPr>
        <w:t xml:space="preserve"> דבר זה חשוב במיוחד לאור העובדה ש</w:t>
      </w:r>
      <w:r w:rsidR="00A155A0">
        <w:rPr>
          <w:rFonts w:hint="cs"/>
          <w:rtl/>
        </w:rPr>
        <w:t>מעמדה החוקתי של הזכות לשוויון נחלש עוד יותר בעקבות חקיקת חוק</w:t>
      </w:r>
      <w:r w:rsidR="00D27DAA">
        <w:rPr>
          <w:rFonts w:hint="cs"/>
          <w:rtl/>
        </w:rPr>
        <w:t>-</w:t>
      </w:r>
      <w:r w:rsidR="00A155A0">
        <w:rPr>
          <w:rFonts w:hint="cs"/>
          <w:rtl/>
        </w:rPr>
        <w:t xml:space="preserve">יסוד: ישראל </w:t>
      </w:r>
      <w:r w:rsidR="00A155A0">
        <w:rPr>
          <w:rtl/>
        </w:rPr>
        <w:t>–</w:t>
      </w:r>
      <w:r w:rsidR="00A155A0">
        <w:rPr>
          <w:rFonts w:hint="cs"/>
          <w:rtl/>
        </w:rPr>
        <w:t xml:space="preserve"> מדינת הלאום של העם היהודי, אשר הדגיש את הזיקה בין מדינת ישראל לבין קבוצת הרוב היהודי, באופן שנתפס כמעדיף קבוצה אחת של אזרחים על פני הקבוצה האחרת. </w:t>
      </w:r>
    </w:p>
    <w:p w14:paraId="6A27C1E0" w14:textId="77777777" w:rsidR="00A87608" w:rsidRDefault="00A87608" w:rsidP="00A87608">
      <w:pPr>
        <w:pStyle w:val="Hesber"/>
        <w:spacing w:line="240" w:lineRule="auto"/>
        <w:rPr>
          <w:rtl/>
        </w:rPr>
      </w:pPr>
    </w:p>
    <w:p w14:paraId="1555C04E" w14:textId="77777777" w:rsidR="00A87608" w:rsidRPr="00D73212" w:rsidRDefault="00A87608" w:rsidP="00A87608">
      <w:pPr>
        <w:pStyle w:val="Hesber"/>
        <w:spacing w:line="240" w:lineRule="auto"/>
        <w:ind w:firstLine="0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15BF2444" w14:textId="77777777" w:rsidR="00A87608" w:rsidRPr="0051670D" w:rsidRDefault="00A87608" w:rsidP="00A87608">
      <w:pPr>
        <w:pStyle w:val="Hesber"/>
        <w:spacing w:line="240" w:lineRule="auto"/>
        <w:ind w:firstLine="0"/>
        <w:rPr>
          <w:color w:val="auto"/>
          <w:sz w:val="26"/>
          <w:rtl/>
          <w:lang w:eastAsia="en-US"/>
        </w:rPr>
      </w:pPr>
      <w:r w:rsidRPr="0051670D">
        <w:rPr>
          <w:rFonts w:hint="cs"/>
          <w:color w:val="auto"/>
          <w:sz w:val="26"/>
          <w:rtl/>
          <w:lang w:eastAsia="en-US"/>
        </w:rPr>
        <w:t>הוגשה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ליו</w:t>
      </w:r>
      <w:r w:rsidRPr="0051670D">
        <w:rPr>
          <w:color w:val="auto"/>
          <w:sz w:val="26"/>
          <w:rtl/>
          <w:lang w:eastAsia="en-US"/>
        </w:rPr>
        <w:t>"</w:t>
      </w:r>
      <w:r w:rsidRPr="0051670D">
        <w:rPr>
          <w:rFonts w:hint="cs"/>
          <w:color w:val="auto"/>
          <w:sz w:val="26"/>
          <w:rtl/>
          <w:lang w:eastAsia="en-US"/>
        </w:rPr>
        <w:t>ר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הכנסת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והסגנים</w:t>
      </w:r>
    </w:p>
    <w:p w14:paraId="60DEF375" w14:textId="77777777" w:rsidR="00A87608" w:rsidRPr="0051670D" w:rsidRDefault="00A87608" w:rsidP="00A87608">
      <w:pPr>
        <w:pStyle w:val="Hesber"/>
        <w:spacing w:line="240" w:lineRule="auto"/>
        <w:ind w:firstLine="0"/>
        <w:rPr>
          <w:color w:val="auto"/>
          <w:sz w:val="26"/>
          <w:rtl/>
          <w:lang w:eastAsia="en-US"/>
        </w:rPr>
      </w:pPr>
      <w:r w:rsidRPr="0051670D">
        <w:rPr>
          <w:rFonts w:hint="cs"/>
          <w:color w:val="auto"/>
          <w:sz w:val="26"/>
          <w:rtl/>
          <w:lang w:eastAsia="en-US"/>
        </w:rPr>
        <w:t>והונחה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על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שולחן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הכנסת</w:t>
      </w:r>
      <w:r w:rsidRPr="0051670D">
        <w:rPr>
          <w:color w:val="auto"/>
          <w:sz w:val="26"/>
          <w:rtl/>
          <w:lang w:eastAsia="en-US"/>
        </w:rPr>
        <w:t xml:space="preserve"> </w:t>
      </w:r>
      <w:r w:rsidRPr="0051670D">
        <w:rPr>
          <w:rFonts w:hint="cs"/>
          <w:color w:val="auto"/>
          <w:sz w:val="26"/>
          <w:rtl/>
          <w:lang w:eastAsia="en-US"/>
        </w:rPr>
        <w:t>ביום</w:t>
      </w:r>
    </w:p>
    <w:p w14:paraId="642EB687" w14:textId="77777777" w:rsidR="00A87608" w:rsidRPr="0051670D" w:rsidRDefault="00A87608" w:rsidP="00A87608">
      <w:pPr>
        <w:pStyle w:val="Hesber"/>
        <w:spacing w:line="240" w:lineRule="auto"/>
        <w:ind w:firstLine="0"/>
        <w:rPr>
          <w:sz w:val="26"/>
          <w:rtl/>
        </w:rPr>
      </w:pPr>
      <w:r>
        <w:rPr>
          <w:rFonts w:hint="cs"/>
          <w:color w:val="auto"/>
          <w:rtl/>
          <w:lang w:eastAsia="en-US"/>
        </w:rPr>
        <w:t>י"ג</w:t>
      </w:r>
      <w:r w:rsidRPr="0051670D">
        <w:rPr>
          <w:rFonts w:hint="cs"/>
          <w:color w:val="auto"/>
          <w:sz w:val="26"/>
          <w:rtl/>
          <w:lang w:eastAsia="en-US"/>
        </w:rPr>
        <w:t xml:space="preserve"> ב</w:t>
      </w:r>
      <w:r>
        <w:rPr>
          <w:rFonts w:hint="cs"/>
          <w:color w:val="auto"/>
          <w:sz w:val="26"/>
          <w:rtl/>
          <w:lang w:eastAsia="en-US"/>
        </w:rPr>
        <w:t>אב</w:t>
      </w:r>
      <w:r w:rsidRPr="0051670D">
        <w:rPr>
          <w:rFonts w:hint="cs"/>
          <w:color w:val="auto"/>
          <w:sz w:val="26"/>
          <w:rtl/>
          <w:lang w:eastAsia="en-US"/>
        </w:rPr>
        <w:t xml:space="preserve"> </w:t>
      </w:r>
      <w:proofErr w:type="spellStart"/>
      <w:r w:rsidRPr="0051670D">
        <w:rPr>
          <w:rFonts w:hint="cs"/>
          <w:color w:val="auto"/>
          <w:sz w:val="26"/>
          <w:rtl/>
          <w:lang w:eastAsia="en-US"/>
        </w:rPr>
        <w:t>התש"ף</w:t>
      </w:r>
      <w:proofErr w:type="spellEnd"/>
      <w:r w:rsidRPr="0051670D">
        <w:rPr>
          <w:rFonts w:hint="cs"/>
          <w:color w:val="auto"/>
          <w:sz w:val="26"/>
          <w:rtl/>
          <w:lang w:eastAsia="en-US"/>
        </w:rPr>
        <w:t xml:space="preserve"> </w:t>
      </w:r>
      <w:r w:rsidRPr="0051670D">
        <w:rPr>
          <w:color w:val="auto"/>
          <w:sz w:val="26"/>
          <w:rtl/>
          <w:lang w:eastAsia="en-US"/>
        </w:rPr>
        <w:t>–</w:t>
      </w:r>
      <w:r w:rsidRPr="0051670D">
        <w:rPr>
          <w:rFonts w:hint="cs"/>
          <w:color w:val="auto"/>
          <w:sz w:val="26"/>
          <w:rtl/>
          <w:lang w:eastAsia="en-US"/>
        </w:rPr>
        <w:t xml:space="preserve"> </w:t>
      </w:r>
      <w:r>
        <w:rPr>
          <w:rFonts w:hint="cs"/>
          <w:color w:val="auto"/>
          <w:sz w:val="26"/>
          <w:rtl/>
          <w:lang w:eastAsia="en-US"/>
        </w:rPr>
        <w:t>3.8.20</w:t>
      </w:r>
    </w:p>
    <w:p w14:paraId="1245A849" w14:textId="77777777" w:rsidR="00A87608" w:rsidRDefault="00A87608" w:rsidP="00FD4054">
      <w:pPr>
        <w:pStyle w:val="Hesber"/>
        <w:rPr>
          <w:rtl/>
        </w:rPr>
      </w:pPr>
    </w:p>
    <w:sectPr w:rsidR="00A87608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CC0620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74C0" w14:textId="77777777" w:rsidR="00D142D3" w:rsidRDefault="00D142D3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3FA29BAF" w14:textId="69F58ECC" w:rsidR="00A357AA" w:rsidRDefault="00A357AA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>, עמ' 150.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6722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65592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4F3006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224CB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E6F7B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9F79F5"/>
    <w:rsid w:val="00A14672"/>
    <w:rsid w:val="00A155A0"/>
    <w:rsid w:val="00A26BD6"/>
    <w:rsid w:val="00A357AA"/>
    <w:rsid w:val="00A443CF"/>
    <w:rsid w:val="00A6611D"/>
    <w:rsid w:val="00A82CB7"/>
    <w:rsid w:val="00A87608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C0620"/>
    <w:rsid w:val="00CF1AA2"/>
    <w:rsid w:val="00D142D3"/>
    <w:rsid w:val="00D17774"/>
    <w:rsid w:val="00D27DAA"/>
    <w:rsid w:val="00D365C3"/>
    <w:rsid w:val="00D63620"/>
    <w:rsid w:val="00D8410D"/>
    <w:rsid w:val="00D867D7"/>
    <w:rsid w:val="00DB7060"/>
    <w:rsid w:val="00DC45E6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567A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619AA679-099B-4458-B50E-AD2BD87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6E9C754E1F7C4C891E9EE2E0AF8150" ma:contentTypeVersion="" ma:contentTypeDescription="צור מסמך חדש." ma:contentTypeScope="" ma:versionID="9191f7e1bb085ece6465964dba42d442">
  <xsd:schema xmlns:xsd="http://www.w3.org/2001/XMLSchema" xmlns:xs="http://www.w3.org/2001/XMLSchema" xmlns:p="http://schemas.microsoft.com/office/2006/metadata/properties" xmlns:ns2="290d5b49-c690-4c6f-bbb9-1e50dab33eee" targetNamespace="http://schemas.microsoft.com/office/2006/metadata/properties" ma:root="true" ma:fieldsID="fb4ed97e084053ed652bcef757b4ab45" ns2:_="">
    <xsd:import namespace="290d5b49-c690-4c6f-bbb9-1e50dab3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5b49-c690-4c6f-bbb9-1e50dab3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0d5b49-c690-4c6f-bbb9-1e50dab33e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0D34C4-EB8C-4F09-87D2-5DFDB26D2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d5b49-c690-4c6f-bbb9-1e50dab3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46B0B-6AF5-44C8-B284-58E9ADF0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1490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גידו רן</cp:lastModifiedBy>
  <cp:revision>2</cp:revision>
  <cp:lastPrinted>2020-08-02T06:51:00Z</cp:lastPrinted>
  <dcterms:created xsi:type="dcterms:W3CDTF">2020-12-09T14:59:00Z</dcterms:created>
  <dcterms:modified xsi:type="dcterms:W3CDTF">2020-12-09T14:59:00Z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0x0101003D6E9C754E1F7C4C891E9EE2E0AF8150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2143822</vt:r8>
  </property>
</Properties>
</file>