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B806F7" w:rsidP="00982BC1" w14:paraId="3944D632" w14:textId="7C174451">
      <w:pPr>
        <w:pStyle w:val="Heading1"/>
        <w:spacing w:line="269" w:lineRule="auto"/>
        <w:rPr>
          <w:rtl/>
        </w:rPr>
      </w:pPr>
      <w:bookmarkStart w:id="0" w:name="copyNevSelection"/>
      <w:r>
        <w:rPr>
          <w:rFonts w:hint="cs"/>
          <w:rtl/>
        </w:rPr>
        <w:t>שירותים פיננסיים, אשראי ויציבות של גופים פיננסיים במשבר הקורונה</w:t>
      </w:r>
    </w:p>
    <w:p w:rsidR="00B806F7" w:rsidP="00982BC1" w14:paraId="5038DB91" w14:textId="1F93C9E9">
      <w:pPr>
        <w:pStyle w:val="Heading3"/>
        <w:spacing w:before="0" w:line="269" w:lineRule="auto"/>
        <w:rPr>
          <w:rtl/>
        </w:rPr>
      </w:pPr>
      <w:r>
        <w:rPr>
          <w:rFonts w:hint="cs"/>
          <w:rtl/>
        </w:rPr>
        <w:t>מבוא</w:t>
      </w:r>
    </w:p>
    <w:p w:rsidR="00253C38" w:rsidP="00982BC1" w14:paraId="1A5B9960" w14:textId="17A3C4A2">
      <w:pPr>
        <w:pStyle w:val="a"/>
        <w:tabs>
          <w:tab w:val="left" w:pos="1914"/>
        </w:tabs>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85B60" w:rsidP="00982BC1" w14:paraId="4717BCBC" w14:textId="108DE047">
      <w:pPr>
        <w:spacing w:line="269" w:lineRule="auto"/>
        <w:rPr>
          <w:sz w:val="24"/>
          <w:rtl/>
        </w:rPr>
      </w:pPr>
      <w:r w:rsidRPr="005649AA">
        <w:rPr>
          <w:rFonts w:ascii="Tahoma" w:hAnsi="Tahoma"/>
          <w:sz w:val="24"/>
          <w:rtl/>
        </w:rPr>
        <w:t>התפרצות נגיף הקורונה התבטאה בהאטה חדה בפעילות הכלכלית בעולם</w:t>
      </w:r>
      <w:r>
        <w:rPr>
          <w:rFonts w:ascii="Tahoma" w:hAnsi="Tahoma" w:hint="cs"/>
          <w:sz w:val="24"/>
          <w:rtl/>
        </w:rPr>
        <w:t>,</w:t>
      </w:r>
      <w:r w:rsidRPr="005649AA">
        <w:rPr>
          <w:rFonts w:ascii="Tahoma" w:hAnsi="Tahoma" w:hint="cs"/>
          <w:sz w:val="24"/>
          <w:rtl/>
        </w:rPr>
        <w:t xml:space="preserve"> </w:t>
      </w:r>
      <w:r w:rsidRPr="005649AA">
        <w:rPr>
          <w:rFonts w:ascii="Tahoma" w:hAnsi="Tahoma" w:hint="eastAsia"/>
          <w:sz w:val="24"/>
          <w:rtl/>
        </w:rPr>
        <w:t>ו</w:t>
      </w:r>
      <w:r w:rsidRPr="005649AA">
        <w:rPr>
          <w:rFonts w:ascii="Tahoma" w:hAnsi="Tahoma"/>
          <w:sz w:val="24"/>
          <w:rtl/>
        </w:rPr>
        <w:t>גררה משבר כלכל</w:t>
      </w:r>
      <w:r w:rsidRPr="005649AA">
        <w:rPr>
          <w:rFonts w:ascii="Tahoma" w:hAnsi="Tahoma" w:hint="eastAsia"/>
          <w:sz w:val="24"/>
          <w:rtl/>
        </w:rPr>
        <w:t>י</w:t>
      </w:r>
      <w:r w:rsidRPr="005649AA">
        <w:rPr>
          <w:rFonts w:ascii="Tahoma" w:hAnsi="Tahoma"/>
          <w:sz w:val="24"/>
          <w:rtl/>
        </w:rPr>
        <w:t xml:space="preserve"> גם בישראל</w:t>
      </w:r>
      <w:r>
        <w:rPr>
          <w:rFonts w:ascii="Tahoma" w:hAnsi="Tahoma" w:hint="cs"/>
          <w:sz w:val="24"/>
          <w:rtl/>
        </w:rPr>
        <w:t xml:space="preserve"> (להלן - המשבר או משבר הקורונה)</w:t>
      </w:r>
      <w:r w:rsidRPr="005649AA">
        <w:rPr>
          <w:rFonts w:ascii="Tahoma" w:hAnsi="Tahoma" w:hint="cs"/>
          <w:sz w:val="24"/>
          <w:rtl/>
        </w:rPr>
        <w:t>. משבר זה</w:t>
      </w:r>
      <w:r>
        <w:rPr>
          <w:rFonts w:ascii="Tahoma" w:hAnsi="Tahoma" w:hint="cs"/>
          <w:sz w:val="24"/>
          <w:rtl/>
        </w:rPr>
        <w:t xml:space="preserve"> </w:t>
      </w:r>
      <w:r w:rsidRPr="005649AA">
        <w:rPr>
          <w:rFonts w:ascii="Tahoma" w:hAnsi="Tahoma"/>
          <w:sz w:val="24"/>
          <w:rtl/>
        </w:rPr>
        <w:t>התאפיין במצוקת נזילו</w:t>
      </w:r>
      <w:r>
        <w:rPr>
          <w:rFonts w:ascii="Tahoma" w:hAnsi="Tahoma" w:hint="cs"/>
          <w:sz w:val="24"/>
          <w:rtl/>
        </w:rPr>
        <w:t>ּ</w:t>
      </w:r>
      <w:r w:rsidRPr="005649AA">
        <w:rPr>
          <w:rFonts w:ascii="Tahoma" w:hAnsi="Tahoma"/>
          <w:sz w:val="24"/>
          <w:rtl/>
        </w:rPr>
        <w:t>ת של משקי בית ועסקים רבים.</w:t>
      </w:r>
      <w:r w:rsidRPr="005649AA">
        <w:rPr>
          <w:rFonts w:ascii="Tahoma" w:hAnsi="Tahoma" w:hint="cs"/>
          <w:sz w:val="24"/>
          <w:rtl/>
        </w:rPr>
        <w:t xml:space="preserve"> </w:t>
      </w:r>
      <w:r w:rsidRPr="005649AA">
        <w:rPr>
          <w:rFonts w:ascii="Tahoma" w:hAnsi="Tahoma"/>
          <w:sz w:val="24"/>
          <w:rtl/>
        </w:rPr>
        <w:t>התרחבות המשבר הבריאותי מחוץ לסין הובילה לבהלה בשווקים הפיננס</w:t>
      </w:r>
      <w:r w:rsidRPr="005649AA">
        <w:rPr>
          <w:rFonts w:ascii="Tahoma" w:hAnsi="Tahoma" w:hint="cs"/>
          <w:sz w:val="24"/>
          <w:rtl/>
        </w:rPr>
        <w:t>י</w:t>
      </w:r>
      <w:r w:rsidRPr="005649AA">
        <w:rPr>
          <w:rFonts w:ascii="Tahoma" w:hAnsi="Tahoma"/>
          <w:sz w:val="24"/>
          <w:rtl/>
        </w:rPr>
        <w:t xml:space="preserve">ים </w:t>
      </w:r>
      <w:r>
        <w:rPr>
          <w:rFonts w:ascii="Tahoma" w:hAnsi="Tahoma" w:hint="cs"/>
          <w:sz w:val="24"/>
          <w:rtl/>
        </w:rPr>
        <w:t>שהתבטאה</w:t>
      </w:r>
      <w:r>
        <w:rPr>
          <w:rFonts w:ascii="Tahoma" w:hAnsi="Tahoma"/>
          <w:sz w:val="24"/>
          <w:rtl/>
        </w:rPr>
        <w:t xml:space="preserve"> </w:t>
      </w:r>
      <w:r>
        <w:rPr>
          <w:rFonts w:ascii="Tahoma" w:hAnsi="Tahoma" w:hint="cs"/>
          <w:sz w:val="24"/>
          <w:rtl/>
        </w:rPr>
        <w:t>ב</w:t>
      </w:r>
      <w:r w:rsidRPr="005649AA">
        <w:rPr>
          <w:rFonts w:ascii="Tahoma" w:hAnsi="Tahoma"/>
          <w:sz w:val="24"/>
          <w:rtl/>
        </w:rPr>
        <w:t xml:space="preserve">ירידות שערים חדות החל </w:t>
      </w:r>
      <w:r>
        <w:rPr>
          <w:rFonts w:ascii="Tahoma" w:hAnsi="Tahoma" w:hint="cs"/>
          <w:sz w:val="24"/>
          <w:rtl/>
        </w:rPr>
        <w:t>ב</w:t>
      </w:r>
      <w:r w:rsidRPr="005649AA">
        <w:rPr>
          <w:rFonts w:ascii="Tahoma" w:hAnsi="Tahoma"/>
          <w:sz w:val="24"/>
          <w:rtl/>
        </w:rPr>
        <w:t>סוף חודש פברואר</w:t>
      </w:r>
      <w:r w:rsidRPr="005649AA">
        <w:rPr>
          <w:rFonts w:ascii="Tahoma" w:hAnsi="Tahoma" w:hint="cs"/>
          <w:sz w:val="24"/>
          <w:rtl/>
        </w:rPr>
        <w:t xml:space="preserve"> 2020,</w:t>
      </w:r>
      <w:r w:rsidRPr="005649AA">
        <w:rPr>
          <w:rFonts w:ascii="Tahoma" w:hAnsi="Tahoma"/>
          <w:sz w:val="24"/>
          <w:rtl/>
        </w:rPr>
        <w:t xml:space="preserve"> שערערו את היציבות הכלכלית במשק</w:t>
      </w:r>
      <w:r w:rsidRPr="005649AA">
        <w:rPr>
          <w:rFonts w:ascii="Tahoma" w:hAnsi="Tahoma" w:hint="cs"/>
          <w:sz w:val="24"/>
          <w:rtl/>
        </w:rPr>
        <w:t>. הרגולטורים הפיננסיים במדינת ישראל</w:t>
      </w:r>
      <w:r>
        <w:rPr>
          <w:rFonts w:ascii="Tahoma" w:hAnsi="Tahoma" w:hint="cs"/>
          <w:sz w:val="24"/>
          <w:rtl/>
        </w:rPr>
        <w:t xml:space="preserve"> </w:t>
      </w:r>
      <w:r w:rsidRPr="00785B60">
        <w:rPr>
          <w:rFonts w:ascii="Tahoma" w:hAnsi="Tahoma"/>
          <w:sz w:val="24"/>
          <w:rtl/>
        </w:rPr>
        <w:t>-</w:t>
      </w:r>
      <w:r>
        <w:rPr>
          <w:rFonts w:ascii="Tahoma" w:hAnsi="Tahoma" w:cs="Tahoma" w:hint="cs"/>
          <w:sz w:val="16"/>
          <w:szCs w:val="16"/>
          <w:rtl/>
        </w:rPr>
        <w:t xml:space="preserve"> </w:t>
      </w:r>
      <w:r w:rsidRPr="00785B60">
        <w:rPr>
          <w:rFonts w:ascii="Tahoma" w:hAnsi="Tahoma"/>
          <w:sz w:val="24"/>
          <w:rtl/>
        </w:rPr>
        <w:t xml:space="preserve">בנק ישראל, רשות שוק ההון ורשות </w:t>
      </w:r>
      <w:r w:rsidRPr="00785B60">
        <w:rPr>
          <w:rFonts w:ascii="Tahoma" w:hAnsi="Tahoma" w:hint="eastAsia"/>
          <w:sz w:val="24"/>
          <w:rtl/>
        </w:rPr>
        <w:t>ניירות</w:t>
      </w:r>
      <w:r w:rsidRPr="00785B60">
        <w:rPr>
          <w:rFonts w:ascii="Tahoma" w:hAnsi="Tahoma"/>
          <w:sz w:val="24"/>
          <w:rtl/>
        </w:rPr>
        <w:t xml:space="preserve"> </w:t>
      </w:r>
      <w:r w:rsidRPr="00785B60">
        <w:rPr>
          <w:rFonts w:ascii="Tahoma" w:hAnsi="Tahoma" w:hint="eastAsia"/>
          <w:sz w:val="24"/>
          <w:rtl/>
        </w:rPr>
        <w:t>ערך</w:t>
      </w:r>
      <w:r w:rsidRPr="00785B60">
        <w:rPr>
          <w:rFonts w:ascii="Tahoma" w:hAnsi="Tahoma"/>
          <w:sz w:val="24"/>
          <w:rtl/>
        </w:rPr>
        <w:t xml:space="preserve"> -</w:t>
      </w:r>
      <w:r w:rsidRPr="005649AA">
        <w:rPr>
          <w:rFonts w:ascii="Tahoma" w:hAnsi="Tahoma" w:hint="cs"/>
          <w:sz w:val="24"/>
          <w:rtl/>
        </w:rPr>
        <w:t xml:space="preserve"> העניקו הקלות וסיוע נרחב להתמודדות המשק עם המשבר, שהתבטאו בהתאמת השירותים הפיננסיים, בהרחבת היצע האשראי למרות צמצום הפעילות הכלכלית, וכן בשמירה על יציבות המערכת הפיננסית תוך</w:t>
      </w:r>
      <w:r>
        <w:rPr>
          <w:rFonts w:ascii="Tahoma" w:hAnsi="Tahoma" w:hint="cs"/>
          <w:sz w:val="24"/>
          <w:rtl/>
        </w:rPr>
        <w:t xml:space="preserve"> כדי</w:t>
      </w:r>
      <w:r w:rsidRPr="005649AA">
        <w:rPr>
          <w:rFonts w:ascii="Tahoma" w:hAnsi="Tahoma" w:hint="cs"/>
          <w:sz w:val="24"/>
          <w:rtl/>
        </w:rPr>
        <w:t xml:space="preserve"> התערבות בשווקים הפיננסי</w:t>
      </w:r>
      <w:r>
        <w:rPr>
          <w:rFonts w:ascii="Tahoma" w:hAnsi="Tahoma" w:hint="cs"/>
          <w:sz w:val="24"/>
          <w:rtl/>
        </w:rPr>
        <w:t>י</w:t>
      </w:r>
      <w:r w:rsidRPr="005649AA">
        <w:rPr>
          <w:rFonts w:ascii="Tahoma" w:hAnsi="Tahoma" w:hint="cs"/>
          <w:sz w:val="24"/>
          <w:rtl/>
        </w:rPr>
        <w:t>ם למניעת כשלי שוק.</w:t>
      </w:r>
    </w:p>
    <w:p w:rsidR="005537CA" w:rsidRPr="00785B60" w:rsidP="00982BC1" w14:paraId="2DE1B8C5" w14:textId="77777777">
      <w:pPr>
        <w:spacing w:line="269" w:lineRule="auto"/>
        <w:rPr>
          <w:sz w:val="24"/>
          <w:rtl/>
        </w:rPr>
      </w:pPr>
    </w:p>
    <w:p w:rsidR="00253C38" w:rsidP="00982BC1" w14:paraId="74B04F5C" w14:textId="77777777">
      <w:pPr>
        <w:pStyle w:val="Heading3"/>
        <w:spacing w:before="0" w:line="269" w:lineRule="auto"/>
        <w:jc w:val="left"/>
        <w:rPr>
          <w:rtl/>
        </w:rPr>
      </w:pPr>
      <w:r>
        <w:rPr>
          <w:rFonts w:hint="cs"/>
          <w:rtl/>
        </w:rPr>
        <w:t>פעולות הביקורת</w:t>
      </w:r>
    </w:p>
    <w:p w:rsidR="00253C38" w:rsidP="00982BC1" w14:paraId="2AE17F2C" w14:textId="1B911328">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785B60" w:rsidP="00982BC1" w14:paraId="27D8937A" w14:textId="2B7EFD5B">
      <w:pPr>
        <w:spacing w:line="269" w:lineRule="auto"/>
        <w:rPr>
          <w:rtl/>
        </w:rPr>
      </w:pPr>
      <w:r w:rsidRPr="000C7539">
        <w:rPr>
          <w:rtl/>
        </w:rPr>
        <w:t xml:space="preserve">בחודשים </w:t>
      </w:r>
      <w:r w:rsidRPr="000C7539">
        <w:rPr>
          <w:rFonts w:hint="eastAsia"/>
          <w:rtl/>
        </w:rPr>
        <w:t>מרץ</w:t>
      </w:r>
      <w:r w:rsidRPr="000C7539">
        <w:rPr>
          <w:rtl/>
        </w:rPr>
        <w:t>-</w:t>
      </w:r>
      <w:r>
        <w:rPr>
          <w:rFonts w:hint="cs"/>
          <w:rtl/>
        </w:rPr>
        <w:t>דצמבר</w:t>
      </w:r>
      <w:r w:rsidRPr="000C7539">
        <w:rPr>
          <w:rtl/>
        </w:rPr>
        <w:t xml:space="preserve"> 2020 בדק משרד מבקר המדינה </w:t>
      </w:r>
      <w:r w:rsidRPr="000C7539">
        <w:rPr>
          <w:rFonts w:hint="eastAsia"/>
          <w:rtl/>
        </w:rPr>
        <w:t>את</w:t>
      </w:r>
      <w:r w:rsidRPr="000C7539">
        <w:rPr>
          <w:rtl/>
        </w:rPr>
        <w:t xml:space="preserve"> </w:t>
      </w:r>
      <w:r w:rsidRPr="000C7539">
        <w:rPr>
          <w:rFonts w:hint="eastAsia"/>
          <w:rtl/>
        </w:rPr>
        <w:t>השירותים</w:t>
      </w:r>
      <w:r w:rsidRPr="000C7539">
        <w:rPr>
          <w:rtl/>
        </w:rPr>
        <w:t xml:space="preserve"> </w:t>
      </w:r>
      <w:r w:rsidRPr="000C7539">
        <w:rPr>
          <w:rFonts w:hint="eastAsia"/>
          <w:rtl/>
        </w:rPr>
        <w:t>הפיננסיים</w:t>
      </w:r>
      <w:r w:rsidRPr="000C7539">
        <w:rPr>
          <w:rtl/>
        </w:rPr>
        <w:t xml:space="preserve"> </w:t>
      </w:r>
      <w:r w:rsidRPr="000C7539">
        <w:rPr>
          <w:rFonts w:hint="eastAsia"/>
          <w:rtl/>
        </w:rPr>
        <w:t>והאשראי</w:t>
      </w:r>
      <w:r w:rsidRPr="000C7539">
        <w:rPr>
          <w:rtl/>
        </w:rPr>
        <w:t xml:space="preserve"> </w:t>
      </w:r>
      <w:r w:rsidRPr="000C7539">
        <w:rPr>
          <w:rFonts w:hint="eastAsia"/>
          <w:rtl/>
        </w:rPr>
        <w:t>שניתן</w:t>
      </w:r>
      <w:r w:rsidRPr="000C7539">
        <w:rPr>
          <w:rtl/>
        </w:rPr>
        <w:t xml:space="preserve"> </w:t>
      </w:r>
      <w:r w:rsidRPr="000C7539">
        <w:rPr>
          <w:rFonts w:hint="eastAsia"/>
          <w:rtl/>
        </w:rPr>
        <w:t>לציבור</w:t>
      </w:r>
      <w:r w:rsidRPr="000C7539">
        <w:rPr>
          <w:rtl/>
        </w:rPr>
        <w:t xml:space="preserve"> </w:t>
      </w:r>
      <w:r w:rsidRPr="000C7539">
        <w:rPr>
          <w:rFonts w:hint="eastAsia"/>
          <w:rtl/>
        </w:rPr>
        <w:t>במשבר</w:t>
      </w:r>
      <w:r w:rsidRPr="000C7539">
        <w:rPr>
          <w:rtl/>
        </w:rPr>
        <w:t xml:space="preserve"> </w:t>
      </w:r>
      <w:r w:rsidRPr="000C7539">
        <w:rPr>
          <w:rFonts w:hint="eastAsia"/>
          <w:rtl/>
        </w:rPr>
        <w:t>הקורונה</w:t>
      </w:r>
      <w:r w:rsidRPr="000C7539">
        <w:rPr>
          <w:rtl/>
        </w:rPr>
        <w:t xml:space="preserve"> </w:t>
      </w:r>
      <w:r w:rsidRPr="000C7539">
        <w:rPr>
          <w:rFonts w:hint="eastAsia"/>
          <w:rtl/>
        </w:rPr>
        <w:t>ואת</w:t>
      </w:r>
      <w:r w:rsidRPr="000C7539">
        <w:rPr>
          <w:rtl/>
        </w:rPr>
        <w:t xml:space="preserve"> </w:t>
      </w:r>
      <w:r w:rsidRPr="000C7539">
        <w:rPr>
          <w:rFonts w:hint="eastAsia"/>
          <w:rtl/>
        </w:rPr>
        <w:t>חוסנם</w:t>
      </w:r>
      <w:r w:rsidRPr="000C7539">
        <w:rPr>
          <w:rtl/>
        </w:rPr>
        <w:t xml:space="preserve"> </w:t>
      </w:r>
      <w:r w:rsidRPr="000C7539">
        <w:rPr>
          <w:rFonts w:hint="eastAsia"/>
          <w:rtl/>
        </w:rPr>
        <w:t>של</w:t>
      </w:r>
      <w:r w:rsidRPr="000C7539">
        <w:rPr>
          <w:rtl/>
        </w:rPr>
        <w:t xml:space="preserve"> </w:t>
      </w:r>
      <w:r w:rsidRPr="000C7539">
        <w:rPr>
          <w:rFonts w:hint="eastAsia"/>
          <w:rtl/>
        </w:rPr>
        <w:t>הגופים</w:t>
      </w:r>
      <w:r w:rsidRPr="000C7539">
        <w:rPr>
          <w:rtl/>
        </w:rPr>
        <w:t xml:space="preserve"> </w:t>
      </w:r>
      <w:r w:rsidRPr="000C7539">
        <w:rPr>
          <w:rFonts w:hint="eastAsia"/>
          <w:rtl/>
        </w:rPr>
        <w:t>הפיננסיים</w:t>
      </w:r>
      <w:r w:rsidRPr="000C7539">
        <w:rPr>
          <w:rtl/>
        </w:rPr>
        <w:t xml:space="preserve"> </w:t>
      </w:r>
      <w:r w:rsidRPr="000C7539">
        <w:rPr>
          <w:rFonts w:hint="eastAsia"/>
          <w:rtl/>
        </w:rPr>
        <w:t>במהלך</w:t>
      </w:r>
      <w:r w:rsidRPr="000C7539">
        <w:rPr>
          <w:rtl/>
        </w:rPr>
        <w:t xml:space="preserve"> </w:t>
      </w:r>
      <w:r w:rsidRPr="000C7539">
        <w:rPr>
          <w:rFonts w:hint="eastAsia"/>
          <w:rtl/>
        </w:rPr>
        <w:t>המשבר</w:t>
      </w:r>
      <w:r w:rsidRPr="000C7539">
        <w:rPr>
          <w:rtl/>
        </w:rPr>
        <w:t xml:space="preserve">. הבדיקה נעשתה </w:t>
      </w:r>
      <w:r w:rsidRPr="000C7539">
        <w:rPr>
          <w:rFonts w:hint="eastAsia"/>
          <w:rtl/>
        </w:rPr>
        <w:t>בבנק</w:t>
      </w:r>
      <w:r w:rsidRPr="000C7539">
        <w:rPr>
          <w:rtl/>
        </w:rPr>
        <w:t xml:space="preserve"> </w:t>
      </w:r>
      <w:r w:rsidRPr="000C7539">
        <w:rPr>
          <w:rFonts w:hint="eastAsia"/>
          <w:rtl/>
        </w:rPr>
        <w:t>ישראל</w:t>
      </w:r>
      <w:r w:rsidRPr="000C7539">
        <w:rPr>
          <w:rtl/>
        </w:rPr>
        <w:t xml:space="preserve">, </w:t>
      </w:r>
      <w:r w:rsidRPr="000C7539">
        <w:rPr>
          <w:rFonts w:hint="eastAsia"/>
          <w:rtl/>
        </w:rPr>
        <w:t>ברשות</w:t>
      </w:r>
      <w:r w:rsidRPr="000C7539">
        <w:rPr>
          <w:rtl/>
        </w:rPr>
        <w:t xml:space="preserve"> </w:t>
      </w:r>
      <w:r w:rsidRPr="000C7539">
        <w:rPr>
          <w:rFonts w:hint="eastAsia"/>
          <w:rtl/>
        </w:rPr>
        <w:t>שוק</w:t>
      </w:r>
      <w:r w:rsidRPr="000C7539">
        <w:rPr>
          <w:rtl/>
        </w:rPr>
        <w:t xml:space="preserve"> </w:t>
      </w:r>
      <w:r w:rsidRPr="000C7539">
        <w:rPr>
          <w:rFonts w:hint="eastAsia"/>
          <w:rtl/>
        </w:rPr>
        <w:t>ההון</w:t>
      </w:r>
      <w:r w:rsidRPr="000C7539">
        <w:rPr>
          <w:rtl/>
        </w:rPr>
        <w:t xml:space="preserve">, </w:t>
      </w:r>
      <w:r w:rsidRPr="000C7539">
        <w:rPr>
          <w:rFonts w:hint="eastAsia"/>
          <w:rtl/>
        </w:rPr>
        <w:t>ביטוח</w:t>
      </w:r>
      <w:r w:rsidRPr="000C7539">
        <w:rPr>
          <w:rtl/>
        </w:rPr>
        <w:t xml:space="preserve"> </w:t>
      </w:r>
      <w:r w:rsidRPr="000C7539">
        <w:rPr>
          <w:rFonts w:hint="eastAsia"/>
          <w:rtl/>
        </w:rPr>
        <w:t>וחיסכון</w:t>
      </w:r>
      <w:r w:rsidRPr="000C7539">
        <w:rPr>
          <w:rtl/>
        </w:rPr>
        <w:t xml:space="preserve"> (</w:t>
      </w:r>
      <w:r w:rsidRPr="000C7539">
        <w:rPr>
          <w:rFonts w:hint="eastAsia"/>
          <w:rtl/>
        </w:rPr>
        <w:t>רשות</w:t>
      </w:r>
      <w:r w:rsidRPr="000C7539">
        <w:rPr>
          <w:rtl/>
        </w:rPr>
        <w:t xml:space="preserve"> </w:t>
      </w:r>
      <w:r w:rsidRPr="000C7539">
        <w:rPr>
          <w:rFonts w:hint="eastAsia"/>
          <w:rtl/>
        </w:rPr>
        <w:t>שוק</w:t>
      </w:r>
      <w:r w:rsidRPr="000C7539">
        <w:rPr>
          <w:rtl/>
        </w:rPr>
        <w:t xml:space="preserve"> </w:t>
      </w:r>
      <w:r w:rsidRPr="000C7539">
        <w:rPr>
          <w:rFonts w:hint="eastAsia"/>
          <w:rtl/>
        </w:rPr>
        <w:t>ההון</w:t>
      </w:r>
      <w:r w:rsidRPr="000C7539">
        <w:rPr>
          <w:rtl/>
        </w:rPr>
        <w:t xml:space="preserve">), </w:t>
      </w:r>
      <w:r w:rsidRPr="000C7539">
        <w:rPr>
          <w:rFonts w:hint="eastAsia"/>
          <w:rtl/>
        </w:rPr>
        <w:t>ברשות</w:t>
      </w:r>
      <w:r w:rsidRPr="000C7539">
        <w:rPr>
          <w:rtl/>
        </w:rPr>
        <w:t xml:space="preserve"> </w:t>
      </w:r>
      <w:r w:rsidRPr="000C7539">
        <w:rPr>
          <w:rFonts w:hint="eastAsia"/>
          <w:rtl/>
        </w:rPr>
        <w:t>ניירות</w:t>
      </w:r>
      <w:r w:rsidRPr="000C7539">
        <w:rPr>
          <w:rtl/>
        </w:rPr>
        <w:t xml:space="preserve"> </w:t>
      </w:r>
      <w:r w:rsidRPr="000C7539">
        <w:rPr>
          <w:rFonts w:hint="eastAsia"/>
          <w:rtl/>
        </w:rPr>
        <w:t>ערך</w:t>
      </w:r>
      <w:r w:rsidRPr="000C7539">
        <w:rPr>
          <w:rtl/>
        </w:rPr>
        <w:t xml:space="preserve"> (</w:t>
      </w:r>
      <w:r w:rsidRPr="000C7539">
        <w:rPr>
          <w:rFonts w:hint="eastAsia"/>
          <w:rtl/>
        </w:rPr>
        <w:t>רשות</w:t>
      </w:r>
      <w:r w:rsidRPr="000C7539">
        <w:rPr>
          <w:rtl/>
        </w:rPr>
        <w:t xml:space="preserve"> </w:t>
      </w:r>
      <w:r w:rsidRPr="000C7539">
        <w:rPr>
          <w:rFonts w:hint="eastAsia"/>
          <w:rtl/>
        </w:rPr>
        <w:t>ני</w:t>
      </w:r>
      <w:r w:rsidRPr="000C7539">
        <w:rPr>
          <w:rtl/>
        </w:rPr>
        <w:t xml:space="preserve">"ע) </w:t>
      </w:r>
      <w:r w:rsidRPr="000C7539">
        <w:rPr>
          <w:rFonts w:hint="eastAsia"/>
          <w:rtl/>
        </w:rPr>
        <w:t>ו</w:t>
      </w:r>
      <w:r w:rsidRPr="000C7539">
        <w:rPr>
          <w:rtl/>
        </w:rPr>
        <w:t>באגף החשב הכללי (</w:t>
      </w:r>
      <w:r>
        <w:rPr>
          <w:rFonts w:hint="cs"/>
          <w:rtl/>
        </w:rPr>
        <w:t xml:space="preserve">החשכ"ל או </w:t>
      </w:r>
      <w:r w:rsidRPr="000C7539">
        <w:rPr>
          <w:rtl/>
        </w:rPr>
        <w:t>אגף החשכ</w:t>
      </w:r>
      <w:r>
        <w:rPr>
          <w:rFonts w:hint="cs"/>
          <w:rtl/>
        </w:rPr>
        <w:t>"</w:t>
      </w:r>
      <w:r w:rsidRPr="000C7539">
        <w:rPr>
          <w:rtl/>
        </w:rPr>
        <w:t>ל) שבמשרד האוצר. בדיקות השלמה נעש</w:t>
      </w:r>
      <w:r w:rsidRPr="000C7539">
        <w:rPr>
          <w:rFonts w:hint="eastAsia"/>
          <w:rtl/>
        </w:rPr>
        <w:t>ו</w:t>
      </w:r>
      <w:r w:rsidRPr="000C7539">
        <w:rPr>
          <w:rtl/>
        </w:rPr>
        <w:t xml:space="preserve"> </w:t>
      </w:r>
      <w:r w:rsidRPr="000C7539">
        <w:rPr>
          <w:rFonts w:hint="eastAsia"/>
          <w:rtl/>
        </w:rPr>
        <w:t>ברשות</w:t>
      </w:r>
      <w:r w:rsidRPr="000C7539">
        <w:rPr>
          <w:rtl/>
        </w:rPr>
        <w:t xml:space="preserve"> </w:t>
      </w:r>
      <w:r w:rsidRPr="000C7539">
        <w:rPr>
          <w:rFonts w:hint="eastAsia"/>
          <w:rtl/>
        </w:rPr>
        <w:t>המיסים</w:t>
      </w:r>
      <w:r w:rsidRPr="000C7539">
        <w:t>.</w:t>
      </w:r>
    </w:p>
    <w:p w:rsidR="005537CA" w:rsidRPr="00785B60" w:rsidP="00982BC1" w14:paraId="41CA52B7" w14:textId="77777777">
      <w:pPr>
        <w:spacing w:line="269" w:lineRule="auto"/>
        <w:rPr>
          <w:rtl/>
        </w:rPr>
      </w:pPr>
    </w:p>
    <w:p w:rsidR="00253C38" w:rsidRPr="00CD194E" w:rsidP="00982BC1" w14:paraId="3A9E76A7" w14:textId="77777777">
      <w:pPr>
        <w:pStyle w:val="Heading3"/>
        <w:spacing w:before="0" w:line="269" w:lineRule="auto"/>
        <w:jc w:val="left"/>
        <w:rPr>
          <w:rtl/>
        </w:rPr>
      </w:pPr>
      <w:r>
        <w:rPr>
          <w:rFonts w:hint="cs"/>
          <w:rtl/>
        </w:rPr>
        <w:t>מתן שירותים פיננסיים לציבור במהלך המשבר</w:t>
      </w:r>
    </w:p>
    <w:p w:rsidR="00253C38" w:rsidRPr="00490609" w:rsidP="00982BC1" w14:paraId="6C3ABB82" w14:textId="27088729">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4385813" w14:textId="77777777">
      <w:pPr>
        <w:spacing w:line="269" w:lineRule="auto"/>
        <w:rPr>
          <w:rtl/>
        </w:rPr>
      </w:pPr>
      <w:r>
        <w:rPr>
          <w:rFonts w:hint="cs"/>
          <w:rtl/>
        </w:rPr>
        <w:t>ביום 27.1.20 הכריז שר הבריאות בהודעה שפורסמה ברשומות, בתוקף סמכותו לפי סעיף 20(1) לפקודת בריאות העם, 1940, כי המחלה הנגרמת מנגיף הקורונה (</w:t>
      </w:r>
      <w:r>
        <w:rPr>
          <w:rFonts w:hint="cs"/>
        </w:rPr>
        <w:t>N</w:t>
      </w:r>
      <w:r>
        <w:t>ovel Coronavirus 2019-nCoV</w:t>
      </w:r>
      <w:r>
        <w:rPr>
          <w:rFonts w:hint="cs"/>
          <w:rtl/>
        </w:rPr>
        <w:t>) היא מחלה מידבקת מסוכנת וכי קיימת בעטייה סכנה חמורה לבריאות הציבור (להלן - הנגיף או נגיף הקורונה)</w:t>
      </w:r>
      <w:r>
        <w:rPr>
          <w:rStyle w:val="FootnoteReference"/>
          <w:rtl/>
        </w:rPr>
        <w:footnoteReference w:id="3"/>
      </w:r>
      <w:r>
        <w:rPr>
          <w:rFonts w:hint="cs"/>
          <w:rtl/>
        </w:rPr>
        <w:t xml:space="preserve">. עם התפשטות המחלה בעולם והופעתה בישראל פרסם משרד הבריאות הנחיות להגבלת הפעילות והשהייה במרחב הציבורי. בהתאם, התקינה הממשלה ביום </w:t>
      </w:r>
      <w:r w:rsidRPr="007C5509">
        <w:rPr>
          <w:rtl/>
        </w:rPr>
        <w:t>21.3.20</w:t>
      </w:r>
      <w:r>
        <w:rPr>
          <w:rFonts w:hint="cs"/>
          <w:rtl/>
        </w:rPr>
        <w:t xml:space="preserve"> את תקנות שעת חירום (נגיף הקורונה החדש - הגבלת פעילות), התש"ף-2020, בתוקף סמכותה לפי סעיף 39 לחוק יסוד: הממשלה. במסגרת התקנות הוגבלו פעילות המסחר, הבילוי והפנאי, נקבעו כללי התנהגות במרחב הציבורי, צומצמה השהייה בו, והוטלו חובות על מקומות הפתוחים לציבור שפעילותם לא נאסרה לפי התקנות.</w:t>
      </w:r>
    </w:p>
    <w:p w:rsidR="00253C38" w:rsidP="00982BC1" w14:paraId="20978F78" w14:textId="3DB3D0F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167BBC4" w14:textId="77777777">
      <w:pPr>
        <w:spacing w:line="269" w:lineRule="auto"/>
        <w:rPr>
          <w:rtl/>
        </w:rPr>
      </w:pPr>
      <w:r>
        <w:rPr>
          <w:rFonts w:hint="cs"/>
          <w:rtl/>
        </w:rPr>
        <w:t>בעקבות הנחיות משרד הבריאות להגבלת הפעילות והשהייה במרחב הציבורי נקטו בנק ישראל, ובתוכו הפיקוח על הבנקים, ורשות שוק ההון, ביטוח וחיסכון כמה צעדים רגולטוריים שנועדו להקל על הציבור ועל הגופים המפוקחים ולאפשר תמיכה במשק. חלק מהצעדים נועדו להגדלת היצע האשראי (ראו להלן פרק "האשראי שניתן לציבור במהלך המשבר") ואחרים נועדו לתמוך בהמשכיות העסקים והרציפות התפקודית.</w:t>
      </w:r>
    </w:p>
    <w:p w:rsidR="00253C38" w:rsidP="00982BC1" w14:paraId="339B51DA" w14:textId="0FD498A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89FF794" w14:textId="77777777">
      <w:pPr>
        <w:spacing w:line="269" w:lineRule="auto"/>
        <w:rPr>
          <w:rtl/>
        </w:rPr>
      </w:pPr>
      <w:r>
        <w:rPr>
          <w:rFonts w:hint="cs"/>
          <w:rtl/>
        </w:rPr>
        <w:t xml:space="preserve">המפקחת על הבנקים הדגישה ביום </w:t>
      </w:r>
      <w:r w:rsidRPr="0023320A">
        <w:rPr>
          <w:rtl/>
        </w:rPr>
        <w:t>15.3.20</w:t>
      </w:r>
      <w:r>
        <w:rPr>
          <w:rFonts w:hint="cs"/>
          <w:rtl/>
        </w:rPr>
        <w:t xml:space="preserve"> בהודעה שמסרה לציבור כי "אין חשש לפגיעה בשירותים הבנקאיים החיוניים והמערכת הבנקאית ערוכה להמשך הספקה של שירותים בנקאיים גם אם תהיה החרפה משמעותית של המצב והחמרה במגבלות התנועה"</w:t>
      </w:r>
      <w:r>
        <w:rPr>
          <w:rStyle w:val="FootnoteReference"/>
          <w:rtl/>
        </w:rPr>
        <w:footnoteReference w:id="4"/>
      </w:r>
      <w:r>
        <w:rPr>
          <w:rFonts w:hint="cs"/>
          <w:rtl/>
        </w:rPr>
        <w:t>. בהתאם, פרסמה המפקחת על הבנקים ביום 18.3.20 הוראת שעה לביצוע התאמות להוראות ניהול בנקאי תקין לצורך התמודדות עם משבר הקורונה (להלן - הוראת נב"ת 250)</w:t>
      </w:r>
      <w:r>
        <w:rPr>
          <w:rStyle w:val="FootnoteReference"/>
          <w:rtl/>
        </w:rPr>
        <w:footnoteReference w:id="5"/>
      </w:r>
      <w:r>
        <w:rPr>
          <w:rFonts w:hint="cs"/>
          <w:rtl/>
        </w:rPr>
        <w:t xml:space="preserve">. הוראה זו עודכנה פעמים מספר בהתאם להתפתחויות </w:t>
      </w:r>
      <w:r>
        <w:rPr>
          <w:rFonts w:hint="cs"/>
          <w:rtl/>
        </w:rPr>
        <w:t xml:space="preserve">האירועים במשבר, ובמסגרתה ניתנו הקלות רגולטוריות לתאגידים הבנקאיים ולציבור הלקוחות שנועדו, בין היתר, לאפשר את המשך פעילות העסקים. התרשים להלן מציג את ההקלות העיקריות שניתנו עד מועד סיום הביקורת, דצמבר 2020, לתאגידים הבנקאיים וללקוחותיהם במסגרת הוראת נב"ת 250. </w:t>
      </w:r>
    </w:p>
    <w:p w:rsidR="00253C38" w:rsidP="00982BC1" w14:paraId="5BE9CB5F" w14:textId="1D1485D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32BD6DA" w14:textId="77777777">
      <w:pPr>
        <w:spacing w:line="269" w:lineRule="auto"/>
        <w:jc w:val="center"/>
        <w:rPr>
          <w:rtl/>
        </w:rPr>
      </w:pPr>
      <w:r w:rsidRPr="0023320A">
        <w:rPr>
          <w:rFonts w:hint="eastAsia"/>
          <w:b/>
          <w:bCs/>
          <w:rtl/>
        </w:rPr>
        <w:t>תרשים</w:t>
      </w:r>
      <w:r w:rsidRPr="0023320A">
        <w:rPr>
          <w:b/>
          <w:bCs/>
          <w:rtl/>
        </w:rPr>
        <w:t xml:space="preserve"> 1: </w:t>
      </w:r>
      <w:r>
        <w:rPr>
          <w:rFonts w:hint="cs"/>
          <w:b/>
          <w:bCs/>
          <w:rtl/>
        </w:rPr>
        <w:t>ה</w:t>
      </w:r>
      <w:r w:rsidRPr="005C71B3">
        <w:rPr>
          <w:rFonts w:hint="cs"/>
          <w:b/>
          <w:bCs/>
          <w:rtl/>
        </w:rPr>
        <w:t xml:space="preserve">הקלות </w:t>
      </w:r>
      <w:r>
        <w:rPr>
          <w:rFonts w:hint="cs"/>
          <w:b/>
          <w:bCs/>
          <w:rtl/>
        </w:rPr>
        <w:t>ה</w:t>
      </w:r>
      <w:r w:rsidRPr="005C71B3">
        <w:rPr>
          <w:rFonts w:hint="cs"/>
          <w:b/>
          <w:bCs/>
          <w:rtl/>
        </w:rPr>
        <w:t xml:space="preserve">רגולטוריות </w:t>
      </w:r>
      <w:r>
        <w:rPr>
          <w:rFonts w:hint="cs"/>
          <w:b/>
          <w:bCs/>
          <w:rtl/>
        </w:rPr>
        <w:t>העיקריות</w:t>
      </w:r>
      <w:r w:rsidRPr="0023320A">
        <w:rPr>
          <w:b/>
          <w:bCs/>
          <w:rtl/>
        </w:rPr>
        <w:t xml:space="preserve"> </w:t>
      </w:r>
      <w:r w:rsidRPr="0023320A">
        <w:rPr>
          <w:rFonts w:hint="eastAsia"/>
          <w:b/>
          <w:bCs/>
          <w:rtl/>
        </w:rPr>
        <w:t>בהוראת</w:t>
      </w:r>
      <w:r w:rsidRPr="0023320A">
        <w:rPr>
          <w:b/>
          <w:bCs/>
          <w:rtl/>
        </w:rPr>
        <w:t xml:space="preserve"> </w:t>
      </w:r>
      <w:r w:rsidRPr="0023320A">
        <w:rPr>
          <w:rFonts w:hint="eastAsia"/>
          <w:b/>
          <w:bCs/>
          <w:rtl/>
        </w:rPr>
        <w:t>נב</w:t>
      </w:r>
      <w:r w:rsidRPr="0023320A">
        <w:rPr>
          <w:b/>
          <w:bCs/>
          <w:rtl/>
        </w:rPr>
        <w:t>"ת 250</w:t>
      </w:r>
    </w:p>
    <w:p w:rsidR="00253C38" w:rsidP="00982BC1" w14:paraId="33DE2CC8" w14:textId="77777777">
      <w:pPr>
        <w:spacing w:line="269" w:lineRule="auto"/>
        <w:ind w:left="-1275"/>
        <w:jc w:val="center"/>
        <w:rPr>
          <w:rtl/>
        </w:rPr>
      </w:pPr>
      <w:r>
        <w:rPr>
          <w:noProof/>
        </w:rPr>
        <w:drawing>
          <wp:inline distT="0" distB="0" distL="0" distR="0">
            <wp:extent cx="6978293" cy="3711076"/>
            <wp:effectExtent l="0" t="0" r="0" b="3810"/>
            <wp:docPr id="5034104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2671" name=""/>
                    <pic:cNvPicPr/>
                  </pic:nvPicPr>
                  <pic:blipFill>
                    <a:blip xmlns:r="http://schemas.openxmlformats.org/officeDocument/2006/relationships" r:embed="rId6"/>
                    <a:stretch>
                      <a:fillRect/>
                    </a:stretch>
                  </pic:blipFill>
                  <pic:spPr>
                    <a:xfrm>
                      <a:off x="0" y="0"/>
                      <a:ext cx="7017503" cy="3731928"/>
                    </a:xfrm>
                    <a:prstGeom prst="rect">
                      <a:avLst/>
                    </a:prstGeom>
                  </pic:spPr>
                </pic:pic>
              </a:graphicData>
            </a:graphic>
          </wp:inline>
        </w:drawing>
      </w:r>
    </w:p>
    <w:p w:rsidR="00253C38" w:rsidRPr="005537CA" w:rsidP="00982BC1" w14:paraId="6D68C859" w14:textId="77777777">
      <w:pPr>
        <w:spacing w:line="269" w:lineRule="auto"/>
        <w:rPr>
          <w:sz w:val="22"/>
          <w:szCs w:val="28"/>
          <w:rtl/>
        </w:rPr>
      </w:pPr>
      <w:r w:rsidRPr="005537CA">
        <w:rPr>
          <w:rFonts w:hint="cs"/>
          <w:sz w:val="18"/>
          <w:szCs w:val="22"/>
          <w:rtl/>
        </w:rPr>
        <w:t>פרסומי המפקח על הבנקים, בעיבוד משרד מבקר המדינה.</w:t>
      </w:r>
      <w:r w:rsidRPr="005537CA">
        <w:rPr>
          <w:rFonts w:hint="cs"/>
          <w:sz w:val="22"/>
          <w:szCs w:val="28"/>
          <w:rtl/>
        </w:rPr>
        <w:t xml:space="preserve"> </w:t>
      </w:r>
    </w:p>
    <w:p w:rsidR="00253C38" w:rsidRPr="005537CA" w:rsidP="00982BC1" w14:paraId="67DAFA69" w14:textId="77777777">
      <w:pPr>
        <w:spacing w:line="269" w:lineRule="auto"/>
        <w:rPr>
          <w:sz w:val="22"/>
          <w:szCs w:val="22"/>
          <w:rtl/>
        </w:rPr>
      </w:pPr>
      <w:r w:rsidRPr="005537CA">
        <w:rPr>
          <w:sz w:val="22"/>
          <w:szCs w:val="22"/>
          <w:rtl/>
        </w:rPr>
        <w:t>* הוראת ניהול בנקאי תקין מספר 355 עוסקת בניהול המשכיות עסקית</w:t>
      </w:r>
      <w:r w:rsidRPr="005537CA">
        <w:rPr>
          <w:rFonts w:hint="cs"/>
          <w:sz w:val="22"/>
          <w:szCs w:val="22"/>
          <w:rtl/>
        </w:rPr>
        <w:t>,</w:t>
      </w:r>
      <w:r w:rsidRPr="005537CA">
        <w:rPr>
          <w:sz w:val="22"/>
          <w:szCs w:val="22"/>
          <w:rtl/>
        </w:rPr>
        <w:t xml:space="preserve"> וכוללת את מסגרת </w:t>
      </w:r>
      <w:r w:rsidRPr="005537CA">
        <w:rPr>
          <w:rFonts w:hint="eastAsia"/>
          <w:sz w:val="22"/>
          <w:szCs w:val="22"/>
          <w:rtl/>
        </w:rPr>
        <w:t>ה</w:t>
      </w:r>
      <w:r w:rsidRPr="005537CA">
        <w:rPr>
          <w:sz w:val="22"/>
          <w:szCs w:val="22"/>
          <w:rtl/>
        </w:rPr>
        <w:t xml:space="preserve">עבודה לניהול המשכיות עסקית, באופן ההולם את מאפייני הפעילות, החשיפה לסיכונים והאסטרטגיה של כל תאגיד בנקאי. במסגרת ההוראה מוגדר אופן הטיפול בסוגיות שונות להבטחת ההמשכיות </w:t>
      </w:r>
      <w:r w:rsidRPr="005537CA">
        <w:rPr>
          <w:rFonts w:hint="eastAsia"/>
          <w:sz w:val="22"/>
          <w:szCs w:val="22"/>
          <w:rtl/>
        </w:rPr>
        <w:t>העסקית</w:t>
      </w:r>
      <w:r w:rsidRPr="005537CA">
        <w:rPr>
          <w:sz w:val="22"/>
          <w:szCs w:val="22"/>
          <w:rtl/>
        </w:rPr>
        <w:t xml:space="preserve">, </w:t>
      </w:r>
      <w:r w:rsidRPr="005537CA">
        <w:rPr>
          <w:rFonts w:hint="cs"/>
          <w:sz w:val="22"/>
          <w:szCs w:val="22"/>
          <w:rtl/>
        </w:rPr>
        <w:t>ו</w:t>
      </w:r>
      <w:r w:rsidRPr="005537CA">
        <w:rPr>
          <w:sz w:val="22"/>
          <w:szCs w:val="22"/>
          <w:rtl/>
        </w:rPr>
        <w:t>ביניהן פתיחת אתרים חלופיים למתן מענה ללקוחות, רמות יעדי שירות חיוניים, פתיחת סניפים וסניפים ניידים בחירום וההקלות שיינתנו לאוכלוסייה.</w:t>
      </w:r>
    </w:p>
    <w:p w:rsidR="00253C38" w:rsidP="00982BC1" w14:paraId="56C5868E" w14:textId="4CBB771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2C7CB73" w14:textId="77777777">
      <w:pPr>
        <w:spacing w:line="269" w:lineRule="auto"/>
        <w:rPr>
          <w:rtl/>
        </w:rPr>
      </w:pPr>
      <w:r>
        <w:rPr>
          <w:rFonts w:hint="cs"/>
          <w:rtl/>
        </w:rPr>
        <w:t xml:space="preserve">נוסף על כך פעל הפיקוח על הבנקים במהלך המשבר בכמה ערוצים, שחלקם נשענו על תהליכי דיגיטציה וחדשנות בעולם הפיננסי שקידם במהלך השנים האחרונות. מטרתו הייתה להנגיש את המידע ואת השירותים לכלל הציבור, ובייחוד לקהלי יעד אשר המידע והשירותים אינם נגישים להם מסיבות שונות. לפיכך ביום </w:t>
      </w:r>
      <w:r w:rsidRPr="0023320A">
        <w:rPr>
          <w:rtl/>
        </w:rPr>
        <w:t>19.3.20</w:t>
      </w:r>
      <w:r>
        <w:rPr>
          <w:rFonts w:hint="cs"/>
          <w:rtl/>
        </w:rPr>
        <w:t xml:space="preserve"> הושק אתר ייעודי במרשתת שהציג שאלות ותשובות בנושא בנקאות בעת משבר הקורונה</w:t>
      </w:r>
      <w:r>
        <w:rPr>
          <w:rStyle w:val="FootnoteReference"/>
          <w:rtl/>
        </w:rPr>
        <w:footnoteReference w:id="6"/>
      </w:r>
      <w:r>
        <w:rPr>
          <w:rFonts w:hint="cs"/>
          <w:rtl/>
        </w:rPr>
        <w:t xml:space="preserve">. </w:t>
      </w:r>
    </w:p>
    <w:p w:rsidR="00253C38" w:rsidP="00982BC1" w14:paraId="75D5011F" w14:textId="0C9584A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798F654" w14:textId="77777777">
      <w:pPr>
        <w:spacing w:line="269" w:lineRule="auto"/>
        <w:rPr>
          <w:rtl/>
        </w:rPr>
      </w:pPr>
      <w:r>
        <w:rPr>
          <w:rFonts w:hint="cs"/>
          <w:rtl/>
        </w:rPr>
        <w:t>צעדים נוספים שנקט הפיקוח על הבנקים הם: (א) הגדרת שיעור סניפי הגרעין בכל בנק שבהם יינתנו שירותים חיוניים, ולכל הפחות שירותים שאינם ניתנים לביצוע בערוצים דיגיטליים וטלפוניים, מתוך הדגשת הצורך במענה מותאם ומורחב ללקוחות מעל לגיל 70</w:t>
      </w:r>
      <w:r>
        <w:rPr>
          <w:rStyle w:val="FootnoteReference"/>
          <w:rtl/>
        </w:rPr>
        <w:footnoteReference w:id="7"/>
      </w:r>
      <w:r>
        <w:rPr>
          <w:rFonts w:hint="cs"/>
          <w:rtl/>
        </w:rPr>
        <w:t xml:space="preserve">; (ב) הבטחת פעילותם הסדירה </w:t>
      </w:r>
      <w:r>
        <w:rPr>
          <w:rFonts w:hint="cs"/>
          <w:rtl/>
        </w:rPr>
        <w:t>של הכספומטים הבנקאיים למשיכת מזומנים והמכשירים האוטומטיים</w:t>
      </w:r>
      <w:r>
        <w:rPr>
          <w:rStyle w:val="FootnoteReference"/>
          <w:rtl/>
        </w:rPr>
        <w:footnoteReference w:id="8"/>
      </w:r>
      <w:r>
        <w:rPr>
          <w:rFonts w:hint="cs"/>
          <w:rtl/>
        </w:rPr>
        <w:t>; (ג) סיוע ללקוחות במשיכת קצבאות הביטוח הלאומי באמצעות שליחת כרטיסי חיוב מיידי שהנפיקה המערכת הבנקאית ללקוחות שאין ברשותם כרטיסי חיוב ולכן נוהגים למשוך את הקצבאות בשירותי הקופה בסניפים</w:t>
      </w:r>
      <w:r>
        <w:rPr>
          <w:rStyle w:val="FootnoteReference"/>
          <w:rtl/>
        </w:rPr>
        <w:footnoteReference w:id="9"/>
      </w:r>
      <w:r>
        <w:rPr>
          <w:rFonts w:hint="cs"/>
          <w:rtl/>
        </w:rPr>
        <w:t>; (4) השהיית ההגבלה של חשבון ובעליו בשל המחאות שסורבו בגלל היעדר כיסוי מספיק כמוגדר בחוק שיקים ללא כיסוי, התשמ"א-1981</w:t>
      </w:r>
      <w:r>
        <w:rPr>
          <w:rStyle w:val="FootnoteReference"/>
          <w:rtl/>
        </w:rPr>
        <w:footnoteReference w:id="10"/>
      </w:r>
      <w:r>
        <w:rPr>
          <w:rFonts w:hint="cs"/>
          <w:rtl/>
        </w:rPr>
        <w:t>.</w:t>
      </w:r>
    </w:p>
    <w:p w:rsidR="00253C38" w:rsidP="00982BC1" w14:paraId="122EB5EE" w14:textId="49C8FC9B">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50634E5" w14:textId="77777777">
      <w:pPr>
        <w:spacing w:line="269" w:lineRule="auto"/>
        <w:rPr>
          <w:rtl/>
        </w:rPr>
      </w:pPr>
      <w:r>
        <w:rPr>
          <w:rFonts w:hint="cs"/>
          <w:rtl/>
        </w:rPr>
        <w:t xml:space="preserve">עם פרוץ המשבר הורתה רשות שוק ההון לגופים המוסדיים להקצות משאבים לצורך שמירה על המשך פעילותם ומתן שירות ללקוחות, אגב הדגשת תשלומי קצבה סדירה, פידיון כספים, יישוב תביעות ופעילותם הרציפה של המוקדים הטלפונים. הרשות הורתה גם על הרחבת השירות הניתן בכלים הדיגיטליים העומדים לרשות הגופים המוסדיים לצורך שימור הקשר עם הציבור ושמירה על בריאות הלקוחות ועובדיהם. </w:t>
      </w:r>
    </w:p>
    <w:p w:rsidR="00253C38" w:rsidP="00982BC1" w14:paraId="7A27E8F7" w14:textId="0A4B5E4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8213946" w14:textId="77777777">
      <w:pPr>
        <w:spacing w:line="269" w:lineRule="auto"/>
        <w:rPr>
          <w:rtl/>
        </w:rPr>
      </w:pPr>
      <w:r>
        <w:rPr>
          <w:rFonts w:hint="cs"/>
          <w:rtl/>
        </w:rPr>
        <w:t xml:space="preserve">ביום </w:t>
      </w:r>
      <w:r w:rsidRPr="00180E1B">
        <w:rPr>
          <w:rtl/>
        </w:rPr>
        <w:t>23.3.20</w:t>
      </w:r>
      <w:r>
        <w:rPr>
          <w:rFonts w:hint="cs"/>
          <w:rtl/>
        </w:rPr>
        <w:t xml:space="preserve"> פרסמה רשות שוק ההון רשימת הקלות והתאמות רגולטוריות שנועדו להיטיב עם הלקוחות ועם הגופים המוסדיים</w:t>
      </w:r>
      <w:r>
        <w:rPr>
          <w:rStyle w:val="FootnoteReference"/>
          <w:rtl/>
        </w:rPr>
        <w:footnoteReference w:id="11"/>
      </w:r>
      <w:r>
        <w:rPr>
          <w:rFonts w:hint="cs"/>
          <w:rtl/>
        </w:rPr>
        <w:t>. הרשימה עודכנה במהלך המשבר וכללה מגוון צעדים בחלוקה לארבע קבוצות: הטבות למעסיקים, הטבות למבוטחים, שמירה על זכויות עובדים והטבות לגופים המוסדיים. תרשים 2 מציג את העיקריות שבהן:</w:t>
      </w:r>
    </w:p>
    <w:p w:rsidR="00253C38" w:rsidP="00982BC1" w14:paraId="5D9F21D9" w14:textId="4F920846">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180E1B" w:rsidP="00982BC1" w14:paraId="3CE25F7E" w14:textId="77777777">
      <w:pPr>
        <w:spacing w:line="269" w:lineRule="auto"/>
        <w:jc w:val="center"/>
        <w:rPr>
          <w:b/>
          <w:bCs/>
          <w:rtl/>
        </w:rPr>
      </w:pPr>
      <w:r w:rsidRPr="00180E1B">
        <w:rPr>
          <w:rFonts w:hint="eastAsia"/>
          <w:b/>
          <w:bCs/>
          <w:rtl/>
        </w:rPr>
        <w:t>תרשים</w:t>
      </w:r>
      <w:r w:rsidRPr="00180E1B">
        <w:rPr>
          <w:b/>
          <w:bCs/>
          <w:rtl/>
        </w:rPr>
        <w:t xml:space="preserve"> 2: הקלות והתאמות רגולטוריות</w:t>
      </w:r>
      <w:r w:rsidR="00180E1B">
        <w:rPr>
          <w:rFonts w:hint="cs"/>
          <w:b/>
          <w:bCs/>
          <w:rtl/>
        </w:rPr>
        <w:t xml:space="preserve"> עיקריות</w:t>
      </w:r>
      <w:r w:rsidRPr="00180E1B">
        <w:rPr>
          <w:b/>
          <w:bCs/>
          <w:rtl/>
        </w:rPr>
        <w:t xml:space="preserve"> </w:t>
      </w:r>
      <w:r w:rsidRPr="00180E1B">
        <w:rPr>
          <w:rFonts w:hint="eastAsia"/>
          <w:b/>
          <w:bCs/>
          <w:rtl/>
        </w:rPr>
        <w:t>שניתנו</w:t>
      </w:r>
      <w:r w:rsidRPr="00180E1B">
        <w:rPr>
          <w:b/>
          <w:bCs/>
          <w:rtl/>
        </w:rPr>
        <w:t xml:space="preserve"> </w:t>
      </w:r>
      <w:r>
        <w:rPr>
          <w:rFonts w:hint="cs"/>
          <w:b/>
          <w:bCs/>
          <w:rtl/>
        </w:rPr>
        <w:t xml:space="preserve">על </w:t>
      </w:r>
      <w:r w:rsidRPr="005C71B3">
        <w:rPr>
          <w:rFonts w:hint="cs"/>
          <w:b/>
          <w:bCs/>
          <w:rtl/>
        </w:rPr>
        <w:t>ידי</w:t>
      </w:r>
      <w:r w:rsidRPr="00180E1B">
        <w:rPr>
          <w:b/>
          <w:bCs/>
          <w:rtl/>
        </w:rPr>
        <w:t xml:space="preserve"> רשות שוק ההון</w:t>
      </w:r>
      <w:r w:rsidRPr="005C71B3">
        <w:rPr>
          <w:rFonts w:hint="cs"/>
          <w:b/>
          <w:bCs/>
          <w:rtl/>
        </w:rPr>
        <w:t>,</w:t>
      </w:r>
      <w:r w:rsidRPr="00180E1B">
        <w:rPr>
          <w:b/>
          <w:bCs/>
          <w:rtl/>
        </w:rPr>
        <w:t xml:space="preserve"> 2020</w:t>
      </w:r>
    </w:p>
    <w:p w:rsidR="00253C38" w:rsidP="00982BC1" w14:paraId="5376408F" w14:textId="77777777">
      <w:pPr>
        <w:spacing w:line="269" w:lineRule="auto"/>
        <w:ind w:left="-1559"/>
        <w:jc w:val="center"/>
        <w:rPr>
          <w:rtl/>
        </w:rPr>
      </w:pPr>
      <w:r>
        <w:rPr>
          <w:noProof/>
        </w:rPr>
        <w:drawing>
          <wp:inline distT="0" distB="0" distL="0" distR="0">
            <wp:extent cx="7268115" cy="2414016"/>
            <wp:effectExtent l="0" t="0" r="0" b="571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91379" name=""/>
                    <pic:cNvPicPr/>
                  </pic:nvPicPr>
                  <pic:blipFill>
                    <a:blip xmlns:r="http://schemas.openxmlformats.org/officeDocument/2006/relationships" r:embed="rId7"/>
                    <a:stretch>
                      <a:fillRect/>
                    </a:stretch>
                  </pic:blipFill>
                  <pic:spPr>
                    <a:xfrm>
                      <a:off x="0" y="0"/>
                      <a:ext cx="7330737" cy="2434815"/>
                    </a:xfrm>
                    <a:prstGeom prst="rect">
                      <a:avLst/>
                    </a:prstGeom>
                  </pic:spPr>
                </pic:pic>
              </a:graphicData>
            </a:graphic>
          </wp:inline>
        </w:drawing>
      </w:r>
    </w:p>
    <w:p w:rsidR="00F01898" w:rsidRPr="005537CA" w:rsidP="00982BC1" w14:paraId="048FDE5F" w14:textId="550D5E5A">
      <w:pPr>
        <w:spacing w:line="269" w:lineRule="auto"/>
        <w:rPr>
          <w:sz w:val="22"/>
          <w:szCs w:val="28"/>
          <w:rtl/>
        </w:rPr>
      </w:pPr>
      <w:r w:rsidRPr="005537CA">
        <w:rPr>
          <w:rFonts w:hint="cs"/>
          <w:sz w:val="18"/>
          <w:szCs w:val="22"/>
          <w:rtl/>
        </w:rPr>
        <w:t>פרסומי רשות שוק ההון, בעיבוד משרד מבקר המדינה</w:t>
      </w:r>
      <w:r w:rsidRPr="005537CA">
        <w:rPr>
          <w:rFonts w:hint="cs"/>
          <w:sz w:val="22"/>
          <w:szCs w:val="28"/>
          <w:rtl/>
        </w:rPr>
        <w:t>.</w:t>
      </w:r>
    </w:p>
    <w:p w:rsidR="00F01898" w:rsidRPr="005537CA" w:rsidP="00982BC1" w14:paraId="7CE989DE" w14:textId="089C0ABA">
      <w:pPr>
        <w:spacing w:line="269" w:lineRule="auto"/>
        <w:rPr>
          <w:sz w:val="18"/>
          <w:szCs w:val="22"/>
          <w:rtl/>
        </w:rPr>
      </w:pPr>
      <w:r w:rsidRPr="005537CA">
        <w:rPr>
          <w:rFonts w:hint="cs"/>
          <w:sz w:val="18"/>
          <w:szCs w:val="22"/>
          <w:rtl/>
        </w:rPr>
        <w:t xml:space="preserve">* דרישה מהמשקיעים המוסדיים לבצע בדיקות קפדניות, התניות פיננסיות וחוזיות שנועדו ליצור סטנדרטים וכלים מקצועיים לבחינת טיב הלווים כדי להבטיח את כספי הציבור המושקעים באמצעות המשקיעים המוסדיים. </w:t>
      </w:r>
    </w:p>
    <w:p w:rsidR="00253C38" w:rsidP="00982BC1" w14:paraId="252F604D" w14:textId="27EE2B4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58E4204" w14:textId="35EB25C3">
      <w:pPr>
        <w:spacing w:line="269" w:lineRule="auto"/>
        <w:rPr>
          <w:rtl/>
        </w:rPr>
      </w:pPr>
      <w:r w:rsidRPr="00742156">
        <w:rPr>
          <w:rFonts w:hint="cs"/>
          <w:b/>
          <w:bCs/>
          <w:rtl/>
        </w:rPr>
        <w:t>משרד מבקר המדינה מציין</w:t>
      </w:r>
      <w:r>
        <w:rPr>
          <w:rFonts w:hint="cs"/>
          <w:b/>
          <w:bCs/>
          <w:rtl/>
        </w:rPr>
        <w:t xml:space="preserve"> </w:t>
      </w:r>
      <w:r w:rsidRPr="00742156">
        <w:rPr>
          <w:rFonts w:hint="cs"/>
          <w:b/>
          <w:bCs/>
          <w:rtl/>
        </w:rPr>
        <w:t xml:space="preserve">כי </w:t>
      </w:r>
      <w:r w:rsidRPr="00742156">
        <w:rPr>
          <w:b/>
          <w:bCs/>
          <w:rtl/>
        </w:rPr>
        <w:t>בנק ישראל ורשות שוק ההון פעלו במ</w:t>
      </w:r>
      <w:r>
        <w:rPr>
          <w:b/>
          <w:bCs/>
          <w:rtl/>
        </w:rPr>
        <w:t>הירות בפרסום הקלות רגולטוריות ו</w:t>
      </w:r>
      <w:r w:rsidRPr="00742156">
        <w:rPr>
          <w:b/>
          <w:bCs/>
          <w:rtl/>
        </w:rPr>
        <w:t>הנחיות לציבור</w:t>
      </w:r>
      <w:r>
        <w:rPr>
          <w:rFonts w:hint="cs"/>
          <w:b/>
          <w:bCs/>
          <w:rtl/>
        </w:rPr>
        <w:t xml:space="preserve"> לטובת הרחבת היקף הסיוע בעת המשבר, וזאת תוך הקפדה על האיזון הנדרש להבטחת יציבות הגופים המפוקחים</w:t>
      </w:r>
      <w:r w:rsidRPr="00742156">
        <w:rPr>
          <w:b/>
          <w:bCs/>
          <w:rtl/>
        </w:rPr>
        <w:t>.</w:t>
      </w:r>
    </w:p>
    <w:p w:rsidR="005537CA" w:rsidP="00982BC1" w14:paraId="19148388" w14:textId="35903673">
      <w:pPr>
        <w:spacing w:line="269" w:lineRule="auto"/>
        <w:rPr>
          <w:rtl/>
        </w:rPr>
      </w:pPr>
    </w:p>
    <w:p w:rsidR="00253C38" w:rsidP="00982BC1" w14:paraId="5D875756" w14:textId="5402074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C2E6DD0" w14:textId="77777777">
      <w:pPr>
        <w:spacing w:line="269" w:lineRule="auto"/>
        <w:rPr>
          <w:b/>
          <w:bCs/>
          <w:rtl/>
        </w:rPr>
      </w:pPr>
      <w:r w:rsidRPr="007E5E48">
        <w:rPr>
          <w:rFonts w:hint="eastAsia"/>
          <w:b/>
          <w:bCs/>
          <w:rtl/>
        </w:rPr>
        <w:t>משיחות</w:t>
      </w:r>
      <w:r w:rsidRPr="007E5E48">
        <w:rPr>
          <w:b/>
          <w:bCs/>
          <w:rtl/>
        </w:rPr>
        <w:t xml:space="preserve"> שקיים צוות הביקורת עם הרגולטורים </w:t>
      </w:r>
      <w:r w:rsidRPr="007E5E48">
        <w:rPr>
          <w:rFonts w:hint="eastAsia"/>
          <w:b/>
          <w:bCs/>
          <w:rtl/>
        </w:rPr>
        <w:t>עולה</w:t>
      </w:r>
      <w:r w:rsidRPr="007E5E48">
        <w:rPr>
          <w:b/>
          <w:bCs/>
          <w:rtl/>
        </w:rPr>
        <w:t xml:space="preserve"> כי היעילות והמועילות של ההקלות שניתנו נמדדו בשיח שוטף עם הגופים המפוקחים, </w:t>
      </w:r>
      <w:r>
        <w:rPr>
          <w:rFonts w:hint="cs"/>
          <w:b/>
          <w:bCs/>
          <w:rtl/>
        </w:rPr>
        <w:t>אף</w:t>
      </w:r>
      <w:r w:rsidRPr="007E5E48">
        <w:rPr>
          <w:b/>
          <w:bCs/>
          <w:rtl/>
        </w:rPr>
        <w:t xml:space="preserve"> </w:t>
      </w:r>
      <w:r>
        <w:rPr>
          <w:rFonts w:hint="cs"/>
          <w:b/>
          <w:bCs/>
          <w:rtl/>
        </w:rPr>
        <w:t>ש</w:t>
      </w:r>
      <w:r w:rsidRPr="007E5E48">
        <w:rPr>
          <w:rFonts w:hint="eastAsia"/>
          <w:b/>
          <w:bCs/>
          <w:rtl/>
        </w:rPr>
        <w:t>לא</w:t>
      </w:r>
      <w:r w:rsidRPr="007E5E48">
        <w:rPr>
          <w:b/>
          <w:bCs/>
          <w:rtl/>
        </w:rPr>
        <w:t xml:space="preserve"> נעשה שימוש </w:t>
      </w:r>
      <w:r w:rsidRPr="007E5E48">
        <w:rPr>
          <w:rFonts w:hint="eastAsia"/>
          <w:b/>
          <w:bCs/>
          <w:rtl/>
        </w:rPr>
        <w:t>במדדים</w:t>
      </w:r>
      <w:r w:rsidRPr="007E5E48">
        <w:rPr>
          <w:b/>
          <w:bCs/>
          <w:rtl/>
        </w:rPr>
        <w:t xml:space="preserve"> </w:t>
      </w:r>
      <w:r w:rsidRPr="007E5E48">
        <w:rPr>
          <w:rFonts w:hint="eastAsia"/>
          <w:b/>
          <w:bCs/>
          <w:rtl/>
        </w:rPr>
        <w:t>כמותיים</w:t>
      </w:r>
      <w:r w:rsidRPr="007E5E48">
        <w:rPr>
          <w:b/>
          <w:bCs/>
          <w:rtl/>
        </w:rPr>
        <w:t xml:space="preserve">. </w:t>
      </w:r>
      <w:r w:rsidRPr="007E5E48">
        <w:rPr>
          <w:rFonts w:hint="eastAsia"/>
          <w:b/>
          <w:bCs/>
          <w:rtl/>
        </w:rPr>
        <w:t>לדעת</w:t>
      </w:r>
      <w:r w:rsidRPr="007E5E48">
        <w:rPr>
          <w:b/>
          <w:bCs/>
          <w:rtl/>
        </w:rPr>
        <w:t xml:space="preserve"> </w:t>
      </w:r>
      <w:r w:rsidRPr="007E5E48">
        <w:rPr>
          <w:rFonts w:hint="eastAsia"/>
          <w:b/>
          <w:bCs/>
          <w:rtl/>
        </w:rPr>
        <w:t>משרד</w:t>
      </w:r>
      <w:r w:rsidRPr="007E5E48">
        <w:rPr>
          <w:b/>
          <w:bCs/>
          <w:rtl/>
        </w:rPr>
        <w:t xml:space="preserve"> </w:t>
      </w:r>
      <w:r w:rsidRPr="007E5E48">
        <w:rPr>
          <w:rFonts w:hint="eastAsia"/>
          <w:b/>
          <w:bCs/>
          <w:rtl/>
        </w:rPr>
        <w:t>מבקר</w:t>
      </w:r>
      <w:r w:rsidRPr="007E5E48">
        <w:rPr>
          <w:b/>
          <w:bCs/>
          <w:rtl/>
        </w:rPr>
        <w:t xml:space="preserve"> </w:t>
      </w:r>
      <w:r w:rsidRPr="007E5E48">
        <w:rPr>
          <w:rFonts w:hint="eastAsia"/>
          <w:b/>
          <w:bCs/>
          <w:rtl/>
        </w:rPr>
        <w:t>המדינה</w:t>
      </w:r>
      <w:r w:rsidRPr="007E5E48">
        <w:rPr>
          <w:b/>
          <w:bCs/>
          <w:rtl/>
        </w:rPr>
        <w:t xml:space="preserve">, אף שהצעדים שננקטו יסודם במצב חירום, </w:t>
      </w:r>
      <w:r w:rsidRPr="007E5E48">
        <w:rPr>
          <w:rFonts w:hint="eastAsia"/>
          <w:b/>
          <w:bCs/>
          <w:rtl/>
        </w:rPr>
        <w:t>ראוי</w:t>
      </w:r>
      <w:r w:rsidRPr="007E5E48">
        <w:rPr>
          <w:b/>
          <w:bCs/>
          <w:rtl/>
        </w:rPr>
        <w:t xml:space="preserve"> לבחון </w:t>
      </w:r>
      <w:r w:rsidRPr="007E5E48">
        <w:rPr>
          <w:rFonts w:hint="eastAsia"/>
          <w:b/>
          <w:bCs/>
          <w:rtl/>
        </w:rPr>
        <w:t>אילו</w:t>
      </w:r>
      <w:r w:rsidRPr="007E5E48">
        <w:rPr>
          <w:b/>
          <w:bCs/>
          <w:rtl/>
        </w:rPr>
        <w:t xml:space="preserve"> </w:t>
      </w:r>
      <w:r w:rsidRPr="007E5E48">
        <w:rPr>
          <w:rFonts w:hint="eastAsia"/>
          <w:b/>
          <w:bCs/>
          <w:rtl/>
        </w:rPr>
        <w:t>מתוכם</w:t>
      </w:r>
      <w:r w:rsidRPr="007E5E48">
        <w:rPr>
          <w:b/>
          <w:bCs/>
          <w:rtl/>
        </w:rPr>
        <w:t xml:space="preserve"> </w:t>
      </w:r>
      <w:r w:rsidRPr="007E5E48">
        <w:rPr>
          <w:rFonts w:hint="eastAsia"/>
          <w:b/>
          <w:bCs/>
          <w:rtl/>
        </w:rPr>
        <w:t>כדאי</w:t>
      </w:r>
      <w:r w:rsidRPr="007E5E48">
        <w:rPr>
          <w:b/>
          <w:bCs/>
          <w:rtl/>
        </w:rPr>
        <w:t xml:space="preserve"> </w:t>
      </w:r>
      <w:r w:rsidRPr="007E5E48">
        <w:rPr>
          <w:rFonts w:hint="eastAsia"/>
          <w:b/>
          <w:bCs/>
          <w:rtl/>
        </w:rPr>
        <w:t>לאמץ</w:t>
      </w:r>
      <w:r w:rsidRPr="007E5E48">
        <w:rPr>
          <w:b/>
          <w:bCs/>
          <w:rtl/>
        </w:rPr>
        <w:t xml:space="preserve">, </w:t>
      </w:r>
      <w:r w:rsidRPr="007E5E48">
        <w:rPr>
          <w:rFonts w:hint="eastAsia"/>
          <w:b/>
          <w:bCs/>
          <w:rtl/>
        </w:rPr>
        <w:t>גם</w:t>
      </w:r>
      <w:r w:rsidRPr="007E5E48">
        <w:rPr>
          <w:b/>
          <w:bCs/>
          <w:rtl/>
        </w:rPr>
        <w:t xml:space="preserve"> </w:t>
      </w:r>
      <w:r w:rsidRPr="007E5E48">
        <w:rPr>
          <w:rFonts w:hint="eastAsia"/>
          <w:b/>
          <w:bCs/>
          <w:rtl/>
        </w:rPr>
        <w:t>בשגרה</w:t>
      </w:r>
      <w:r w:rsidRPr="007E5E48">
        <w:rPr>
          <w:b/>
          <w:bCs/>
          <w:rtl/>
        </w:rPr>
        <w:t xml:space="preserve"> </w:t>
      </w:r>
      <w:r w:rsidRPr="007E5E48">
        <w:rPr>
          <w:rFonts w:hint="eastAsia"/>
          <w:b/>
          <w:bCs/>
          <w:rtl/>
        </w:rPr>
        <w:t>לאור</w:t>
      </w:r>
      <w:r w:rsidRPr="007E5E48">
        <w:rPr>
          <w:b/>
          <w:bCs/>
          <w:rtl/>
        </w:rPr>
        <w:t xml:space="preserve"> </w:t>
      </w:r>
      <w:r w:rsidRPr="007E5E48">
        <w:rPr>
          <w:rFonts w:hint="eastAsia"/>
          <w:b/>
          <w:bCs/>
          <w:rtl/>
        </w:rPr>
        <w:t>הניסיון</w:t>
      </w:r>
      <w:r w:rsidRPr="007E5E48">
        <w:rPr>
          <w:b/>
          <w:bCs/>
          <w:rtl/>
        </w:rPr>
        <w:t xml:space="preserve"> </w:t>
      </w:r>
      <w:r w:rsidRPr="007E5E48">
        <w:rPr>
          <w:rFonts w:hint="eastAsia"/>
          <w:b/>
          <w:bCs/>
          <w:rtl/>
        </w:rPr>
        <w:t>שנצבר</w:t>
      </w:r>
      <w:r>
        <w:rPr>
          <w:rFonts w:hint="cs"/>
          <w:b/>
          <w:bCs/>
          <w:rtl/>
        </w:rPr>
        <w:t>.</w:t>
      </w:r>
      <w:r w:rsidRPr="007E5E48">
        <w:rPr>
          <w:b/>
          <w:bCs/>
          <w:rtl/>
        </w:rPr>
        <w:t xml:space="preserve"> </w:t>
      </w:r>
    </w:p>
    <w:p w:rsidR="00253C38" w:rsidP="00982BC1" w14:paraId="0C3789CD"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9AE2AA7" w14:textId="257194ED">
      <w:pPr>
        <w:spacing w:line="269" w:lineRule="auto"/>
        <w:rPr>
          <w:rtl/>
        </w:rPr>
      </w:pPr>
      <w:r>
        <w:rPr>
          <w:rFonts w:hint="cs"/>
          <w:rtl/>
        </w:rPr>
        <w:t>הפיקוח על הבנקים כתב למשרד מבקר המדינה ב</w:t>
      </w:r>
      <w:r w:rsidRPr="00180E1B">
        <w:rPr>
          <w:rtl/>
        </w:rPr>
        <w:t>-25.2.21</w:t>
      </w:r>
      <w:r>
        <w:rPr>
          <w:rFonts w:hint="cs"/>
          <w:rtl/>
        </w:rPr>
        <w:t xml:space="preserve"> כי לאחר העברת טיוטת הדוח נבחנו ההקלות שהותרו בהוראת השעה, ונידונה האפשרות להאריך ולאמץ הקלות מסוימות בדרך קבע. </w:t>
      </w:r>
    </w:p>
    <w:p w:rsidR="005537CA" w:rsidRPr="008C2C63" w:rsidP="00982BC1" w14:paraId="116AFD3A" w14:textId="77777777">
      <w:pPr>
        <w:spacing w:line="269" w:lineRule="auto"/>
        <w:rPr>
          <w:rtl/>
        </w:rPr>
      </w:pPr>
    </w:p>
    <w:p w:rsidR="00253C38" w:rsidRPr="00CD194E" w:rsidP="00982BC1" w14:paraId="39A736D0" w14:textId="77777777">
      <w:pPr>
        <w:pStyle w:val="Heading3"/>
        <w:spacing w:before="0" w:line="269" w:lineRule="auto"/>
        <w:jc w:val="left"/>
      </w:pPr>
      <w:r>
        <w:rPr>
          <w:rFonts w:hint="cs"/>
          <w:rtl/>
        </w:rPr>
        <w:t xml:space="preserve">האשראי שניתן לציבור במהלך המשבר </w:t>
      </w:r>
    </w:p>
    <w:p w:rsidR="00253C38" w:rsidP="00982BC1" w14:paraId="5EEEA3D9" w14:textId="1037F5A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37CE4" w:rsidP="00982BC1" w14:paraId="0410B751" w14:textId="77777777">
      <w:pPr>
        <w:spacing w:line="269" w:lineRule="auto"/>
        <w:rPr>
          <w:rtl/>
        </w:rPr>
      </w:pPr>
      <w:r>
        <w:rPr>
          <w:rFonts w:hint="cs"/>
          <w:rtl/>
        </w:rPr>
        <w:t xml:space="preserve">התפרצות נגיף הקורונה מתבטאת, בין השאר, בהאטה חדה </w:t>
      </w:r>
      <w:r w:rsidRPr="00EA6E8E">
        <w:rPr>
          <w:rFonts w:hint="cs"/>
          <w:rtl/>
        </w:rPr>
        <w:t>בפעילות הכלכלית בעולם. אחד הכלים של הממשלה</w:t>
      </w:r>
      <w:r w:rsidRPr="00EA6E8E">
        <w:rPr>
          <w:rtl/>
        </w:rPr>
        <w:t xml:space="preserve"> לטיפול במשבר </w:t>
      </w:r>
      <w:r w:rsidRPr="00EA6E8E">
        <w:rPr>
          <w:rFonts w:hint="cs"/>
          <w:rtl/>
        </w:rPr>
        <w:t>הבריאות</w:t>
      </w:r>
      <w:r w:rsidRPr="00EA6E8E">
        <w:rPr>
          <w:rtl/>
        </w:rPr>
        <w:t xml:space="preserve">, בדומה למדינות אחרות, </w:t>
      </w:r>
      <w:r w:rsidRPr="00EA6E8E">
        <w:rPr>
          <w:rFonts w:hint="cs"/>
          <w:rtl/>
        </w:rPr>
        <w:t>היה</w:t>
      </w:r>
      <w:r w:rsidRPr="00EA6E8E">
        <w:rPr>
          <w:rtl/>
        </w:rPr>
        <w:t xml:space="preserve"> </w:t>
      </w:r>
      <w:r w:rsidRPr="00EA6E8E">
        <w:rPr>
          <w:rFonts w:hint="eastAsia"/>
          <w:rtl/>
        </w:rPr>
        <w:t>הטלת</w:t>
      </w:r>
      <w:r w:rsidRPr="00EA6E8E">
        <w:rPr>
          <w:rtl/>
        </w:rPr>
        <w:t xml:space="preserve"> </w:t>
      </w:r>
      <w:r w:rsidRPr="00EA6E8E">
        <w:rPr>
          <w:rFonts w:hint="eastAsia"/>
          <w:rtl/>
        </w:rPr>
        <w:t>סגרים</w:t>
      </w:r>
      <w:r w:rsidRPr="00EA6E8E">
        <w:rPr>
          <w:rtl/>
        </w:rPr>
        <w:t xml:space="preserve"> </w:t>
      </w:r>
      <w:r w:rsidRPr="00EA6E8E">
        <w:rPr>
          <w:rFonts w:hint="eastAsia"/>
          <w:rtl/>
        </w:rPr>
        <w:t>על</w:t>
      </w:r>
      <w:r w:rsidRPr="00EA6E8E">
        <w:rPr>
          <w:rtl/>
        </w:rPr>
        <w:t xml:space="preserve"> </w:t>
      </w:r>
      <w:r w:rsidRPr="00EA6E8E">
        <w:rPr>
          <w:rFonts w:hint="eastAsia"/>
          <w:rtl/>
        </w:rPr>
        <w:t>חלק</w:t>
      </w:r>
      <w:r w:rsidRPr="00EA6E8E">
        <w:rPr>
          <w:rtl/>
        </w:rPr>
        <w:t xml:space="preserve"> </w:t>
      </w:r>
      <w:r w:rsidRPr="00EA6E8E">
        <w:rPr>
          <w:rFonts w:hint="eastAsia"/>
          <w:rtl/>
        </w:rPr>
        <w:t>ניכר</w:t>
      </w:r>
      <w:r w:rsidRPr="00EA6E8E">
        <w:rPr>
          <w:rtl/>
        </w:rPr>
        <w:t xml:space="preserve"> </w:t>
      </w:r>
      <w:r w:rsidRPr="00EA6E8E">
        <w:rPr>
          <w:rFonts w:hint="eastAsia"/>
          <w:rtl/>
        </w:rPr>
        <w:t>מהאוכלוסייה</w:t>
      </w:r>
      <w:r w:rsidRPr="00EA6E8E">
        <w:rPr>
          <w:rFonts w:hint="cs"/>
          <w:rtl/>
        </w:rPr>
        <w:t>. מדיניות זו</w:t>
      </w:r>
      <w:r w:rsidRPr="00EA6E8E">
        <w:rPr>
          <w:rtl/>
        </w:rPr>
        <w:t xml:space="preserve"> גררה את המשק למשבר כלכלי</w:t>
      </w:r>
      <w:r w:rsidRPr="00EA6E8E">
        <w:rPr>
          <w:rFonts w:hint="cs"/>
          <w:rtl/>
        </w:rPr>
        <w:t>, ובייחוד להשבתת</w:t>
      </w:r>
      <w:r>
        <w:rPr>
          <w:rFonts w:hint="cs"/>
          <w:rtl/>
        </w:rPr>
        <w:t xml:space="preserve"> פעילות הסחר העולמי ופעילותם של גורמי היצע מענפים שונים במשק. לצד זאת נרשמה ירידה חדה בצד הביקוש בעקבות הפגיעה בהכנסתם השוטפת של הצרכנים והתעצמות תחושת אי-הוודאות</w:t>
      </w:r>
      <w:r w:rsidR="00EA6E8E">
        <w:rPr>
          <w:rFonts w:hint="cs"/>
          <w:rtl/>
        </w:rPr>
        <w:t xml:space="preserve"> בקרב כלל המשק</w:t>
      </w:r>
      <w:r>
        <w:rPr>
          <w:rFonts w:hint="cs"/>
          <w:rtl/>
        </w:rPr>
        <w:t>.</w:t>
      </w:r>
    </w:p>
    <w:p w:rsidR="00253C38" w:rsidP="00982BC1" w14:paraId="10555F18" w14:textId="591B639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62DC5D4" w14:textId="77777777">
      <w:pPr>
        <w:spacing w:line="269" w:lineRule="auto"/>
        <w:rPr>
          <w:rtl/>
        </w:rPr>
      </w:pPr>
      <w:r>
        <w:rPr>
          <w:rFonts w:hint="cs"/>
          <w:rtl/>
        </w:rPr>
        <w:t>המשבר הכלכלי מתאפיין בעיקרו במצוקת נזילות של משקי בית ועסקים רבים. הפגיעה החמורה בהכנסותיהם של שני המגזרים, לצד התחייבויותיהם הקשיחות אילצה אותם לפנות לקבלת אשראי מגופים פיננסיים ולדחות תשלומי חוב כדי לגשר על הפער התזרימי שנוצר ולצלוח את המשבר. תרשים 3 להלן מציג את התפתחות יתרות האשראי במשק לפי מקורו, בהשוואה למגזרי הפעילות העיקריים לפני המשבר.</w:t>
      </w:r>
    </w:p>
    <w:p w:rsidR="00253C38" w:rsidP="00982BC1" w14:paraId="150B3301" w14:textId="13A3318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9B070CC" w14:textId="6A9442CC">
      <w:pPr>
        <w:spacing w:line="269" w:lineRule="auto"/>
        <w:jc w:val="center"/>
        <w:rPr>
          <w:rtl/>
        </w:rPr>
      </w:pPr>
      <w:r w:rsidRPr="00DF5110">
        <w:rPr>
          <w:rFonts w:hint="eastAsia"/>
          <w:b/>
          <w:bCs/>
          <w:rtl/>
        </w:rPr>
        <w:t>תרשים</w:t>
      </w:r>
      <w:r w:rsidRPr="00DF5110">
        <w:rPr>
          <w:b/>
          <w:bCs/>
          <w:rtl/>
        </w:rPr>
        <w:t xml:space="preserve"> 3: התפתחות יתרות האשראי במשק לפי </w:t>
      </w:r>
      <w:r w:rsidRPr="00DF5110">
        <w:rPr>
          <w:rFonts w:hint="eastAsia"/>
          <w:b/>
          <w:bCs/>
          <w:rtl/>
        </w:rPr>
        <w:t>מקורו</w:t>
      </w:r>
      <w:r>
        <w:rPr>
          <w:rFonts w:hint="cs"/>
          <w:rtl/>
        </w:rPr>
        <w:t xml:space="preserve"> </w:t>
      </w:r>
      <w:r>
        <w:rPr>
          <w:rFonts w:hint="cs"/>
          <w:b/>
          <w:bCs/>
          <w:rtl/>
        </w:rPr>
        <w:t>ב</w:t>
      </w:r>
      <w:r w:rsidRPr="005C71B3">
        <w:rPr>
          <w:rFonts w:hint="cs"/>
          <w:b/>
          <w:bCs/>
          <w:rtl/>
        </w:rPr>
        <w:t>מגזרי</w:t>
      </w:r>
      <w:r w:rsidRPr="00DF5110">
        <w:rPr>
          <w:b/>
          <w:bCs/>
          <w:rtl/>
        </w:rPr>
        <w:t xml:space="preserve"> הפעילות </w:t>
      </w:r>
      <w:r w:rsidRPr="005C71B3">
        <w:rPr>
          <w:rFonts w:hint="cs"/>
          <w:b/>
          <w:bCs/>
          <w:rtl/>
        </w:rPr>
        <w:t>ה</w:t>
      </w:r>
      <w:r>
        <w:rPr>
          <w:rFonts w:hint="cs"/>
          <w:b/>
          <w:bCs/>
          <w:rtl/>
        </w:rPr>
        <w:t>עיקריים,</w:t>
      </w:r>
      <w:r w:rsidRPr="00DF5110">
        <w:rPr>
          <w:b/>
          <w:bCs/>
          <w:rtl/>
        </w:rPr>
        <w:t xml:space="preserve"> 2016 - 2019</w:t>
      </w:r>
      <w:r>
        <w:rPr>
          <w:rFonts w:hint="cs"/>
          <w:b/>
          <w:bCs/>
          <w:rtl/>
        </w:rPr>
        <w:t xml:space="preserve"> (</w:t>
      </w:r>
      <w:r w:rsidRPr="00DF5110">
        <w:rPr>
          <w:rFonts w:hint="eastAsia"/>
          <w:b/>
          <w:bCs/>
          <w:rtl/>
        </w:rPr>
        <w:t>במיליארדי</w:t>
      </w:r>
      <w:r w:rsidRPr="00DF5110">
        <w:rPr>
          <w:b/>
          <w:bCs/>
          <w:rtl/>
        </w:rPr>
        <w:t xml:space="preserve"> </w:t>
      </w:r>
      <w:r w:rsidRPr="00DF5110">
        <w:rPr>
          <w:rFonts w:hint="eastAsia"/>
          <w:b/>
          <w:bCs/>
          <w:rtl/>
        </w:rPr>
        <w:t>ש</w:t>
      </w:r>
      <w:r w:rsidRPr="00DF5110">
        <w:rPr>
          <w:b/>
          <w:bCs/>
          <w:rtl/>
        </w:rPr>
        <w:t>"ח</w:t>
      </w:r>
      <w:r>
        <w:rPr>
          <w:rFonts w:hint="cs"/>
          <w:b/>
          <w:bCs/>
          <w:rtl/>
        </w:rPr>
        <w:t>)</w:t>
      </w:r>
      <w:r>
        <w:rPr>
          <w:rStyle w:val="FootnoteReference"/>
          <w:rtl/>
        </w:rPr>
        <w:footnoteReference w:id="12"/>
      </w:r>
    </w:p>
    <w:p w:rsidR="00253C38" w:rsidP="00982BC1" w14:paraId="30E42E3B" w14:textId="77777777">
      <w:pPr>
        <w:spacing w:line="269" w:lineRule="auto"/>
        <w:ind w:left="-850"/>
        <w:jc w:val="center"/>
        <w:rPr>
          <w:rtl/>
        </w:rPr>
      </w:pPr>
      <w:r>
        <w:rPr>
          <w:noProof/>
        </w:rPr>
        <w:drawing>
          <wp:inline distT="0" distB="0" distL="0" distR="0">
            <wp:extent cx="5995359" cy="3317374"/>
            <wp:effectExtent l="0" t="0" r="5715" b="0"/>
            <wp:docPr id="1743882403" name="תמונה 17438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52365" name=""/>
                    <pic:cNvPicPr/>
                  </pic:nvPicPr>
                  <pic:blipFill>
                    <a:blip xmlns:r="http://schemas.openxmlformats.org/officeDocument/2006/relationships" r:embed="rId8"/>
                    <a:stretch>
                      <a:fillRect/>
                    </a:stretch>
                  </pic:blipFill>
                  <pic:spPr>
                    <a:xfrm>
                      <a:off x="0" y="0"/>
                      <a:ext cx="6021534" cy="3331857"/>
                    </a:xfrm>
                    <a:prstGeom prst="rect">
                      <a:avLst/>
                    </a:prstGeom>
                  </pic:spPr>
                </pic:pic>
              </a:graphicData>
            </a:graphic>
          </wp:inline>
        </w:drawing>
      </w:r>
    </w:p>
    <w:p w:rsidR="00253C38" w:rsidRPr="005537CA" w:rsidP="00982BC1" w14:paraId="3CCE6B65" w14:textId="77777777">
      <w:pPr>
        <w:spacing w:line="269" w:lineRule="auto"/>
        <w:rPr>
          <w:sz w:val="18"/>
          <w:szCs w:val="22"/>
          <w:rtl/>
        </w:rPr>
      </w:pPr>
      <w:r w:rsidRPr="005537CA">
        <w:rPr>
          <w:rFonts w:hint="cs"/>
          <w:sz w:val="18"/>
          <w:szCs w:val="22"/>
          <w:rtl/>
        </w:rPr>
        <w:t xml:space="preserve">נתוני בנק ישראל, בעיבוד משרד מבקר המדינה. </w:t>
      </w:r>
    </w:p>
    <w:p w:rsidR="00253C38" w:rsidP="00982BC1" w14:paraId="55FAD2FD" w14:textId="0CAE5E3F">
      <w:pPr>
        <w:spacing w:line="269" w:lineRule="auto"/>
        <w:rPr>
          <w:sz w:val="18"/>
          <w:szCs w:val="22"/>
          <w:rtl/>
        </w:rPr>
      </w:pPr>
      <w:r w:rsidRPr="005537CA">
        <w:rPr>
          <w:rFonts w:hint="cs"/>
          <w:sz w:val="18"/>
          <w:szCs w:val="22"/>
          <w:rtl/>
        </w:rPr>
        <w:t xml:space="preserve">* לרבות אשראי הניתן מחברות כרטיסי האשראי, מתושבי חוץ, ממשקי בית ומהממשלה (אשראי מוכוון). </w:t>
      </w:r>
    </w:p>
    <w:p w:rsidR="005537CA" w:rsidP="00982BC1" w14:paraId="18624FE9" w14:textId="01AD679B">
      <w:pPr>
        <w:spacing w:line="269" w:lineRule="auto"/>
        <w:rPr>
          <w:sz w:val="18"/>
          <w:szCs w:val="22"/>
          <w:rtl/>
        </w:rPr>
      </w:pPr>
    </w:p>
    <w:p w:rsidR="00F27D12" w:rsidP="00982BC1" w14:paraId="0A5D8D38" w14:textId="77777777">
      <w:pPr>
        <w:pStyle w:val="a"/>
        <w:spacing w:line="269" w:lineRule="auto"/>
        <w:rPr>
          <w:rtl/>
        </w:rPr>
      </w:pPr>
    </w:p>
    <w:p w:rsidR="00253C38" w:rsidP="00982BC1" w14:paraId="127D10D3" w14:textId="357CA89E">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62FB2B1E" w14:textId="77777777">
      <w:pPr>
        <w:spacing w:line="269" w:lineRule="auto"/>
        <w:rPr>
          <w:rtl/>
        </w:rPr>
      </w:pPr>
      <w:r>
        <w:rPr>
          <w:rFonts w:hint="cs"/>
          <w:rtl/>
        </w:rPr>
        <w:t>מ</w:t>
      </w:r>
      <w:r w:rsidRPr="00AC667C">
        <w:rPr>
          <w:rFonts w:hint="cs"/>
          <w:rtl/>
        </w:rPr>
        <w:t>התרשים</w:t>
      </w:r>
      <w:r>
        <w:rPr>
          <w:rFonts w:hint="cs"/>
          <w:rtl/>
        </w:rPr>
        <w:t xml:space="preserve"> ניכרת מגמת עלייה בשנים 2016 - 2019 </w:t>
      </w:r>
      <w:r w:rsidRPr="00AC667C">
        <w:rPr>
          <w:rFonts w:hint="cs"/>
          <w:rtl/>
        </w:rPr>
        <w:t>ביתרות האשראי</w:t>
      </w:r>
      <w:r>
        <w:rPr>
          <w:rFonts w:hint="cs"/>
          <w:rtl/>
        </w:rPr>
        <w:t xml:space="preserve"> </w:t>
      </w:r>
      <w:r w:rsidRPr="00AC667C">
        <w:rPr>
          <w:rFonts w:hint="cs"/>
          <w:rtl/>
        </w:rPr>
        <w:t>ב</w:t>
      </w:r>
      <w:r>
        <w:rPr>
          <w:rFonts w:hint="cs"/>
          <w:rtl/>
        </w:rPr>
        <w:t>כל מגזרי הפעילות, בדומה למגמת הגידול בתוצר ולהרחבת הפעילות הכלכלית בשנים הללו</w:t>
      </w:r>
      <w:r>
        <w:rPr>
          <w:rStyle w:val="FootnoteReference"/>
          <w:rtl/>
        </w:rPr>
        <w:footnoteReference w:id="13"/>
      </w:r>
      <w:r>
        <w:rPr>
          <w:rFonts w:hint="cs"/>
          <w:rtl/>
        </w:rPr>
        <w:t xml:space="preserve">, אגב שמירה על התפלגות יציבה ביניהם </w:t>
      </w:r>
      <w:r w:rsidRPr="00AC667C">
        <w:rPr>
          <w:rFonts w:hint="cs"/>
          <w:rtl/>
        </w:rPr>
        <w:t>ל</w:t>
      </w:r>
      <w:r>
        <w:rPr>
          <w:rFonts w:hint="cs"/>
          <w:rtl/>
        </w:rPr>
        <w:t xml:space="preserve">כל </w:t>
      </w:r>
      <w:r w:rsidRPr="00AC667C">
        <w:rPr>
          <w:rFonts w:hint="cs"/>
          <w:rtl/>
        </w:rPr>
        <w:t>אורך התקופה</w:t>
      </w:r>
      <w:r>
        <w:rPr>
          <w:rFonts w:hint="cs"/>
          <w:rtl/>
        </w:rPr>
        <w:t xml:space="preserve">. במהלך תקופה זו הוקצה </w:t>
      </w:r>
      <w:r w:rsidRPr="00AC667C">
        <w:rPr>
          <w:rFonts w:hint="cs"/>
          <w:rtl/>
        </w:rPr>
        <w:t>עיקר</w:t>
      </w:r>
      <w:r>
        <w:rPr>
          <w:rFonts w:hint="cs"/>
          <w:rtl/>
        </w:rPr>
        <w:t xml:space="preserve"> האשראי למגזר העסקי, ובשני מגזרי הפעילות הנוספים, הלוואות לדיור ואשראי למשקי בית (ללא דיור), בלט חלקו של האשראי שמקורו במערכת הבנקאית.</w:t>
      </w:r>
    </w:p>
    <w:p w:rsidR="00253C38" w:rsidP="00982BC1" w14:paraId="58B20E24" w14:textId="7A616C4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1D558AA" w14:textId="77777777">
      <w:pPr>
        <w:spacing w:line="269" w:lineRule="auto"/>
        <w:rPr>
          <w:rtl/>
        </w:rPr>
      </w:pPr>
      <w:r>
        <w:rPr>
          <w:rFonts w:hint="cs"/>
          <w:rtl/>
        </w:rPr>
        <w:t>תרשים 4 להלן מציג את התפתחות יתרות האשראי במשק לפי מקורו בהתייחסות למגזרי הפעילות העיקריים במהלך המשבר.</w:t>
      </w:r>
    </w:p>
    <w:p w:rsidR="00253C38" w:rsidP="00982BC1" w14:paraId="30B74694" w14:textId="2D8DED6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021B66EC" w14:textId="713C1240">
      <w:pPr>
        <w:spacing w:line="269" w:lineRule="auto"/>
        <w:jc w:val="center"/>
        <w:rPr>
          <w:b/>
          <w:bCs/>
          <w:rtl/>
        </w:rPr>
      </w:pPr>
      <w:r w:rsidRPr="00DF5110">
        <w:rPr>
          <w:rFonts w:hint="eastAsia"/>
          <w:b/>
          <w:bCs/>
          <w:rtl/>
        </w:rPr>
        <w:t>תרשים</w:t>
      </w:r>
      <w:r w:rsidRPr="00DF5110">
        <w:rPr>
          <w:b/>
          <w:bCs/>
          <w:rtl/>
        </w:rPr>
        <w:t xml:space="preserve"> 4: </w:t>
      </w:r>
      <w:r w:rsidRPr="00DF5110">
        <w:rPr>
          <w:rFonts w:hint="eastAsia"/>
          <w:b/>
          <w:bCs/>
          <w:rtl/>
        </w:rPr>
        <w:t>השינוי</w:t>
      </w:r>
      <w:r w:rsidRPr="00DF5110">
        <w:rPr>
          <w:b/>
          <w:bCs/>
          <w:rtl/>
        </w:rPr>
        <w:t xml:space="preserve"> </w:t>
      </w:r>
      <w:r w:rsidRPr="00DF5110">
        <w:rPr>
          <w:rFonts w:hint="eastAsia"/>
          <w:b/>
          <w:bCs/>
          <w:rtl/>
        </w:rPr>
        <w:t>ביתרות</w:t>
      </w:r>
      <w:r w:rsidRPr="00DF5110">
        <w:rPr>
          <w:b/>
          <w:bCs/>
          <w:rtl/>
        </w:rPr>
        <w:t xml:space="preserve"> </w:t>
      </w:r>
      <w:r w:rsidRPr="00DF5110">
        <w:rPr>
          <w:rFonts w:hint="eastAsia"/>
          <w:b/>
          <w:bCs/>
          <w:rtl/>
        </w:rPr>
        <w:t>האשראי</w:t>
      </w:r>
      <w:r w:rsidRPr="00DF5110">
        <w:rPr>
          <w:b/>
          <w:bCs/>
          <w:rtl/>
        </w:rPr>
        <w:t xml:space="preserve"> </w:t>
      </w:r>
      <w:r w:rsidRPr="00DF5110">
        <w:rPr>
          <w:rFonts w:hint="eastAsia"/>
          <w:b/>
          <w:bCs/>
          <w:rtl/>
        </w:rPr>
        <w:t>במגזרי</w:t>
      </w:r>
      <w:r w:rsidRPr="00DF5110">
        <w:rPr>
          <w:b/>
          <w:bCs/>
          <w:rtl/>
        </w:rPr>
        <w:t xml:space="preserve"> </w:t>
      </w:r>
      <w:r w:rsidRPr="00DF5110">
        <w:rPr>
          <w:rFonts w:hint="eastAsia"/>
          <w:b/>
          <w:bCs/>
          <w:rtl/>
        </w:rPr>
        <w:t>הפעילות</w:t>
      </w:r>
      <w:r w:rsidRPr="00DF5110">
        <w:rPr>
          <w:b/>
          <w:bCs/>
          <w:rtl/>
        </w:rPr>
        <w:t xml:space="preserve"> </w:t>
      </w:r>
      <w:r w:rsidRPr="00DF5110">
        <w:rPr>
          <w:rFonts w:hint="eastAsia"/>
          <w:b/>
          <w:bCs/>
          <w:rtl/>
        </w:rPr>
        <w:t>המרכזיים</w:t>
      </w:r>
      <w:r w:rsidRPr="008D1F2A">
        <w:rPr>
          <w:rFonts w:hint="cs"/>
          <w:b/>
          <w:bCs/>
          <w:rtl/>
        </w:rPr>
        <w:t>,</w:t>
      </w:r>
      <w:r w:rsidRPr="00856D48">
        <w:rPr>
          <w:b/>
          <w:bCs/>
          <w:rtl/>
        </w:rPr>
        <w:t xml:space="preserve"> </w:t>
      </w:r>
      <w:r w:rsidRPr="00856D48">
        <w:rPr>
          <w:rFonts w:hint="eastAsia"/>
          <w:b/>
          <w:bCs/>
          <w:rtl/>
        </w:rPr>
        <w:t>ינואר</w:t>
      </w:r>
      <w:r w:rsidRPr="00856D48">
        <w:rPr>
          <w:b/>
          <w:bCs/>
          <w:rtl/>
        </w:rPr>
        <w:t xml:space="preserve"> </w:t>
      </w:r>
      <w:r w:rsidRPr="008D1F2A">
        <w:rPr>
          <w:rFonts w:hint="cs"/>
          <w:b/>
          <w:bCs/>
          <w:rtl/>
        </w:rPr>
        <w:t>- אוגוסט</w:t>
      </w:r>
      <w:r w:rsidRPr="00DF5110">
        <w:rPr>
          <w:b/>
          <w:bCs/>
          <w:rtl/>
        </w:rPr>
        <w:t xml:space="preserve"> 2020</w:t>
      </w:r>
      <w:r w:rsidRPr="008D1F2A">
        <w:rPr>
          <w:rFonts w:hint="cs"/>
          <w:b/>
          <w:bCs/>
          <w:rtl/>
        </w:rPr>
        <w:t xml:space="preserve"> (</w:t>
      </w:r>
      <w:r w:rsidRPr="00DF5110">
        <w:rPr>
          <w:rFonts w:hint="eastAsia"/>
          <w:b/>
          <w:bCs/>
          <w:rtl/>
        </w:rPr>
        <w:t>במיליארדי</w:t>
      </w:r>
      <w:r w:rsidRPr="00DF5110">
        <w:rPr>
          <w:b/>
          <w:bCs/>
          <w:rtl/>
        </w:rPr>
        <w:t xml:space="preserve"> </w:t>
      </w:r>
      <w:r w:rsidRPr="00DF5110">
        <w:rPr>
          <w:rFonts w:hint="eastAsia"/>
          <w:b/>
          <w:bCs/>
          <w:rtl/>
        </w:rPr>
        <w:t>ש</w:t>
      </w:r>
      <w:r w:rsidRPr="00DF5110">
        <w:rPr>
          <w:b/>
          <w:bCs/>
          <w:rtl/>
        </w:rPr>
        <w:t>"ח</w:t>
      </w:r>
      <w:r w:rsidRPr="008D1F2A">
        <w:rPr>
          <w:rFonts w:hint="cs"/>
          <w:b/>
          <w:bCs/>
          <w:rtl/>
        </w:rPr>
        <w:t>)</w:t>
      </w:r>
    </w:p>
    <w:p w:rsidR="00253C38" w:rsidP="00982BC1" w14:paraId="70482653" w14:textId="77777777">
      <w:pPr>
        <w:spacing w:line="269" w:lineRule="auto"/>
        <w:ind w:left="-1559"/>
        <w:jc w:val="center"/>
        <w:rPr>
          <w:rtl/>
        </w:rPr>
      </w:pPr>
      <w:r>
        <w:rPr>
          <w:noProof/>
        </w:rPr>
        <w:drawing>
          <wp:inline distT="0" distB="0" distL="0" distR="0">
            <wp:extent cx="7247890" cy="2235719"/>
            <wp:effectExtent l="0" t="0" r="0" b="0"/>
            <wp:docPr id="1743882404" name="תמונה 174388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70190" name=""/>
                    <pic:cNvPicPr/>
                  </pic:nvPicPr>
                  <pic:blipFill>
                    <a:blip xmlns:r="http://schemas.openxmlformats.org/officeDocument/2006/relationships" r:embed="rId9"/>
                    <a:stretch>
                      <a:fillRect/>
                    </a:stretch>
                  </pic:blipFill>
                  <pic:spPr>
                    <a:xfrm>
                      <a:off x="0" y="0"/>
                      <a:ext cx="7292606" cy="2249512"/>
                    </a:xfrm>
                    <a:prstGeom prst="rect">
                      <a:avLst/>
                    </a:prstGeom>
                  </pic:spPr>
                </pic:pic>
              </a:graphicData>
            </a:graphic>
          </wp:inline>
        </w:drawing>
      </w:r>
    </w:p>
    <w:p w:rsidR="00253C38" w:rsidRPr="005537CA" w:rsidP="00982BC1" w14:paraId="1AF34002" w14:textId="77777777">
      <w:pPr>
        <w:spacing w:line="269" w:lineRule="auto"/>
        <w:rPr>
          <w:sz w:val="18"/>
          <w:szCs w:val="22"/>
          <w:rtl/>
        </w:rPr>
      </w:pPr>
      <w:r w:rsidRPr="005537CA">
        <w:rPr>
          <w:rFonts w:hint="cs"/>
          <w:sz w:val="18"/>
          <w:szCs w:val="22"/>
          <w:rtl/>
        </w:rPr>
        <w:t>נתוני בנק ישראל, בעיבוד משרד מבקר המדינה.</w:t>
      </w:r>
    </w:p>
    <w:p w:rsidR="00253C38" w:rsidRPr="005537CA" w:rsidP="00982BC1" w14:paraId="00EB4EE4" w14:textId="77777777">
      <w:pPr>
        <w:spacing w:line="269" w:lineRule="auto"/>
        <w:rPr>
          <w:sz w:val="18"/>
          <w:szCs w:val="22"/>
          <w:rtl/>
        </w:rPr>
      </w:pPr>
      <w:r w:rsidRPr="005537CA">
        <w:rPr>
          <w:rFonts w:hint="cs"/>
          <w:sz w:val="18"/>
          <w:szCs w:val="22"/>
          <w:rtl/>
        </w:rPr>
        <w:t>* לרבות אשראי הניתן מחברות כרטיסי האשראי, מתושבי חוץ, ממשקי בית ומהממשלה (אשראי מוכוון).</w:t>
      </w:r>
    </w:p>
    <w:p w:rsidR="00253C38" w:rsidP="00982BC1" w14:paraId="5E3E4337" w14:textId="0E47A5A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0C7539" w:rsidP="00982BC1" w14:paraId="15A56C47" w14:textId="77777777">
      <w:pPr>
        <w:spacing w:line="269" w:lineRule="auto"/>
        <w:rPr>
          <w:b/>
          <w:bCs/>
          <w:rtl/>
        </w:rPr>
      </w:pPr>
      <w:r w:rsidRPr="000C7539">
        <w:rPr>
          <w:rFonts w:hint="eastAsia"/>
          <w:b/>
          <w:bCs/>
          <w:rtl/>
        </w:rPr>
        <w:t>מ</w:t>
      </w:r>
      <w:r>
        <w:rPr>
          <w:rFonts w:hint="cs"/>
          <w:b/>
          <w:bCs/>
          <w:rtl/>
        </w:rPr>
        <w:t xml:space="preserve">ן </w:t>
      </w:r>
      <w:r w:rsidRPr="000C7539">
        <w:rPr>
          <w:rFonts w:hint="eastAsia"/>
          <w:b/>
          <w:bCs/>
          <w:rtl/>
        </w:rPr>
        <w:t>התרשים</w:t>
      </w:r>
      <w:r w:rsidRPr="000C7539">
        <w:rPr>
          <w:b/>
          <w:bCs/>
          <w:rtl/>
        </w:rPr>
        <w:t xml:space="preserve"> </w:t>
      </w:r>
      <w:r w:rsidRPr="000C7539">
        <w:rPr>
          <w:rFonts w:hint="eastAsia"/>
          <w:b/>
          <w:bCs/>
          <w:rtl/>
        </w:rPr>
        <w:t>ניכר</w:t>
      </w:r>
      <w:r>
        <w:rPr>
          <w:rFonts w:hint="cs"/>
          <w:b/>
          <w:bCs/>
          <w:rtl/>
        </w:rPr>
        <w:t>ו</w:t>
      </w:r>
      <w:r w:rsidRPr="000C7539">
        <w:rPr>
          <w:rFonts w:hint="eastAsia"/>
          <w:b/>
          <w:bCs/>
          <w:rtl/>
        </w:rPr>
        <w:t>ת</w:t>
      </w:r>
      <w:r w:rsidRPr="000C7539">
        <w:rPr>
          <w:b/>
          <w:bCs/>
          <w:rtl/>
        </w:rPr>
        <w:t xml:space="preserve"> </w:t>
      </w:r>
      <w:r w:rsidRPr="000C7539">
        <w:rPr>
          <w:rFonts w:hint="eastAsia"/>
          <w:b/>
          <w:bCs/>
          <w:rtl/>
        </w:rPr>
        <w:t>מגמת</w:t>
      </w:r>
      <w:r w:rsidRPr="000C7539">
        <w:rPr>
          <w:b/>
          <w:bCs/>
          <w:rtl/>
        </w:rPr>
        <w:t xml:space="preserve"> </w:t>
      </w:r>
      <w:r w:rsidRPr="0082186B">
        <w:rPr>
          <w:rFonts w:hint="eastAsia"/>
          <w:b/>
          <w:bCs/>
          <w:rtl/>
        </w:rPr>
        <w:t>עלייה</w:t>
      </w:r>
      <w:r w:rsidRPr="0082186B">
        <w:rPr>
          <w:b/>
          <w:bCs/>
          <w:rtl/>
        </w:rPr>
        <w:t xml:space="preserve"> </w:t>
      </w:r>
      <w:r w:rsidRPr="0082186B">
        <w:rPr>
          <w:rFonts w:hint="eastAsia"/>
          <w:b/>
          <w:bCs/>
          <w:rtl/>
        </w:rPr>
        <w:t>ב</w:t>
      </w:r>
      <w:r>
        <w:rPr>
          <w:rFonts w:hint="cs"/>
          <w:b/>
          <w:bCs/>
          <w:rtl/>
        </w:rPr>
        <w:t>מהלך התקופה</w:t>
      </w:r>
      <w:r w:rsidRPr="0082186B">
        <w:rPr>
          <w:b/>
          <w:bCs/>
          <w:rtl/>
        </w:rPr>
        <w:t xml:space="preserve"> </w:t>
      </w:r>
      <w:r w:rsidRPr="0082186B">
        <w:rPr>
          <w:rFonts w:hint="eastAsia"/>
          <w:b/>
          <w:bCs/>
          <w:rtl/>
        </w:rPr>
        <w:t>בהלוואות</w:t>
      </w:r>
      <w:r w:rsidRPr="0082186B">
        <w:rPr>
          <w:b/>
          <w:bCs/>
          <w:rtl/>
        </w:rPr>
        <w:t xml:space="preserve"> </w:t>
      </w:r>
      <w:r w:rsidRPr="000C7539">
        <w:rPr>
          <w:rFonts w:hint="eastAsia"/>
          <w:b/>
          <w:bCs/>
          <w:rtl/>
        </w:rPr>
        <w:t>לדיור</w:t>
      </w:r>
      <w:r w:rsidR="00905565">
        <w:rPr>
          <w:rFonts w:hint="cs"/>
          <w:b/>
          <w:bCs/>
          <w:rtl/>
        </w:rPr>
        <w:t xml:space="preserve"> ומגמת ירידה </w:t>
      </w:r>
      <w:r w:rsidRPr="000C7539">
        <w:rPr>
          <w:rFonts w:hint="eastAsia"/>
          <w:b/>
          <w:bCs/>
          <w:rtl/>
        </w:rPr>
        <w:t>באשראי</w:t>
      </w:r>
      <w:r w:rsidRPr="000C7539">
        <w:rPr>
          <w:b/>
          <w:bCs/>
          <w:rtl/>
        </w:rPr>
        <w:t xml:space="preserve"> </w:t>
      </w:r>
      <w:r w:rsidRPr="000C7539">
        <w:rPr>
          <w:rFonts w:hint="eastAsia"/>
          <w:b/>
          <w:bCs/>
          <w:rtl/>
        </w:rPr>
        <w:t>למשקי</w:t>
      </w:r>
      <w:r w:rsidRPr="000C7539">
        <w:rPr>
          <w:b/>
          <w:bCs/>
          <w:rtl/>
        </w:rPr>
        <w:t xml:space="preserve"> </w:t>
      </w:r>
      <w:r w:rsidRPr="000C7539">
        <w:rPr>
          <w:rFonts w:hint="eastAsia"/>
          <w:b/>
          <w:bCs/>
          <w:rtl/>
        </w:rPr>
        <w:t>בית</w:t>
      </w:r>
      <w:r w:rsidRPr="000C7539">
        <w:rPr>
          <w:b/>
          <w:bCs/>
          <w:rtl/>
        </w:rPr>
        <w:t xml:space="preserve"> </w:t>
      </w:r>
      <w:r>
        <w:rPr>
          <w:rFonts w:hint="cs"/>
          <w:b/>
          <w:bCs/>
          <w:rtl/>
        </w:rPr>
        <w:t xml:space="preserve">- </w:t>
      </w:r>
      <w:r w:rsidRPr="000C7539">
        <w:rPr>
          <w:b/>
          <w:bCs/>
          <w:rtl/>
        </w:rPr>
        <w:t>ללא דיור</w:t>
      </w:r>
      <w:r>
        <w:rPr>
          <w:rFonts w:hint="cs"/>
          <w:b/>
          <w:bCs/>
          <w:rtl/>
        </w:rPr>
        <w:t>,</w:t>
      </w:r>
      <w:r w:rsidRPr="000C7539">
        <w:rPr>
          <w:b/>
          <w:bCs/>
          <w:rtl/>
        </w:rPr>
        <w:t xml:space="preserve"> </w:t>
      </w:r>
      <w:r>
        <w:rPr>
          <w:rFonts w:hint="cs"/>
          <w:b/>
          <w:bCs/>
          <w:rtl/>
        </w:rPr>
        <w:t>הנובעות מ</w:t>
      </w:r>
      <w:r w:rsidRPr="000C7539">
        <w:rPr>
          <w:rFonts w:hint="eastAsia"/>
          <w:b/>
          <w:bCs/>
          <w:rtl/>
        </w:rPr>
        <w:t>שינויים</w:t>
      </w:r>
      <w:r w:rsidRPr="000C7539">
        <w:rPr>
          <w:b/>
          <w:bCs/>
          <w:rtl/>
        </w:rPr>
        <w:t xml:space="preserve"> </w:t>
      </w:r>
      <w:r w:rsidRPr="000C7539">
        <w:rPr>
          <w:rFonts w:hint="eastAsia"/>
          <w:b/>
          <w:bCs/>
          <w:rtl/>
        </w:rPr>
        <w:t>ביתרות</w:t>
      </w:r>
      <w:r w:rsidRPr="000C7539">
        <w:rPr>
          <w:b/>
          <w:bCs/>
          <w:rtl/>
        </w:rPr>
        <w:t xml:space="preserve"> </w:t>
      </w:r>
      <w:r w:rsidRPr="000C7539">
        <w:rPr>
          <w:rFonts w:hint="eastAsia"/>
          <w:b/>
          <w:bCs/>
          <w:rtl/>
        </w:rPr>
        <w:t>האשראי</w:t>
      </w:r>
      <w:r w:rsidRPr="000C7539">
        <w:rPr>
          <w:b/>
          <w:bCs/>
          <w:rtl/>
        </w:rPr>
        <w:t xml:space="preserve"> שמקורו במערכת הבנקאית</w:t>
      </w:r>
      <w:r>
        <w:rPr>
          <w:rFonts w:hint="cs"/>
          <w:b/>
          <w:bCs/>
          <w:rtl/>
        </w:rPr>
        <w:t xml:space="preserve"> (גידול של כ-21</w:t>
      </w:r>
      <w:r w:rsidR="00905565">
        <w:rPr>
          <w:rFonts w:hint="cs"/>
          <w:b/>
          <w:bCs/>
          <w:rtl/>
        </w:rPr>
        <w:t xml:space="preserve"> מיליארד ש"ח</w:t>
      </w:r>
      <w:r>
        <w:rPr>
          <w:rFonts w:hint="cs"/>
          <w:b/>
          <w:bCs/>
          <w:rtl/>
        </w:rPr>
        <w:t xml:space="preserve"> וצמצום של כ-8 מיליארד ש"ח בהתאמה)</w:t>
      </w:r>
      <w:r w:rsidRPr="000C7539">
        <w:rPr>
          <w:b/>
          <w:bCs/>
          <w:rtl/>
        </w:rPr>
        <w:t>. באשראי העסקי חלה מגמה מעורבת</w:t>
      </w:r>
      <w:r>
        <w:rPr>
          <w:rFonts w:hint="cs"/>
          <w:b/>
          <w:bCs/>
          <w:rtl/>
        </w:rPr>
        <w:t>:</w:t>
      </w:r>
      <w:r w:rsidRPr="000C7539">
        <w:rPr>
          <w:b/>
          <w:bCs/>
          <w:rtl/>
        </w:rPr>
        <w:t xml:space="preserve"> </w:t>
      </w:r>
      <w:r w:rsidRPr="000C7539">
        <w:rPr>
          <w:rFonts w:hint="eastAsia"/>
          <w:b/>
          <w:bCs/>
          <w:rtl/>
        </w:rPr>
        <w:t>המערכת</w:t>
      </w:r>
      <w:r w:rsidRPr="000C7539">
        <w:rPr>
          <w:b/>
          <w:bCs/>
          <w:rtl/>
        </w:rPr>
        <w:t xml:space="preserve"> </w:t>
      </w:r>
      <w:r w:rsidRPr="000C7539">
        <w:rPr>
          <w:rFonts w:hint="eastAsia"/>
          <w:b/>
          <w:bCs/>
          <w:rtl/>
        </w:rPr>
        <w:t>הבנקאית</w:t>
      </w:r>
      <w:r w:rsidRPr="000C7539">
        <w:rPr>
          <w:b/>
          <w:bCs/>
          <w:rtl/>
        </w:rPr>
        <w:t xml:space="preserve"> </w:t>
      </w:r>
      <w:r w:rsidRPr="000C7539">
        <w:rPr>
          <w:rFonts w:hint="eastAsia"/>
          <w:b/>
          <w:bCs/>
          <w:rtl/>
        </w:rPr>
        <w:t>הרחיבה</w:t>
      </w:r>
      <w:r w:rsidRPr="000C7539">
        <w:rPr>
          <w:b/>
          <w:bCs/>
          <w:rtl/>
        </w:rPr>
        <w:t xml:space="preserve"> </w:t>
      </w:r>
      <w:r w:rsidRPr="000C7539">
        <w:rPr>
          <w:rFonts w:hint="eastAsia"/>
          <w:b/>
          <w:bCs/>
          <w:rtl/>
        </w:rPr>
        <w:t>את</w:t>
      </w:r>
      <w:r w:rsidRPr="000C7539">
        <w:rPr>
          <w:b/>
          <w:bCs/>
          <w:rtl/>
        </w:rPr>
        <w:t xml:space="preserve"> </w:t>
      </w:r>
      <w:r w:rsidRPr="000C7539">
        <w:rPr>
          <w:rFonts w:hint="eastAsia"/>
          <w:b/>
          <w:bCs/>
          <w:rtl/>
        </w:rPr>
        <w:t>היקף</w:t>
      </w:r>
      <w:r w:rsidRPr="000C7539">
        <w:rPr>
          <w:b/>
          <w:bCs/>
          <w:rtl/>
        </w:rPr>
        <w:t xml:space="preserve"> האשראי</w:t>
      </w:r>
      <w:r>
        <w:rPr>
          <w:rFonts w:hint="cs"/>
          <w:b/>
          <w:bCs/>
          <w:rtl/>
        </w:rPr>
        <w:t xml:space="preserve"> (בסך של כ-11 מיליארד ש"ח)</w:t>
      </w:r>
      <w:r w:rsidRPr="000C7539">
        <w:rPr>
          <w:b/>
          <w:bCs/>
          <w:rtl/>
        </w:rPr>
        <w:t xml:space="preserve">, </w:t>
      </w:r>
      <w:r>
        <w:rPr>
          <w:rFonts w:hint="cs"/>
          <w:b/>
          <w:bCs/>
          <w:rtl/>
        </w:rPr>
        <w:t>ו</w:t>
      </w:r>
      <w:r w:rsidRPr="000C7539">
        <w:rPr>
          <w:b/>
          <w:bCs/>
          <w:rtl/>
        </w:rPr>
        <w:t>חלה ירידה בה</w:t>
      </w:r>
      <w:r w:rsidRPr="000C7539">
        <w:rPr>
          <w:rFonts w:hint="eastAsia"/>
          <w:b/>
          <w:bCs/>
          <w:rtl/>
        </w:rPr>
        <w:t>יקף</w:t>
      </w:r>
      <w:r w:rsidRPr="000C7539">
        <w:rPr>
          <w:b/>
          <w:bCs/>
          <w:rtl/>
        </w:rPr>
        <w:t xml:space="preserve"> האשראי הכולל</w:t>
      </w:r>
      <w:r>
        <w:rPr>
          <w:rFonts w:hint="cs"/>
          <w:b/>
          <w:bCs/>
          <w:rtl/>
        </w:rPr>
        <w:t xml:space="preserve"> (בסך של כ-9 מיליארד ש"ח)</w:t>
      </w:r>
      <w:r w:rsidRPr="000C7539">
        <w:rPr>
          <w:b/>
          <w:bCs/>
          <w:rtl/>
        </w:rPr>
        <w:t xml:space="preserve"> </w:t>
      </w:r>
      <w:r w:rsidRPr="00AD47FF">
        <w:rPr>
          <w:rFonts w:hint="cs"/>
          <w:b/>
          <w:bCs/>
          <w:rtl/>
        </w:rPr>
        <w:t xml:space="preserve">בעקבות </w:t>
      </w:r>
      <w:r w:rsidRPr="00AD47FF">
        <w:rPr>
          <w:b/>
          <w:bCs/>
          <w:rtl/>
        </w:rPr>
        <w:t xml:space="preserve">צמצום </w:t>
      </w:r>
      <w:r w:rsidRPr="00AD47FF" w:rsidR="00905565">
        <w:rPr>
          <w:rFonts w:hint="cs"/>
          <w:b/>
          <w:bCs/>
          <w:rtl/>
        </w:rPr>
        <w:t>האשראי שהעמידו</w:t>
      </w:r>
      <w:r w:rsidRPr="000C7539">
        <w:rPr>
          <w:b/>
          <w:bCs/>
          <w:rtl/>
        </w:rPr>
        <w:t xml:space="preserve"> </w:t>
      </w:r>
      <w:r>
        <w:rPr>
          <w:rFonts w:hint="cs"/>
          <w:b/>
          <w:bCs/>
          <w:rtl/>
        </w:rPr>
        <w:t>גופים מוסדיים ו</w:t>
      </w:r>
      <w:r w:rsidRPr="000C7539">
        <w:rPr>
          <w:rFonts w:hint="eastAsia"/>
          <w:b/>
          <w:bCs/>
          <w:rtl/>
        </w:rPr>
        <w:t>ספקי</w:t>
      </w:r>
      <w:r w:rsidRPr="000C7539">
        <w:rPr>
          <w:b/>
          <w:bCs/>
          <w:rtl/>
        </w:rPr>
        <w:t xml:space="preserve"> </w:t>
      </w:r>
      <w:r w:rsidRPr="000C7539">
        <w:rPr>
          <w:rFonts w:hint="eastAsia"/>
          <w:b/>
          <w:bCs/>
          <w:rtl/>
        </w:rPr>
        <w:t>אשראי</w:t>
      </w:r>
      <w:r w:rsidRPr="000C7539">
        <w:rPr>
          <w:b/>
          <w:bCs/>
          <w:rtl/>
        </w:rPr>
        <w:t xml:space="preserve"> </w:t>
      </w:r>
      <w:r w:rsidRPr="000C7539">
        <w:rPr>
          <w:rFonts w:hint="eastAsia"/>
          <w:b/>
          <w:bCs/>
          <w:rtl/>
        </w:rPr>
        <w:t>אחרים</w:t>
      </w:r>
      <w:r w:rsidRPr="000C7539">
        <w:rPr>
          <w:b/>
          <w:bCs/>
          <w:rtl/>
        </w:rPr>
        <w:t xml:space="preserve">, שאינם נמנים </w:t>
      </w:r>
      <w:r w:rsidRPr="000C7539">
        <w:rPr>
          <w:rFonts w:hint="eastAsia"/>
          <w:b/>
          <w:bCs/>
          <w:rtl/>
        </w:rPr>
        <w:t>עם</w:t>
      </w:r>
      <w:r w:rsidRPr="000C7539">
        <w:rPr>
          <w:b/>
          <w:bCs/>
          <w:rtl/>
        </w:rPr>
        <w:t xml:space="preserve"> </w:t>
      </w:r>
      <w:r w:rsidRPr="000C7539">
        <w:rPr>
          <w:rFonts w:hint="eastAsia"/>
          <w:b/>
          <w:bCs/>
          <w:rtl/>
        </w:rPr>
        <w:t>התאגידים</w:t>
      </w:r>
      <w:r w:rsidRPr="000C7539">
        <w:rPr>
          <w:b/>
          <w:bCs/>
          <w:rtl/>
        </w:rPr>
        <w:t xml:space="preserve"> הבנקאיים או </w:t>
      </w:r>
      <w:r>
        <w:rPr>
          <w:rFonts w:hint="cs"/>
          <w:b/>
          <w:bCs/>
          <w:rtl/>
        </w:rPr>
        <w:t xml:space="preserve">עם </w:t>
      </w:r>
      <w:r w:rsidRPr="000C7539">
        <w:rPr>
          <w:b/>
          <w:bCs/>
          <w:rtl/>
        </w:rPr>
        <w:t xml:space="preserve">הגופים </w:t>
      </w:r>
      <w:r w:rsidRPr="000C7539">
        <w:rPr>
          <w:rFonts w:hint="eastAsia"/>
          <w:b/>
          <w:bCs/>
          <w:rtl/>
        </w:rPr>
        <w:t>המוסדיים</w:t>
      </w:r>
      <w:r w:rsidRPr="000C7539">
        <w:rPr>
          <w:b/>
          <w:bCs/>
          <w:rtl/>
        </w:rPr>
        <w:t>.</w:t>
      </w:r>
    </w:p>
    <w:p w:rsidR="00253C38" w:rsidP="00982BC1" w14:paraId="06378FD3" w14:textId="6FA0BB1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C9555B1" w14:textId="77777777">
      <w:pPr>
        <w:spacing w:line="269" w:lineRule="auto"/>
        <w:rPr>
          <w:rtl/>
        </w:rPr>
      </w:pPr>
      <w:r>
        <w:rPr>
          <w:rFonts w:hint="cs"/>
          <w:rtl/>
        </w:rPr>
        <w:t xml:space="preserve">ממסמך </w:t>
      </w:r>
      <w:r w:rsidRPr="0051236C">
        <w:rPr>
          <w:rFonts w:hint="cs"/>
          <w:rtl/>
        </w:rPr>
        <w:t xml:space="preserve">סקירת המערכת הבנקאית למחצית הראשונה של שנת 2020 שפרסם הפיקוח על הבנקים ביום </w:t>
      </w:r>
      <w:r w:rsidRPr="0051236C">
        <w:rPr>
          <w:rtl/>
        </w:rPr>
        <w:t>16.11.20</w:t>
      </w:r>
      <w:r>
        <w:rPr>
          <w:rStyle w:val="FootnoteReference"/>
          <w:rtl/>
        </w:rPr>
        <w:footnoteReference w:id="14"/>
      </w:r>
      <w:r w:rsidRPr="0051236C">
        <w:rPr>
          <w:rFonts w:hint="cs"/>
          <w:rtl/>
        </w:rPr>
        <w:t xml:space="preserve"> עולה</w:t>
      </w:r>
      <w:r>
        <w:rPr>
          <w:rFonts w:hint="cs"/>
          <w:rtl/>
        </w:rPr>
        <w:t xml:space="preserve"> כי תיק האשראי של חמש הקבוצות הבנקאיות הגדולות גדל בכ-3.9% בתקופה זו במונחים שנתיים</w:t>
      </w:r>
      <w:r w:rsidR="0051236C">
        <w:rPr>
          <w:rFonts w:hint="cs"/>
          <w:rtl/>
        </w:rPr>
        <w:t xml:space="preserve"> כפי שניתן לראות בתרשים 5</w:t>
      </w:r>
      <w:r>
        <w:rPr>
          <w:rFonts w:hint="cs"/>
          <w:rtl/>
        </w:rPr>
        <w:t xml:space="preserve">. מדובר בגידול מהותי על רקע צמצום הפעילות הכלכלית בשווקים, הירידה בתוצר, וגידול הסיכון הכרוך בהעמדת אשראי. </w:t>
      </w:r>
    </w:p>
    <w:p w:rsidR="005537CA" w:rsidP="00982BC1" w14:paraId="290DC283" w14:textId="77777777">
      <w:pPr>
        <w:bidi w:val="0"/>
        <w:spacing w:line="269" w:lineRule="auto"/>
        <w:rPr>
          <w:szCs w:val="20"/>
          <w:rtl/>
        </w:rPr>
      </w:pPr>
      <w:r>
        <w:rPr>
          <w:rtl/>
        </w:rPr>
        <w:br w:type="page"/>
      </w:r>
    </w:p>
    <w:p w:rsidR="008615C3" w:rsidRPr="0051236C" w:rsidP="00982BC1" w14:paraId="28051815" w14:textId="1A7F849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66799A9E" w14:textId="77777777">
      <w:pPr>
        <w:spacing w:line="269" w:lineRule="auto"/>
        <w:jc w:val="center"/>
        <w:rPr>
          <w:b/>
          <w:bCs/>
          <w:rtl/>
        </w:rPr>
      </w:pPr>
      <w:r w:rsidRPr="00DF5110">
        <w:rPr>
          <w:rFonts w:hint="eastAsia"/>
          <w:b/>
          <w:bCs/>
          <w:rtl/>
        </w:rPr>
        <w:t>תרשים</w:t>
      </w:r>
      <w:r w:rsidRPr="00DF5110">
        <w:rPr>
          <w:b/>
          <w:bCs/>
          <w:rtl/>
        </w:rPr>
        <w:t xml:space="preserve"> 5: </w:t>
      </w:r>
      <w:r w:rsidRPr="00DF5110">
        <w:rPr>
          <w:rFonts w:hint="eastAsia"/>
          <w:b/>
          <w:bCs/>
          <w:rtl/>
        </w:rPr>
        <w:t>השינוי</w:t>
      </w:r>
      <w:r w:rsidRPr="00DF5110">
        <w:rPr>
          <w:b/>
          <w:bCs/>
          <w:rtl/>
        </w:rPr>
        <w:t xml:space="preserve"> </w:t>
      </w:r>
      <w:r w:rsidRPr="00DF5110">
        <w:rPr>
          <w:rFonts w:hint="eastAsia"/>
          <w:b/>
          <w:bCs/>
          <w:rtl/>
        </w:rPr>
        <w:t>ביתרות</w:t>
      </w:r>
      <w:r w:rsidRPr="00DF5110">
        <w:rPr>
          <w:b/>
          <w:bCs/>
          <w:rtl/>
        </w:rPr>
        <w:t xml:space="preserve"> </w:t>
      </w:r>
      <w:r w:rsidRPr="00DF5110">
        <w:rPr>
          <w:rFonts w:hint="eastAsia"/>
          <w:b/>
          <w:bCs/>
          <w:rtl/>
        </w:rPr>
        <w:t>האשראי</w:t>
      </w:r>
      <w:r w:rsidRPr="00DF5110">
        <w:rPr>
          <w:b/>
          <w:bCs/>
          <w:rtl/>
        </w:rPr>
        <w:t xml:space="preserve"> של חמש הקבוצות הבנקאיות הגדולות במגזרי הפעילות </w:t>
      </w:r>
      <w:r w:rsidRPr="00AE10B6">
        <w:rPr>
          <w:rFonts w:hint="cs"/>
          <w:b/>
          <w:bCs/>
          <w:rtl/>
        </w:rPr>
        <w:t>ה</w:t>
      </w:r>
      <w:r>
        <w:rPr>
          <w:rFonts w:hint="cs"/>
          <w:b/>
          <w:bCs/>
          <w:rtl/>
        </w:rPr>
        <w:t>עיקריים,</w:t>
      </w:r>
      <w:r w:rsidRPr="00DF5110">
        <w:rPr>
          <w:b/>
          <w:bCs/>
          <w:rtl/>
        </w:rPr>
        <w:t xml:space="preserve"> 2016</w:t>
      </w:r>
      <w:r>
        <w:rPr>
          <w:rFonts w:hint="cs"/>
          <w:b/>
          <w:bCs/>
          <w:rtl/>
        </w:rPr>
        <w:t xml:space="preserve"> עד יוני </w:t>
      </w:r>
      <w:r w:rsidRPr="00DF5110">
        <w:rPr>
          <w:b/>
          <w:bCs/>
          <w:rtl/>
        </w:rPr>
        <w:t>2020</w:t>
      </w:r>
      <w:r w:rsidRPr="00AE10B6">
        <w:rPr>
          <w:rFonts w:hint="cs"/>
          <w:b/>
          <w:bCs/>
          <w:rtl/>
        </w:rPr>
        <w:t xml:space="preserve"> </w:t>
      </w:r>
      <w:r>
        <w:rPr>
          <w:rFonts w:hint="cs"/>
          <w:b/>
          <w:bCs/>
          <w:rtl/>
        </w:rPr>
        <w:t>(</w:t>
      </w:r>
      <w:r w:rsidRPr="00DF5110">
        <w:rPr>
          <w:rFonts w:hint="eastAsia"/>
          <w:b/>
          <w:bCs/>
          <w:rtl/>
        </w:rPr>
        <w:t>באחוזים</w:t>
      </w:r>
      <w:r>
        <w:rPr>
          <w:rFonts w:hint="cs"/>
          <w:b/>
          <w:bCs/>
          <w:rtl/>
        </w:rPr>
        <w:t>)</w:t>
      </w:r>
    </w:p>
    <w:p w:rsidR="00253C38" w:rsidP="00982BC1" w14:paraId="622D9A0E" w14:textId="77777777">
      <w:pPr>
        <w:spacing w:line="269" w:lineRule="auto"/>
        <w:jc w:val="center"/>
        <w:rPr>
          <w:rtl/>
        </w:rPr>
      </w:pPr>
      <w:r w:rsidRPr="008615C3">
        <w:rPr>
          <w:noProof/>
        </w:rPr>
        <w:drawing>
          <wp:inline distT="0" distB="0" distL="0" distR="0">
            <wp:extent cx="4800600" cy="2374472"/>
            <wp:effectExtent l="0" t="0" r="0" b="6985"/>
            <wp:docPr id="1743882409"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0869" name=""/>
                    <pic:cNvPicPr/>
                  </pic:nvPicPr>
                  <pic:blipFill>
                    <a:blip xmlns:r="http://schemas.openxmlformats.org/officeDocument/2006/relationships" r:embed="rId10"/>
                    <a:stretch>
                      <a:fillRect/>
                    </a:stretch>
                  </pic:blipFill>
                  <pic:spPr>
                    <a:xfrm>
                      <a:off x="0" y="0"/>
                      <a:ext cx="4812434" cy="2380326"/>
                    </a:xfrm>
                    <a:prstGeom prst="rect">
                      <a:avLst/>
                    </a:prstGeom>
                  </pic:spPr>
                </pic:pic>
              </a:graphicData>
            </a:graphic>
          </wp:inline>
        </w:drawing>
      </w:r>
    </w:p>
    <w:p w:rsidR="00253C38" w:rsidRPr="00982BC1" w:rsidP="00982BC1" w14:paraId="0A7BF231" w14:textId="77777777">
      <w:pPr>
        <w:spacing w:line="269" w:lineRule="auto"/>
        <w:rPr>
          <w:sz w:val="18"/>
          <w:szCs w:val="22"/>
          <w:rtl/>
        </w:rPr>
      </w:pPr>
      <w:r w:rsidRPr="00982BC1">
        <w:rPr>
          <w:rFonts w:hint="cs"/>
          <w:sz w:val="18"/>
          <w:szCs w:val="22"/>
          <w:rtl/>
        </w:rPr>
        <w:t>נתוני הפיקוח על הבנקים, בעיבוד משרד מבקר המדינה.</w:t>
      </w:r>
    </w:p>
    <w:p w:rsidR="00253C38" w:rsidP="00982BC1" w14:paraId="5006F2E1" w14:textId="7FDEC2F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5A07A9B" w14:textId="77777777">
      <w:pPr>
        <w:spacing w:line="269" w:lineRule="auto"/>
        <w:rPr>
          <w:rtl/>
        </w:rPr>
      </w:pPr>
      <w:r>
        <w:rPr>
          <w:rFonts w:hint="cs"/>
          <w:rtl/>
        </w:rPr>
        <w:t xml:space="preserve">העלייה ביתרות האשראי לציבור במערכת הבנקאית </w:t>
      </w:r>
      <w:r w:rsidRPr="005B5530">
        <w:rPr>
          <w:rFonts w:hint="cs"/>
          <w:rtl/>
        </w:rPr>
        <w:t>לו</w:t>
      </w:r>
      <w:r>
        <w:rPr>
          <w:rFonts w:hint="cs"/>
          <w:rtl/>
        </w:rPr>
        <w:t>ּ</w:t>
      </w:r>
      <w:r w:rsidRPr="005B5530">
        <w:rPr>
          <w:rFonts w:hint="cs"/>
          <w:rtl/>
        </w:rPr>
        <w:t xml:space="preserve">ותה בעלייה בצד </w:t>
      </w:r>
      <w:r w:rsidRPr="005B5530">
        <w:rPr>
          <w:rFonts w:hint="eastAsia"/>
          <w:rtl/>
        </w:rPr>
        <w:t>יתרת</w:t>
      </w:r>
      <w:r w:rsidRPr="005B5530">
        <w:rPr>
          <w:rtl/>
        </w:rPr>
        <w:t xml:space="preserve"> </w:t>
      </w:r>
      <w:r w:rsidRPr="005B5530">
        <w:rPr>
          <w:rFonts w:hint="eastAsia"/>
          <w:rtl/>
        </w:rPr>
        <w:t>פיקדונות</w:t>
      </w:r>
      <w:r w:rsidRPr="005B5530">
        <w:rPr>
          <w:rtl/>
        </w:rPr>
        <w:t xml:space="preserve"> </w:t>
      </w:r>
      <w:r w:rsidRPr="005B5530">
        <w:rPr>
          <w:rFonts w:hint="cs"/>
          <w:rtl/>
        </w:rPr>
        <w:t>ה</w:t>
      </w:r>
      <w:r w:rsidRPr="005B5530">
        <w:rPr>
          <w:rFonts w:hint="eastAsia"/>
          <w:rtl/>
        </w:rPr>
        <w:t>ציבור</w:t>
      </w:r>
      <w:r w:rsidRPr="005B5530">
        <w:rPr>
          <w:rFonts w:hint="cs"/>
          <w:rtl/>
        </w:rPr>
        <w:t xml:space="preserve"> במערכת הבנקאית. אי-ודאות גבוהה ותנודות חדות בשווקים בתחילת המשבר הובילו למשיכת</w:t>
      </w:r>
      <w:r>
        <w:rPr>
          <w:rFonts w:hint="cs"/>
          <w:rtl/>
        </w:rPr>
        <w:t xml:space="preserve"> כספים משוק ההון ולגידול בהפקדת כספי הציבור במערכת הבנקאית. אלה תרמו להיתכנות הגדלת היצע האשראי במשק בעת המשבר. תרשים 6 להלן מציג את השינויים ביתרת פיקדונות הציבור ותרשים 7 להלן מציג את יתרת פיקדונות האשראי לציבור, במערכת הבנקאית בשני הרבעונים הראשונים.</w:t>
      </w:r>
    </w:p>
    <w:p w:rsidR="00253C38" w:rsidP="00982BC1" w14:paraId="688C501E" w14:textId="7117B27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69EA777F" w14:textId="77777777">
      <w:pPr>
        <w:spacing w:line="269" w:lineRule="auto"/>
        <w:jc w:val="center"/>
        <w:rPr>
          <w:b/>
        </w:rPr>
      </w:pPr>
      <w:r w:rsidRPr="00DF5110">
        <w:rPr>
          <w:rFonts w:hint="eastAsia"/>
          <w:b/>
          <w:bCs/>
          <w:rtl/>
        </w:rPr>
        <w:t>תרשים</w:t>
      </w:r>
      <w:r w:rsidRPr="00DF5110">
        <w:rPr>
          <w:b/>
          <w:bCs/>
          <w:rtl/>
        </w:rPr>
        <w:t xml:space="preserve"> 6: </w:t>
      </w:r>
      <w:r w:rsidRPr="0051236C">
        <w:rPr>
          <w:rFonts w:hint="eastAsia"/>
          <w:b/>
          <w:bCs/>
          <w:rtl/>
        </w:rPr>
        <w:t>יתרת</w:t>
      </w:r>
      <w:r w:rsidRPr="00DF5110">
        <w:rPr>
          <w:b/>
          <w:bCs/>
          <w:rtl/>
        </w:rPr>
        <w:t xml:space="preserve"> </w:t>
      </w:r>
      <w:r w:rsidRPr="00DF5110">
        <w:rPr>
          <w:rFonts w:hint="eastAsia"/>
          <w:b/>
          <w:bCs/>
          <w:rtl/>
        </w:rPr>
        <w:t>פיקדונות</w:t>
      </w:r>
      <w:r w:rsidRPr="00DF5110">
        <w:rPr>
          <w:b/>
          <w:bCs/>
          <w:rtl/>
        </w:rPr>
        <w:t xml:space="preserve"> </w:t>
      </w:r>
      <w:r w:rsidRPr="00DF5110">
        <w:rPr>
          <w:rFonts w:hint="eastAsia"/>
          <w:b/>
          <w:bCs/>
          <w:rtl/>
        </w:rPr>
        <w:t>הציבור</w:t>
      </w:r>
      <w:r w:rsidRPr="00DF5110">
        <w:rPr>
          <w:b/>
          <w:bCs/>
          <w:rtl/>
        </w:rPr>
        <w:t xml:space="preserve"> </w:t>
      </w:r>
      <w:r w:rsidRPr="00DF5110">
        <w:rPr>
          <w:rFonts w:hint="eastAsia"/>
          <w:b/>
          <w:bCs/>
          <w:rtl/>
        </w:rPr>
        <w:t>בשני</w:t>
      </w:r>
      <w:r w:rsidRPr="00DF5110">
        <w:rPr>
          <w:b/>
          <w:bCs/>
          <w:rtl/>
        </w:rPr>
        <w:t xml:space="preserve"> </w:t>
      </w:r>
      <w:r w:rsidRPr="00DF5110">
        <w:rPr>
          <w:rFonts w:hint="eastAsia"/>
          <w:b/>
          <w:bCs/>
          <w:rtl/>
        </w:rPr>
        <w:t>הרבעונים</w:t>
      </w:r>
      <w:r w:rsidRPr="00DF5110">
        <w:rPr>
          <w:b/>
          <w:bCs/>
          <w:rtl/>
        </w:rPr>
        <w:t xml:space="preserve"> </w:t>
      </w:r>
      <w:r w:rsidRPr="00DF5110">
        <w:rPr>
          <w:rFonts w:hint="eastAsia"/>
          <w:b/>
          <w:bCs/>
          <w:rtl/>
        </w:rPr>
        <w:t>הראשונים</w:t>
      </w:r>
      <w:r w:rsidRPr="00DF5110">
        <w:rPr>
          <w:b/>
          <w:bCs/>
          <w:rtl/>
        </w:rPr>
        <w:t xml:space="preserve"> </w:t>
      </w:r>
      <w:r w:rsidRPr="00DF5110">
        <w:rPr>
          <w:rFonts w:hint="eastAsia"/>
          <w:b/>
          <w:bCs/>
          <w:rtl/>
        </w:rPr>
        <w:t>של</w:t>
      </w:r>
      <w:r w:rsidRPr="00DF5110">
        <w:rPr>
          <w:b/>
          <w:bCs/>
          <w:rtl/>
        </w:rPr>
        <w:t xml:space="preserve"> שנת 2020 </w:t>
      </w:r>
      <w:r w:rsidRPr="00DF5110">
        <w:rPr>
          <w:rFonts w:hint="eastAsia"/>
          <w:b/>
          <w:bCs/>
          <w:rtl/>
        </w:rPr>
        <w:t>במיליארדי</w:t>
      </w:r>
      <w:r w:rsidRPr="00DF5110">
        <w:rPr>
          <w:b/>
          <w:bCs/>
          <w:rtl/>
        </w:rPr>
        <w:t xml:space="preserve"> ש"ח </w:t>
      </w:r>
      <w:r w:rsidRPr="0051236C">
        <w:rPr>
          <w:b/>
          <w:bCs/>
          <w:rtl/>
        </w:rPr>
        <w:t>ו</w:t>
      </w:r>
      <w:r w:rsidRPr="0051236C">
        <w:rPr>
          <w:rFonts w:hint="eastAsia"/>
          <w:b/>
          <w:bCs/>
          <w:rtl/>
        </w:rPr>
        <w:t>השינוי</w:t>
      </w:r>
      <w:r w:rsidRPr="0051236C">
        <w:rPr>
          <w:b/>
          <w:bCs/>
          <w:rtl/>
        </w:rPr>
        <w:t xml:space="preserve"> </w:t>
      </w:r>
      <w:r w:rsidRPr="0051236C">
        <w:rPr>
          <w:rFonts w:hint="eastAsia"/>
          <w:b/>
          <w:bCs/>
          <w:rtl/>
        </w:rPr>
        <w:t>באחוזים</w:t>
      </w:r>
    </w:p>
    <w:p w:rsidR="00253C38" w:rsidP="00982BC1" w14:paraId="62F732DA" w14:textId="77777777">
      <w:pPr>
        <w:spacing w:line="269" w:lineRule="auto"/>
        <w:ind w:left="-1701"/>
        <w:jc w:val="center"/>
        <w:rPr>
          <w:noProof/>
          <w:rtl/>
        </w:rPr>
      </w:pPr>
      <w:r>
        <w:rPr>
          <w:noProof/>
        </w:rPr>
        <w:drawing>
          <wp:inline distT="0" distB="0" distL="0" distR="0">
            <wp:extent cx="7403400" cy="2337683"/>
            <wp:effectExtent l="0" t="0" r="7620" b="5715"/>
            <wp:docPr id="1743882412"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12439" name=""/>
                    <pic:cNvPicPr/>
                  </pic:nvPicPr>
                  <pic:blipFill>
                    <a:blip xmlns:r="http://schemas.openxmlformats.org/officeDocument/2006/relationships" r:embed="rId11"/>
                    <a:stretch>
                      <a:fillRect/>
                    </a:stretch>
                  </pic:blipFill>
                  <pic:spPr>
                    <a:xfrm>
                      <a:off x="0" y="0"/>
                      <a:ext cx="7448645" cy="2351970"/>
                    </a:xfrm>
                    <a:prstGeom prst="rect">
                      <a:avLst/>
                    </a:prstGeom>
                  </pic:spPr>
                </pic:pic>
              </a:graphicData>
            </a:graphic>
          </wp:inline>
        </w:drawing>
      </w:r>
    </w:p>
    <w:p w:rsidR="00253C38" w:rsidRPr="00982BC1" w:rsidP="00982BC1" w14:paraId="4066CEBB" w14:textId="77777777">
      <w:pPr>
        <w:spacing w:line="269" w:lineRule="auto"/>
        <w:rPr>
          <w:sz w:val="22"/>
          <w:szCs w:val="28"/>
          <w:rtl/>
        </w:rPr>
      </w:pPr>
      <w:r w:rsidRPr="00982BC1">
        <w:rPr>
          <w:rFonts w:hint="cs"/>
          <w:sz w:val="18"/>
          <w:szCs w:val="22"/>
          <w:rtl/>
        </w:rPr>
        <w:t>נתוני הפיקוח על הבנקים, בעיבוד משרד מבקר המדינה</w:t>
      </w:r>
      <w:r w:rsidRPr="00982BC1">
        <w:rPr>
          <w:rFonts w:hint="cs"/>
          <w:sz w:val="22"/>
          <w:szCs w:val="28"/>
          <w:rtl/>
        </w:rPr>
        <w:t>.</w:t>
      </w:r>
    </w:p>
    <w:p w:rsidR="00982BC1" w:rsidP="00982BC1" w14:paraId="63BE7B78" w14:textId="77777777">
      <w:pPr>
        <w:bidi w:val="0"/>
        <w:spacing w:line="269" w:lineRule="auto"/>
        <w:rPr>
          <w:szCs w:val="20"/>
          <w:rtl/>
        </w:rPr>
      </w:pPr>
      <w:r>
        <w:rPr>
          <w:rtl/>
        </w:rPr>
        <w:br w:type="page"/>
      </w:r>
    </w:p>
    <w:p w:rsidR="00253C38" w:rsidP="00982BC1" w14:paraId="4315A73D" w14:textId="63B64D4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30BD97B1" w14:textId="77777777">
      <w:pPr>
        <w:spacing w:line="269" w:lineRule="auto"/>
        <w:jc w:val="center"/>
        <w:rPr>
          <w:b/>
          <w:bCs/>
          <w:rtl/>
        </w:rPr>
      </w:pPr>
      <w:r w:rsidRPr="00DF5110">
        <w:rPr>
          <w:rFonts w:hint="eastAsia"/>
          <w:b/>
          <w:bCs/>
          <w:rtl/>
        </w:rPr>
        <w:t>תרשים</w:t>
      </w:r>
      <w:r w:rsidRPr="00DF5110">
        <w:rPr>
          <w:b/>
          <w:bCs/>
          <w:rtl/>
        </w:rPr>
        <w:t xml:space="preserve"> 7: </w:t>
      </w:r>
      <w:r w:rsidRPr="0051236C">
        <w:rPr>
          <w:rFonts w:hint="eastAsia"/>
          <w:b/>
          <w:bCs/>
          <w:rtl/>
        </w:rPr>
        <w:t>יתרת</w:t>
      </w:r>
      <w:r w:rsidRPr="00DF5110">
        <w:rPr>
          <w:b/>
          <w:bCs/>
          <w:rtl/>
        </w:rPr>
        <w:t xml:space="preserve"> האשראי לציבור </w:t>
      </w:r>
      <w:r w:rsidRPr="00DF5110">
        <w:rPr>
          <w:rFonts w:hint="eastAsia"/>
          <w:b/>
          <w:bCs/>
          <w:rtl/>
        </w:rPr>
        <w:t>בשני</w:t>
      </w:r>
      <w:r w:rsidRPr="00DF5110">
        <w:rPr>
          <w:b/>
          <w:bCs/>
          <w:rtl/>
        </w:rPr>
        <w:t xml:space="preserve"> הרבעונים הראשונים של שנת 2020 </w:t>
      </w:r>
      <w:r w:rsidRPr="00DF5110">
        <w:rPr>
          <w:rFonts w:hint="eastAsia"/>
          <w:b/>
          <w:bCs/>
          <w:rtl/>
        </w:rPr>
        <w:t>במיליארדי</w:t>
      </w:r>
      <w:r w:rsidRPr="00DF5110">
        <w:rPr>
          <w:b/>
          <w:bCs/>
          <w:rtl/>
        </w:rPr>
        <w:t xml:space="preserve"> </w:t>
      </w:r>
      <w:r w:rsidRPr="00DF5110">
        <w:rPr>
          <w:rFonts w:hint="eastAsia"/>
          <w:b/>
          <w:bCs/>
          <w:rtl/>
        </w:rPr>
        <w:t>ש</w:t>
      </w:r>
      <w:r w:rsidRPr="00DF5110">
        <w:rPr>
          <w:b/>
          <w:bCs/>
          <w:rtl/>
        </w:rPr>
        <w:t xml:space="preserve">"ח </w:t>
      </w:r>
      <w:r w:rsidRPr="0051236C">
        <w:rPr>
          <w:rFonts w:hint="eastAsia"/>
          <w:b/>
          <w:bCs/>
          <w:rtl/>
        </w:rPr>
        <w:t>והשינוי</w:t>
      </w:r>
      <w:r w:rsidRPr="0051236C">
        <w:rPr>
          <w:b/>
          <w:bCs/>
          <w:rtl/>
        </w:rPr>
        <w:t xml:space="preserve"> </w:t>
      </w:r>
      <w:r w:rsidRPr="0051236C">
        <w:rPr>
          <w:rFonts w:hint="eastAsia"/>
          <w:b/>
          <w:bCs/>
          <w:rtl/>
        </w:rPr>
        <w:t>באחוזים</w:t>
      </w:r>
    </w:p>
    <w:p w:rsidR="00253C38" w:rsidP="00982BC1" w14:paraId="7471348B" w14:textId="77777777">
      <w:pPr>
        <w:spacing w:line="269" w:lineRule="auto"/>
        <w:ind w:left="-1701"/>
        <w:rPr>
          <w:sz w:val="16"/>
          <w:szCs w:val="20"/>
          <w:rtl/>
        </w:rPr>
      </w:pPr>
      <w:r>
        <w:rPr>
          <w:noProof/>
        </w:rPr>
        <w:drawing>
          <wp:inline distT="0" distB="0" distL="0" distR="0">
            <wp:extent cx="7406498" cy="2297927"/>
            <wp:effectExtent l="0" t="0" r="4445" b="7620"/>
            <wp:docPr id="1743882410" name="תמונה 174388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49571" name=""/>
                    <pic:cNvPicPr/>
                  </pic:nvPicPr>
                  <pic:blipFill>
                    <a:blip xmlns:r="http://schemas.openxmlformats.org/officeDocument/2006/relationships" r:embed="rId12"/>
                    <a:stretch>
                      <a:fillRect/>
                    </a:stretch>
                  </pic:blipFill>
                  <pic:spPr>
                    <a:xfrm>
                      <a:off x="0" y="0"/>
                      <a:ext cx="7456213" cy="2313351"/>
                    </a:xfrm>
                    <a:prstGeom prst="rect">
                      <a:avLst/>
                    </a:prstGeom>
                  </pic:spPr>
                </pic:pic>
              </a:graphicData>
            </a:graphic>
          </wp:inline>
        </w:drawing>
      </w:r>
    </w:p>
    <w:p w:rsidR="00253C38" w:rsidRPr="00982BC1" w:rsidP="00982BC1" w14:paraId="35F9B122" w14:textId="77777777">
      <w:pPr>
        <w:spacing w:line="269" w:lineRule="auto"/>
        <w:rPr>
          <w:sz w:val="18"/>
          <w:szCs w:val="22"/>
          <w:rtl/>
        </w:rPr>
      </w:pPr>
      <w:r w:rsidRPr="00982BC1">
        <w:rPr>
          <w:rFonts w:hint="cs"/>
          <w:sz w:val="18"/>
          <w:szCs w:val="22"/>
          <w:rtl/>
        </w:rPr>
        <w:t>נתוני הפיקוח על הבנקים, בעיבוד משרד מבקר המדינה.</w:t>
      </w:r>
    </w:p>
    <w:p w:rsidR="00253C38" w:rsidRPr="00D54B7A" w:rsidP="00982BC1" w14:paraId="470D29E9" w14:textId="7EB40CC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F0DB133" w14:textId="4F330F10">
      <w:pPr>
        <w:spacing w:line="269" w:lineRule="auto"/>
        <w:rPr>
          <w:rtl/>
        </w:rPr>
      </w:pPr>
      <w:r>
        <w:rPr>
          <w:rFonts w:hint="cs"/>
          <w:rtl/>
        </w:rPr>
        <w:t xml:space="preserve">מתרשים 6 עולה מגמת עלייה ביתרת פיקדונות הציבור הן במגזר העסקי והן במגזר הפרטי, ומתרשים 7 עולה מגמת גידול מתונה יותר ביחס ליתרת האשראי לציבור. </w:t>
      </w:r>
      <w:r w:rsidRPr="00A151EA">
        <w:rPr>
          <w:rFonts w:hint="eastAsia"/>
          <w:rtl/>
        </w:rPr>
        <w:t>מחד</w:t>
      </w:r>
      <w:r>
        <w:rPr>
          <w:rFonts w:hint="cs"/>
          <w:rtl/>
        </w:rPr>
        <w:t xml:space="preserve"> גיסא</w:t>
      </w:r>
      <w:r w:rsidRPr="00A151EA">
        <w:rPr>
          <w:rtl/>
        </w:rPr>
        <w:t xml:space="preserve"> חל גידול </w:t>
      </w:r>
      <w:r w:rsidRPr="00A151EA">
        <w:rPr>
          <w:rFonts w:hint="eastAsia"/>
          <w:rtl/>
        </w:rPr>
        <w:t>בהיקפי</w:t>
      </w:r>
      <w:r w:rsidRPr="00A151EA">
        <w:rPr>
          <w:rtl/>
        </w:rPr>
        <w:t xml:space="preserve"> ה</w:t>
      </w:r>
      <w:r w:rsidRPr="00A151EA">
        <w:rPr>
          <w:rFonts w:hint="eastAsia"/>
          <w:rtl/>
        </w:rPr>
        <w:t>אשראי</w:t>
      </w:r>
      <w:r w:rsidRPr="00A151EA">
        <w:rPr>
          <w:rtl/>
        </w:rPr>
        <w:t xml:space="preserve"> שהוקצו לדיור ולמגזר העסקי, </w:t>
      </w:r>
      <w:r w:rsidRPr="00A151EA">
        <w:rPr>
          <w:rFonts w:hint="eastAsia"/>
          <w:rtl/>
        </w:rPr>
        <w:t>ומאידך</w:t>
      </w:r>
      <w:r>
        <w:rPr>
          <w:rFonts w:hint="cs"/>
          <w:rtl/>
        </w:rPr>
        <w:t xml:space="preserve"> גיסא</w:t>
      </w:r>
      <w:r w:rsidRPr="00A151EA">
        <w:rPr>
          <w:rtl/>
        </w:rPr>
        <w:t xml:space="preserve"> </w:t>
      </w:r>
      <w:r w:rsidRPr="00A151EA">
        <w:rPr>
          <w:rFonts w:hint="eastAsia"/>
          <w:rtl/>
        </w:rPr>
        <w:t>חלה</w:t>
      </w:r>
      <w:r w:rsidRPr="00A151EA">
        <w:rPr>
          <w:rtl/>
        </w:rPr>
        <w:t xml:space="preserve"> מגמת </w:t>
      </w:r>
      <w:r w:rsidRPr="00A151EA">
        <w:rPr>
          <w:rFonts w:hint="eastAsia"/>
          <w:rtl/>
        </w:rPr>
        <w:t>ירידה</w:t>
      </w:r>
      <w:r w:rsidRPr="00A151EA">
        <w:rPr>
          <w:rtl/>
        </w:rPr>
        <w:t xml:space="preserve"> </w:t>
      </w:r>
      <w:r w:rsidRPr="00A151EA">
        <w:rPr>
          <w:rFonts w:hint="eastAsia"/>
          <w:rtl/>
        </w:rPr>
        <w:t>באשראי</w:t>
      </w:r>
      <w:r>
        <w:rPr>
          <w:rFonts w:hint="cs"/>
          <w:rtl/>
        </w:rPr>
        <w:t xml:space="preserve"> הפרטי שאינו למגורים (להלן - אשראי</w:t>
      </w:r>
      <w:r w:rsidRPr="00A151EA">
        <w:rPr>
          <w:rtl/>
        </w:rPr>
        <w:t xml:space="preserve"> </w:t>
      </w:r>
      <w:r w:rsidRPr="00A151EA">
        <w:rPr>
          <w:rFonts w:hint="eastAsia"/>
          <w:rtl/>
        </w:rPr>
        <w:t>צרכני</w:t>
      </w:r>
      <w:r>
        <w:rPr>
          <w:rFonts w:hint="cs"/>
          <w:rtl/>
        </w:rPr>
        <w:t xml:space="preserve">). עוד עולה מתרשים 7 כי השינויים באשראי במגזר העסקי התבטאו באופן שונה בין קבוצות העסקים במהלך התקופה. בקרב קבוצות העסקים הקטנים והבינוניים תועדה מגמת עלייה אחידה. עם זאת, בקרב קבוצת העסקים הזעירים נרשמו מגמת ירידה ברבעון הראשון ומגמת עלייה ברבעון השני, בעוד שבקרב קבוצת העסקים הגדולים תועדה מגמה </w:t>
      </w:r>
      <w:r w:rsidR="005E3635">
        <w:rPr>
          <w:rFonts w:hint="cs"/>
          <w:rtl/>
        </w:rPr>
        <w:t>הפוכה בשני הרבעונים</w:t>
      </w:r>
      <w:r>
        <w:rPr>
          <w:rFonts w:hint="cs"/>
          <w:rtl/>
        </w:rPr>
        <w:t>. המגמה בקבוצת העסקים הגדולים נובעת מניצול מסגרות האשראי ובגידול בפיקדונות ברבעון הראשון לנוכח אי-ודאות גבוהה והרצון להיערך למשבר. במהלך הרבעון השני קבוצה זו מימשה את פיקדונותיה והקטינה את היקפי צריכת האשראי, כביטוי לירידה בביקוש לאשראי המשמש להרחבת פעילותם לנוכח עצירת הפעילות הכלכלית והצמיחה השלילית של המשק. לגבי קבוצת העסקים הזעירים, ניתן לייחס חלק מהגידול בהיקפי האשראי במהלך הרבעון השני לפעילות הקרנות להלוואה בערבות מדינה, שתמכו בהרחבת האשראי הבנקאי</w:t>
      </w:r>
      <w:r w:rsidR="005E3635">
        <w:rPr>
          <w:rFonts w:hint="cs"/>
          <w:rtl/>
        </w:rPr>
        <w:t xml:space="preserve"> (ראו להלן פרק "קרנות להלוואות בערבות מדינה")</w:t>
      </w:r>
      <w:r>
        <w:rPr>
          <w:rFonts w:hint="cs"/>
          <w:rtl/>
        </w:rPr>
        <w:t>.</w:t>
      </w:r>
    </w:p>
    <w:p w:rsidR="00982BC1" w:rsidP="00982BC1" w14:paraId="74D5AD54" w14:textId="77777777">
      <w:pPr>
        <w:spacing w:line="269" w:lineRule="auto"/>
        <w:rPr>
          <w:rtl/>
        </w:rPr>
      </w:pPr>
    </w:p>
    <w:p w:rsidR="00253C38" w:rsidP="00982BC1" w14:paraId="2B53DE66" w14:textId="77777777">
      <w:pPr>
        <w:pStyle w:val="Heading4"/>
        <w:spacing w:before="0" w:line="269" w:lineRule="auto"/>
        <w:rPr>
          <w:rtl/>
        </w:rPr>
      </w:pPr>
      <w:r>
        <w:rPr>
          <w:rFonts w:hint="cs"/>
          <w:rtl/>
        </w:rPr>
        <w:t xml:space="preserve">אשראי למשקי הבית ולדיור </w:t>
      </w:r>
    </w:p>
    <w:p w:rsidR="00253C38" w:rsidP="00982BC1" w14:paraId="4B87C5F9" w14:textId="373F6284">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32C2AFE8" w14:textId="77777777">
      <w:pPr>
        <w:spacing w:line="269" w:lineRule="auto"/>
        <w:rPr>
          <w:rtl/>
        </w:rPr>
      </w:pPr>
      <w:r>
        <w:rPr>
          <w:rFonts w:hint="cs"/>
          <w:rtl/>
        </w:rPr>
        <w:t>למרות הגידול בביקוש לאשראי עסקי ולהלוואות לדיור, ההאטה בפעילות הכלכלית, הגבלת הפעילות במשק ומעבר שוק העבודה למתכונת חירום הובילו להקטנת תיק האשראי הצרכני של המערכת הבנקאית. הקטנת האשראי התבטאה, בין היתר, בירידה חדה בהיקף הפעילות בכרטיסי האשראי</w:t>
      </w:r>
      <w:r>
        <w:rPr>
          <w:rStyle w:val="FootnoteReference"/>
          <w:rtl/>
        </w:rPr>
        <w:footnoteReference w:id="15"/>
      </w:r>
      <w:r>
        <w:rPr>
          <w:rFonts w:hint="cs"/>
          <w:rtl/>
        </w:rPr>
        <w:t>, שאחראית לצמצום של כ-40% (כ-3 מיליארד ש"ח) מתיק האשראי במחצית השנה הראשונה. צמצום תיק האשראי הצרכני של המערכת הבנקאית אירע על רקע גידול ניכר בהיקף דחיות התשלומים, ששימשו מקור חליפי לאשראי עבור משקי הבית שחוו פגיעה בהכנסתם</w:t>
      </w:r>
      <w:r>
        <w:rPr>
          <w:rStyle w:val="FootnoteReference"/>
          <w:rtl/>
        </w:rPr>
        <w:footnoteReference w:id="16"/>
      </w:r>
      <w:r>
        <w:rPr>
          <w:rFonts w:hint="cs"/>
          <w:rtl/>
        </w:rPr>
        <w:t>.</w:t>
      </w:r>
    </w:p>
    <w:p w:rsidR="00253C38" w:rsidP="00982BC1" w14:paraId="71E337F0" w14:textId="648F6E6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4E5D82A" w14:textId="77777777">
      <w:pPr>
        <w:spacing w:line="269" w:lineRule="auto"/>
        <w:rPr>
          <w:rtl/>
        </w:rPr>
      </w:pPr>
      <w:r>
        <w:rPr>
          <w:rFonts w:hint="cs"/>
          <w:rtl/>
        </w:rPr>
        <w:t xml:space="preserve">הירידה בהכנסות הובילה למצוקה בקרב משקי הבית, שהשתקפה בגידול מבקשי האשראי למטרת גישור על פערי תזרים. משכך הורה הפיקוח על הבנקים על כמה הקלות שנועדו להקל על משקי הבית ועל מבקשי ההלוואות לדיור ולתמוך בהגדלת היצע האשראי, לרבות הקלות בניהול מסגרות אשראי </w:t>
      </w:r>
      <w:r>
        <w:rPr>
          <w:rFonts w:hint="cs"/>
          <w:rtl/>
        </w:rPr>
        <w:t xml:space="preserve">בחשבונות עובר ושב, </w:t>
      </w:r>
      <w:r w:rsidR="005E3635">
        <w:rPr>
          <w:rFonts w:hint="cs"/>
          <w:rtl/>
        </w:rPr>
        <w:t xml:space="preserve">הקלות </w:t>
      </w:r>
      <w:r>
        <w:rPr>
          <w:rFonts w:hint="cs"/>
          <w:rtl/>
        </w:rPr>
        <w:t xml:space="preserve">במגבלות למתן הלוואות לכל מטרה </w:t>
      </w:r>
      <w:r w:rsidR="005E3635">
        <w:rPr>
          <w:rFonts w:hint="cs"/>
          <w:rtl/>
        </w:rPr>
        <w:t>ו</w:t>
      </w:r>
      <w:r>
        <w:rPr>
          <w:rFonts w:hint="cs"/>
          <w:rtl/>
        </w:rPr>
        <w:t>במשכון דירת מגורים</w:t>
      </w:r>
      <w:r>
        <w:rPr>
          <w:rStyle w:val="FootnoteReference"/>
          <w:rtl/>
        </w:rPr>
        <w:footnoteReference w:id="17"/>
      </w:r>
      <w:r>
        <w:rPr>
          <w:rFonts w:hint="cs"/>
          <w:rtl/>
        </w:rPr>
        <w:t xml:space="preserve"> ו</w:t>
      </w:r>
      <w:r w:rsidR="005E3635">
        <w:rPr>
          <w:rFonts w:hint="cs"/>
          <w:rtl/>
        </w:rPr>
        <w:t xml:space="preserve">הקלות </w:t>
      </w:r>
      <w:r>
        <w:rPr>
          <w:rFonts w:hint="cs"/>
          <w:rtl/>
        </w:rPr>
        <w:t>במגבלות על הלוואות לדיור לעובדים שהוצאו לחופשה ללא תשלום</w:t>
      </w:r>
      <w:r>
        <w:rPr>
          <w:rStyle w:val="FootnoteReference"/>
          <w:rtl/>
        </w:rPr>
        <w:footnoteReference w:id="18"/>
      </w:r>
      <w:r>
        <w:rPr>
          <w:rFonts w:hint="cs"/>
          <w:rtl/>
        </w:rPr>
        <w:t>.</w:t>
      </w:r>
    </w:p>
    <w:p w:rsidR="00253C38" w:rsidP="00982BC1" w14:paraId="70A2A556" w14:textId="74065E3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AADCB88" w14:textId="77777777">
      <w:pPr>
        <w:spacing w:line="269" w:lineRule="auto"/>
        <w:rPr>
          <w:rtl/>
        </w:rPr>
      </w:pPr>
      <w:r w:rsidRPr="005E3635">
        <w:rPr>
          <w:rFonts w:hint="cs"/>
          <w:rtl/>
        </w:rPr>
        <w:t xml:space="preserve">ביום </w:t>
      </w:r>
      <w:r w:rsidRPr="005E3635">
        <w:rPr>
          <w:rtl/>
        </w:rPr>
        <w:t>29.3.20</w:t>
      </w:r>
      <w:r w:rsidRPr="005E3635">
        <w:rPr>
          <w:rFonts w:hint="cs"/>
          <w:rtl/>
        </w:rPr>
        <w:t xml:space="preserve"> פרסמה</w:t>
      </w:r>
      <w:r>
        <w:rPr>
          <w:rFonts w:hint="cs"/>
          <w:rtl/>
        </w:rPr>
        <w:t xml:space="preserve"> רשות שוק ההון רשימת הקלות והתאמות רגולטוריות, וביניהן הקלות בתנאי האשראי לעמיתים</w:t>
      </w:r>
      <w:r>
        <w:rPr>
          <w:rStyle w:val="FootnoteReference"/>
          <w:rtl/>
        </w:rPr>
        <w:footnoteReference w:id="19"/>
      </w:r>
      <w:r>
        <w:rPr>
          <w:rFonts w:hint="cs"/>
          <w:rtl/>
        </w:rPr>
        <w:t xml:space="preserve"> בהלוואות כנגד חסכונות קיימים שנועדו להגדיל את היצע האשראי. העמדת אשראי על סמך בטוחה מאפשרת לעמיתים להמשיך וליהנות מההטבות הגלומות בחיסכון, וביניהן צבירת תשואה, פטור ממס ושמירת ותק, ובד בבד פועלת לשימור לקוחות ומונעת משיכת כספים, ובכך מיטיבה עם מנהלי ההשקעות בגופים המוסדיים.</w:t>
      </w:r>
    </w:p>
    <w:p w:rsidR="00253C38" w:rsidP="00982BC1" w14:paraId="6865DA79" w14:textId="3D5576E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67B4B65" w14:textId="77777777">
      <w:pPr>
        <w:spacing w:line="269" w:lineRule="auto"/>
        <w:rPr>
          <w:rtl/>
        </w:rPr>
      </w:pPr>
      <w:r>
        <w:rPr>
          <w:rFonts w:hint="cs"/>
          <w:rtl/>
        </w:rPr>
        <w:t xml:space="preserve">ברקע אי-ודאות גבוהה ותנודתיות בשווקים הפיננסיים עלה חשש של מנהלי ההשקעות מפגיעה בשוויין של הבטוחות. יתרה מזו, מנהלי ההשקעות נדרשים להשיא את התשואה עבור החוסכים אגב נטילת סיכון ברמה נאותה. לפיכך </w:t>
      </w:r>
      <w:r w:rsidRPr="00CE1E58">
        <w:rPr>
          <w:rFonts w:hint="eastAsia"/>
          <w:rtl/>
        </w:rPr>
        <w:t>הלוואות</w:t>
      </w:r>
      <w:r>
        <w:rPr>
          <w:rFonts w:hint="cs"/>
          <w:rtl/>
        </w:rPr>
        <w:t xml:space="preserve"> הניתנות לעמיתים כנגד חסכונות קיימים הן אפיק השקעה, שהאטרקטיביות הגלומה בו נבחנת בהשוואה ל</w:t>
      </w:r>
      <w:r w:rsidR="00C06CFB">
        <w:rPr>
          <w:rFonts w:hint="cs"/>
          <w:rtl/>
        </w:rPr>
        <w:t>אפיקי</w:t>
      </w:r>
      <w:r>
        <w:rPr>
          <w:rFonts w:hint="cs"/>
          <w:rtl/>
        </w:rPr>
        <w:t xml:space="preserve"> השקעה אחרים. לוח 1 להלן מציג את התפתחות יתרת ההלוואות לעמיתים במהלך שנת 2020.</w:t>
      </w:r>
    </w:p>
    <w:p w:rsidR="00253C38" w:rsidP="00982BC1" w14:paraId="630829B2" w14:textId="39CB1DE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4B3480DB" w14:textId="77777777">
      <w:pPr>
        <w:spacing w:line="269" w:lineRule="auto"/>
        <w:jc w:val="center"/>
        <w:rPr>
          <w:b/>
          <w:bCs/>
          <w:rtl/>
        </w:rPr>
      </w:pPr>
      <w:r w:rsidRPr="00DF5110">
        <w:rPr>
          <w:rFonts w:hint="eastAsia"/>
          <w:b/>
          <w:bCs/>
          <w:rtl/>
        </w:rPr>
        <w:t>לוח</w:t>
      </w:r>
      <w:r w:rsidRPr="00DF5110">
        <w:rPr>
          <w:b/>
          <w:bCs/>
          <w:rtl/>
        </w:rPr>
        <w:t xml:space="preserve"> 1: </w:t>
      </w:r>
      <w:r w:rsidRPr="00DF5110">
        <w:rPr>
          <w:rFonts w:hint="eastAsia"/>
          <w:b/>
          <w:bCs/>
          <w:rtl/>
        </w:rPr>
        <w:t>יתרת</w:t>
      </w:r>
      <w:r w:rsidRPr="00DF5110">
        <w:rPr>
          <w:b/>
          <w:bCs/>
          <w:rtl/>
        </w:rPr>
        <w:t xml:space="preserve"> </w:t>
      </w:r>
      <w:r w:rsidRPr="00DF5110">
        <w:rPr>
          <w:rFonts w:hint="eastAsia"/>
          <w:b/>
          <w:bCs/>
          <w:rtl/>
        </w:rPr>
        <w:t>הלוואות</w:t>
      </w:r>
      <w:r w:rsidRPr="00DF5110">
        <w:rPr>
          <w:b/>
          <w:bCs/>
          <w:rtl/>
        </w:rPr>
        <w:t xml:space="preserve"> </w:t>
      </w:r>
      <w:r w:rsidRPr="00DF5110">
        <w:rPr>
          <w:rFonts w:hint="eastAsia"/>
          <w:b/>
          <w:bCs/>
          <w:rtl/>
        </w:rPr>
        <w:t>לעמיתים</w:t>
      </w:r>
      <w:r w:rsidRPr="00364BB1">
        <w:rPr>
          <w:rFonts w:hint="cs"/>
          <w:b/>
          <w:bCs/>
          <w:rtl/>
        </w:rPr>
        <w:t>,</w:t>
      </w:r>
      <w:r w:rsidRPr="00DF5110">
        <w:rPr>
          <w:b/>
          <w:bCs/>
          <w:rtl/>
        </w:rPr>
        <w:t xml:space="preserve"> 2020</w:t>
      </w:r>
      <w:r w:rsidRPr="00364BB1">
        <w:rPr>
          <w:rFonts w:hint="cs"/>
          <w:b/>
          <w:bCs/>
          <w:rtl/>
        </w:rPr>
        <w:t xml:space="preserve"> (</w:t>
      </w:r>
      <w:r w:rsidRPr="00DF5110">
        <w:rPr>
          <w:rFonts w:hint="eastAsia"/>
          <w:b/>
          <w:bCs/>
          <w:rtl/>
        </w:rPr>
        <w:t>במיליארדי</w:t>
      </w:r>
      <w:r w:rsidRPr="00DF5110">
        <w:rPr>
          <w:b/>
          <w:bCs/>
          <w:rtl/>
        </w:rPr>
        <w:t xml:space="preserve"> </w:t>
      </w:r>
      <w:r w:rsidRPr="00364BB1">
        <w:rPr>
          <w:rFonts w:hint="cs"/>
          <w:b/>
          <w:bCs/>
          <w:rtl/>
        </w:rPr>
        <w:t>ש"ח)</w:t>
      </w:r>
    </w:p>
    <w:tbl>
      <w:tblPr>
        <w:tblStyle w:val="TableGrid"/>
        <w:bidiVisual/>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
      <w:tblGrid>
        <w:gridCol w:w="2087"/>
        <w:gridCol w:w="2087"/>
        <w:gridCol w:w="2087"/>
        <w:gridCol w:w="2087"/>
      </w:tblGrid>
      <w:tr w14:paraId="685CB3C4" w14:textId="77777777" w:rsidTr="003F019B">
        <w:tblPrEx>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tblPrEx>
        <w:tc>
          <w:tcPr>
            <w:tcW w:w="2087" w:type="dxa"/>
            <w:shd w:val="clear" w:color="auto" w:fill="244061" w:themeFill="accent1" w:themeFillShade="80"/>
            <w:vAlign w:val="center"/>
          </w:tcPr>
          <w:p w:rsidR="00253C38" w:rsidRPr="00DF5110" w:rsidP="00982BC1" w14:paraId="384040AE"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30.</w:t>
            </w:r>
            <w:r w:rsidRPr="005C5FE5">
              <w:rPr>
                <w:rFonts w:ascii="Tahoma" w:hAnsi="Tahoma" w:cs="Tahoma"/>
                <w:color w:val="FFFFFF" w:themeColor="background1"/>
                <w:rtl/>
              </w:rPr>
              <w:t>9.20</w:t>
            </w:r>
          </w:p>
        </w:tc>
        <w:tc>
          <w:tcPr>
            <w:tcW w:w="2087" w:type="dxa"/>
            <w:shd w:val="clear" w:color="auto" w:fill="244061" w:themeFill="accent1" w:themeFillShade="80"/>
            <w:vAlign w:val="center"/>
          </w:tcPr>
          <w:p w:rsidR="00253C38" w:rsidRPr="00DF5110" w:rsidP="00982BC1" w14:paraId="13FE1500"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30.</w:t>
            </w:r>
            <w:r w:rsidRPr="005C5FE5">
              <w:rPr>
                <w:rFonts w:ascii="Tahoma" w:hAnsi="Tahoma" w:cs="Tahoma"/>
                <w:color w:val="FFFFFF" w:themeColor="background1"/>
                <w:rtl/>
              </w:rPr>
              <w:t>6.20</w:t>
            </w:r>
          </w:p>
        </w:tc>
        <w:tc>
          <w:tcPr>
            <w:tcW w:w="2087" w:type="dxa"/>
            <w:shd w:val="clear" w:color="auto" w:fill="244061" w:themeFill="accent1" w:themeFillShade="80"/>
            <w:vAlign w:val="center"/>
          </w:tcPr>
          <w:p w:rsidR="00253C38" w:rsidRPr="00DF5110" w:rsidP="00982BC1" w14:paraId="157866E9"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31.</w:t>
            </w:r>
            <w:r w:rsidRPr="005C5FE5">
              <w:rPr>
                <w:rFonts w:ascii="Tahoma" w:hAnsi="Tahoma" w:cs="Tahoma"/>
                <w:color w:val="FFFFFF" w:themeColor="background1"/>
                <w:rtl/>
              </w:rPr>
              <w:t>3.20</w:t>
            </w:r>
          </w:p>
        </w:tc>
        <w:tc>
          <w:tcPr>
            <w:tcW w:w="2087" w:type="dxa"/>
            <w:shd w:val="clear" w:color="auto" w:fill="244061" w:themeFill="accent1" w:themeFillShade="80"/>
            <w:vAlign w:val="center"/>
          </w:tcPr>
          <w:p w:rsidR="00253C38" w:rsidRPr="00DF5110" w:rsidP="00982BC1" w14:paraId="4710BE2E"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31.12.</w:t>
            </w:r>
            <w:r w:rsidRPr="005C5FE5">
              <w:rPr>
                <w:rFonts w:ascii="Tahoma" w:hAnsi="Tahoma" w:cs="Tahoma"/>
                <w:color w:val="FFFFFF" w:themeColor="background1"/>
                <w:rtl/>
              </w:rPr>
              <w:t>19</w:t>
            </w:r>
          </w:p>
        </w:tc>
      </w:tr>
      <w:tr w14:paraId="26F0EC80" w14:textId="77777777" w:rsidTr="003F019B">
        <w:tblPrEx>
          <w:tblW w:w="0" w:type="auto"/>
          <w:tblLook w:val="04A0"/>
        </w:tblPrEx>
        <w:tc>
          <w:tcPr>
            <w:tcW w:w="2087" w:type="dxa"/>
            <w:shd w:val="clear" w:color="auto" w:fill="808080" w:themeFill="background1" w:themeFillShade="80"/>
            <w:vAlign w:val="center"/>
          </w:tcPr>
          <w:p w:rsidR="00253C38" w:rsidRPr="00DF5110" w:rsidP="00982BC1" w14:paraId="476943DD"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15.4</w:t>
            </w:r>
          </w:p>
        </w:tc>
        <w:tc>
          <w:tcPr>
            <w:tcW w:w="2087" w:type="dxa"/>
            <w:shd w:val="clear" w:color="auto" w:fill="808080" w:themeFill="background1" w:themeFillShade="80"/>
            <w:vAlign w:val="center"/>
          </w:tcPr>
          <w:p w:rsidR="00253C38" w:rsidRPr="00DF5110" w:rsidP="00982BC1" w14:paraId="2C5D5113"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15.2</w:t>
            </w:r>
          </w:p>
        </w:tc>
        <w:tc>
          <w:tcPr>
            <w:tcW w:w="2087" w:type="dxa"/>
            <w:shd w:val="clear" w:color="auto" w:fill="808080" w:themeFill="background1" w:themeFillShade="80"/>
            <w:vAlign w:val="center"/>
          </w:tcPr>
          <w:p w:rsidR="00253C38" w:rsidRPr="00DF5110" w:rsidP="00982BC1" w14:paraId="12FC0CF0"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15.1</w:t>
            </w:r>
          </w:p>
        </w:tc>
        <w:tc>
          <w:tcPr>
            <w:tcW w:w="2087" w:type="dxa"/>
            <w:shd w:val="clear" w:color="auto" w:fill="808080" w:themeFill="background1" w:themeFillShade="80"/>
            <w:vAlign w:val="center"/>
          </w:tcPr>
          <w:p w:rsidR="00253C38" w:rsidRPr="00DF5110" w:rsidP="00982BC1" w14:paraId="6A890E27" w14:textId="77777777">
            <w:pPr>
              <w:spacing w:line="269" w:lineRule="auto"/>
              <w:jc w:val="center"/>
              <w:rPr>
                <w:rFonts w:ascii="Tahoma" w:hAnsi="Tahoma" w:cs="Tahoma"/>
                <w:color w:val="FFFFFF" w:themeColor="background1"/>
                <w:rtl/>
              </w:rPr>
            </w:pPr>
            <w:r w:rsidRPr="00DF5110">
              <w:rPr>
                <w:rFonts w:ascii="Tahoma" w:hAnsi="Tahoma" w:cs="Tahoma"/>
                <w:color w:val="FFFFFF" w:themeColor="background1"/>
                <w:rtl/>
              </w:rPr>
              <w:t>14.6</w:t>
            </w:r>
          </w:p>
        </w:tc>
      </w:tr>
    </w:tbl>
    <w:p w:rsidR="00253C38" w:rsidRPr="00982BC1" w:rsidP="00982BC1" w14:paraId="03ADA76C" w14:textId="77777777">
      <w:pPr>
        <w:spacing w:line="269" w:lineRule="auto"/>
        <w:jc w:val="left"/>
        <w:rPr>
          <w:sz w:val="18"/>
          <w:szCs w:val="22"/>
          <w:rtl/>
        </w:rPr>
      </w:pPr>
      <w:r w:rsidRPr="00982BC1">
        <w:rPr>
          <w:rFonts w:hint="cs"/>
          <w:sz w:val="18"/>
          <w:szCs w:val="22"/>
          <w:rtl/>
        </w:rPr>
        <w:t>נתוני רשות שוק ההון.</w:t>
      </w:r>
    </w:p>
    <w:p w:rsidR="00253C38" w:rsidRPr="00A3435C" w:rsidP="00982BC1" w14:paraId="37FC8133" w14:textId="6EF81072">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6CF54662" w14:textId="77777777">
      <w:pPr>
        <w:spacing w:line="269" w:lineRule="auto"/>
        <w:rPr>
          <w:rtl/>
        </w:rPr>
      </w:pPr>
      <w:r>
        <w:rPr>
          <w:rFonts w:hint="cs"/>
          <w:rtl/>
        </w:rPr>
        <w:t>לוח 1 מציג גידול מתון ביתרת ההלוואות לעמיתים במהלך חודשי המשבר למרות הצורך באשראי בתקופה זו בקרב משקי בית רבים והיתרון הכלכלי הגלום בנטילת הלוואה באפיק זה. בשיחות שקיים צוות הביקורת עם רשות שוק ההון נמסר כי במהלך שלושת הרבעונים הראשונים של שנת 2020 לא נרשמה תנודתיות ניכרת בביקוש לאשראי על בסיס חסכונות קיימים</w:t>
      </w:r>
      <w:r w:rsidRPr="00AD47FF">
        <w:rPr>
          <w:rFonts w:hint="cs"/>
          <w:rtl/>
        </w:rPr>
        <w:t>, וכי פוטנציאל העמדת האשראי לפי נתוני סוף שנת 2019 מוערך לכל היותר</w:t>
      </w:r>
      <w:r>
        <w:rPr>
          <w:rStyle w:val="FootnoteReference"/>
          <w:rtl/>
        </w:rPr>
        <w:footnoteReference w:id="20"/>
      </w:r>
      <w:r w:rsidRPr="00AD47FF">
        <w:rPr>
          <w:rFonts w:hint="cs"/>
          <w:rtl/>
        </w:rPr>
        <w:t xml:space="preserve"> ב-24.8 מיליארד </w:t>
      </w:r>
      <w:r w:rsidRPr="00AD47FF" w:rsidR="00C06CFB">
        <w:rPr>
          <w:rFonts w:hint="cs"/>
          <w:rtl/>
        </w:rPr>
        <w:t>ש"ח בקופות ההשתלמות וב</w:t>
      </w:r>
      <w:r w:rsidRPr="00AD47FF">
        <w:rPr>
          <w:rFonts w:hint="cs"/>
          <w:rtl/>
        </w:rPr>
        <w:t>-1.4 מיליארד ש"ח נוספים בקופות הגמל להשקעה.</w:t>
      </w:r>
    </w:p>
    <w:p w:rsidR="00253C38" w:rsidP="00982BC1" w14:paraId="189A1B09" w14:textId="2630E667">
      <w:pPr>
        <w:pStyle w:val="a"/>
        <w:spacing w:line="269" w:lineRule="auto"/>
        <w:rPr>
          <w:rtl/>
        </w:rPr>
      </w:pPr>
      <w:r w:rsidRPr="0042026A">
        <w:rPr>
          <w:rtl/>
        </w:rPr>
        <w:fldChar w:fldCharType="begin"/>
      </w:r>
      <w:r w:rsidRPr="00133F97">
        <w:rPr>
          <w:rtl/>
        </w:rPr>
        <w:instrText xml:space="preserve"> </w:instrText>
      </w:r>
      <w:r w:rsidRPr="00133F97">
        <w:instrText>AUTONUMLGL \e  \* MERGEFORMAT</w:instrText>
      </w:r>
      <w:r w:rsidRPr="00133F97">
        <w:rPr>
          <w:rtl/>
        </w:rPr>
        <w:instrText xml:space="preserve"> </w:instrText>
      </w:r>
      <w:r w:rsidRPr="0042026A">
        <w:rPr>
          <w:rtl/>
        </w:rPr>
        <w:fldChar w:fldCharType="end"/>
      </w:r>
    </w:p>
    <w:p w:rsidR="00253C38" w:rsidP="00982BC1" w14:paraId="6B0BDE71" w14:textId="77777777">
      <w:pPr>
        <w:spacing w:line="269" w:lineRule="auto"/>
        <w:rPr>
          <w:rtl/>
        </w:rPr>
      </w:pPr>
      <w:r>
        <w:rPr>
          <w:rFonts w:hint="cs"/>
          <w:rtl/>
        </w:rPr>
        <w:t>ב</w:t>
      </w:r>
      <w:r w:rsidRPr="00BE551C">
        <w:rPr>
          <w:rFonts w:hint="cs"/>
          <w:rtl/>
        </w:rPr>
        <w:t xml:space="preserve">מסגרת חוק </w:t>
      </w:r>
      <w:r w:rsidRPr="00DB282C">
        <w:rPr>
          <w:rFonts w:hint="cs"/>
          <w:rtl/>
        </w:rPr>
        <w:t xml:space="preserve">התוכנית לסיוע כלכלי (נגיף קורונה החדש) (הוראת שעה), התש"ף-2020 שפורסם ביום </w:t>
      </w:r>
      <w:r w:rsidRPr="00DB282C">
        <w:rPr>
          <w:rtl/>
        </w:rPr>
        <w:t>29.7.2020</w:t>
      </w:r>
      <w:r w:rsidRPr="00DB282C">
        <w:rPr>
          <w:rFonts w:hint="cs"/>
          <w:rtl/>
        </w:rPr>
        <w:t xml:space="preserve"> נקבעו הקלות מס במשיכת כספים מקרנות השתלמות. במסגרת זו התאפשר החל ביום </w:t>
      </w:r>
      <w:r w:rsidRPr="00DB282C">
        <w:rPr>
          <w:rtl/>
        </w:rPr>
        <w:t>10.8.2020</w:t>
      </w:r>
      <w:r w:rsidRPr="00DB282C">
        <w:rPr>
          <w:rFonts w:hint="cs"/>
          <w:rtl/>
        </w:rPr>
        <w:t xml:space="preserve"> ועד יום </w:t>
      </w:r>
      <w:r w:rsidRPr="00DB282C">
        <w:rPr>
          <w:rtl/>
        </w:rPr>
        <w:t>9.2.2021</w:t>
      </w:r>
      <w:r w:rsidRPr="00DB282C">
        <w:rPr>
          <w:rFonts w:hint="cs"/>
          <w:rtl/>
        </w:rPr>
        <w:t xml:space="preserve"> למשוך</w:t>
      </w:r>
      <w:r w:rsidRPr="00BE551C">
        <w:rPr>
          <w:rFonts w:hint="cs"/>
          <w:rtl/>
        </w:rPr>
        <w:t xml:space="preserve"> סכום שלא יעלה על 7,500 ש"ח בחודש ובסך הכ</w:t>
      </w:r>
      <w:r>
        <w:rPr>
          <w:rFonts w:hint="cs"/>
          <w:rtl/>
        </w:rPr>
        <w:t>ו</w:t>
      </w:r>
      <w:r w:rsidRPr="00BE551C">
        <w:rPr>
          <w:rFonts w:hint="cs"/>
          <w:rtl/>
        </w:rPr>
        <w:t xml:space="preserve">ל עד 45,000 </w:t>
      </w:r>
      <w:r>
        <w:rPr>
          <w:rFonts w:hint="cs"/>
          <w:rtl/>
        </w:rPr>
        <w:t>ש"ח בפטור ממס</w:t>
      </w:r>
      <w:r w:rsidRPr="00BE551C">
        <w:rPr>
          <w:rFonts w:hint="cs"/>
          <w:rtl/>
        </w:rPr>
        <w:t xml:space="preserve">. </w:t>
      </w:r>
      <w:r>
        <w:rPr>
          <w:rFonts w:hint="cs"/>
          <w:rtl/>
        </w:rPr>
        <w:t>תרשים 8 להלן מציג את סך המשיכות מקרנות ההשתלמות של שכירים ועצמאיים בפריסה חודשית בין ינואר 2018 עד נובמבר 2020.</w:t>
      </w:r>
    </w:p>
    <w:p w:rsidR="00982BC1" w14:paraId="3D4944C8" w14:textId="77777777">
      <w:pPr>
        <w:bidi w:val="0"/>
        <w:spacing w:after="200" w:line="276" w:lineRule="auto"/>
        <w:rPr>
          <w:szCs w:val="20"/>
          <w:rtl/>
        </w:rPr>
      </w:pPr>
      <w:r>
        <w:rPr>
          <w:rtl/>
        </w:rPr>
        <w:br w:type="page"/>
      </w:r>
    </w:p>
    <w:p w:rsidR="00253C38" w:rsidRPr="00364BB1" w:rsidP="00982BC1" w14:paraId="41617B67" w14:textId="496EDE0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53C7FD0D" w14:textId="016AA343">
      <w:pPr>
        <w:spacing w:line="269" w:lineRule="auto"/>
        <w:jc w:val="center"/>
        <w:rPr>
          <w:b/>
          <w:bCs/>
          <w:rtl/>
        </w:rPr>
      </w:pPr>
      <w:r w:rsidRPr="00DF5110">
        <w:rPr>
          <w:rFonts w:hint="eastAsia"/>
          <w:b/>
          <w:bCs/>
          <w:rtl/>
        </w:rPr>
        <w:t>תרשים</w:t>
      </w:r>
      <w:r w:rsidRPr="00DF5110">
        <w:rPr>
          <w:b/>
          <w:bCs/>
          <w:rtl/>
        </w:rPr>
        <w:t xml:space="preserve"> 8: </w:t>
      </w:r>
      <w:r w:rsidRPr="00DF5110">
        <w:rPr>
          <w:rFonts w:hint="eastAsia"/>
          <w:b/>
          <w:bCs/>
          <w:rtl/>
        </w:rPr>
        <w:t>משיכות</w:t>
      </w:r>
      <w:r w:rsidRPr="00DF5110">
        <w:rPr>
          <w:b/>
          <w:bCs/>
          <w:rtl/>
        </w:rPr>
        <w:t xml:space="preserve"> </w:t>
      </w:r>
      <w:r w:rsidRPr="00DF5110">
        <w:rPr>
          <w:rFonts w:hint="eastAsia"/>
          <w:b/>
          <w:bCs/>
          <w:rtl/>
        </w:rPr>
        <w:t>מקרנות</w:t>
      </w:r>
      <w:r w:rsidRPr="00DF5110">
        <w:rPr>
          <w:b/>
          <w:bCs/>
          <w:rtl/>
        </w:rPr>
        <w:t xml:space="preserve"> </w:t>
      </w:r>
      <w:r w:rsidRPr="00DF5110">
        <w:rPr>
          <w:rFonts w:hint="eastAsia"/>
          <w:b/>
          <w:bCs/>
          <w:rtl/>
        </w:rPr>
        <w:t>השתלמות</w:t>
      </w:r>
      <w:r w:rsidRPr="00DF5110">
        <w:rPr>
          <w:b/>
          <w:bCs/>
          <w:rtl/>
        </w:rPr>
        <w:t xml:space="preserve"> </w:t>
      </w:r>
      <w:r w:rsidRPr="00DB282C">
        <w:rPr>
          <w:b/>
          <w:bCs/>
          <w:rtl/>
        </w:rPr>
        <w:t>של שכירים ועצמאיים בפריסה חודשית</w:t>
      </w:r>
      <w:r w:rsidRPr="00364BB1">
        <w:rPr>
          <w:rFonts w:hint="cs"/>
          <w:b/>
          <w:bCs/>
          <w:rtl/>
        </w:rPr>
        <w:t>,</w:t>
      </w:r>
      <w:r w:rsidRPr="00DB282C">
        <w:rPr>
          <w:b/>
          <w:bCs/>
          <w:rtl/>
        </w:rPr>
        <w:t xml:space="preserve"> ינואר 2018 </w:t>
      </w:r>
      <w:r>
        <w:rPr>
          <w:rFonts w:hint="cs"/>
          <w:b/>
          <w:bCs/>
          <w:rtl/>
        </w:rPr>
        <w:t>-</w:t>
      </w:r>
      <w:r w:rsidRPr="00DB282C">
        <w:rPr>
          <w:rFonts w:hint="eastAsia"/>
          <w:b/>
          <w:bCs/>
          <w:rtl/>
        </w:rPr>
        <w:t>נובמבר</w:t>
      </w:r>
      <w:r w:rsidRPr="00DF5110">
        <w:rPr>
          <w:b/>
          <w:bCs/>
          <w:rtl/>
        </w:rPr>
        <w:t xml:space="preserve"> 2020</w:t>
      </w:r>
      <w:r w:rsidRPr="00364BB1">
        <w:rPr>
          <w:rFonts w:hint="cs"/>
          <w:b/>
          <w:bCs/>
          <w:rtl/>
        </w:rPr>
        <w:t xml:space="preserve"> (</w:t>
      </w:r>
      <w:r w:rsidRPr="00DF5110">
        <w:rPr>
          <w:rFonts w:hint="eastAsia"/>
          <w:b/>
          <w:bCs/>
          <w:rtl/>
        </w:rPr>
        <w:t>במיליוני</w:t>
      </w:r>
      <w:r w:rsidRPr="00DF5110">
        <w:rPr>
          <w:b/>
          <w:bCs/>
          <w:rtl/>
        </w:rPr>
        <w:t xml:space="preserve"> </w:t>
      </w:r>
      <w:r w:rsidRPr="00DF5110">
        <w:rPr>
          <w:rFonts w:hint="eastAsia"/>
          <w:b/>
          <w:bCs/>
          <w:rtl/>
        </w:rPr>
        <w:t>ש</w:t>
      </w:r>
      <w:r w:rsidRPr="00DF5110">
        <w:rPr>
          <w:b/>
          <w:bCs/>
          <w:rtl/>
        </w:rPr>
        <w:t>"ח</w:t>
      </w:r>
      <w:r w:rsidRPr="00364BB1">
        <w:rPr>
          <w:rFonts w:hint="cs"/>
          <w:b/>
          <w:bCs/>
          <w:rtl/>
        </w:rPr>
        <w:t>)</w:t>
      </w:r>
    </w:p>
    <w:p w:rsidR="00253C38" w:rsidRPr="00D84523" w:rsidP="00982BC1" w14:paraId="3A43C55F" w14:textId="77777777">
      <w:pPr>
        <w:spacing w:line="269" w:lineRule="auto"/>
        <w:ind w:left="-567"/>
        <w:jc w:val="right"/>
        <w:rPr>
          <w:rtl/>
        </w:rPr>
      </w:pPr>
      <w:r>
        <w:rPr>
          <w:noProof/>
        </w:rPr>
        <w:drawing>
          <wp:inline distT="0" distB="0" distL="0" distR="0">
            <wp:extent cx="5508625" cy="4306001"/>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3320" name=""/>
                    <pic:cNvPicPr/>
                  </pic:nvPicPr>
                  <pic:blipFill>
                    <a:blip xmlns:r="http://schemas.openxmlformats.org/officeDocument/2006/relationships" r:embed="rId13"/>
                    <a:stretch>
                      <a:fillRect/>
                    </a:stretch>
                  </pic:blipFill>
                  <pic:spPr>
                    <a:xfrm>
                      <a:off x="0" y="0"/>
                      <a:ext cx="5525463" cy="4319163"/>
                    </a:xfrm>
                    <a:prstGeom prst="rect">
                      <a:avLst/>
                    </a:prstGeom>
                  </pic:spPr>
                </pic:pic>
              </a:graphicData>
            </a:graphic>
          </wp:inline>
        </w:drawing>
      </w:r>
    </w:p>
    <w:p w:rsidR="00253C38" w:rsidRPr="00982BC1" w:rsidP="00982BC1" w14:paraId="54F7ABB2" w14:textId="77777777">
      <w:pPr>
        <w:spacing w:line="269" w:lineRule="auto"/>
        <w:rPr>
          <w:sz w:val="18"/>
          <w:szCs w:val="22"/>
          <w:rtl/>
        </w:rPr>
      </w:pPr>
      <w:r w:rsidRPr="00982BC1">
        <w:rPr>
          <w:rFonts w:hint="cs"/>
          <w:sz w:val="18"/>
          <w:szCs w:val="22"/>
          <w:rtl/>
        </w:rPr>
        <w:t>נתוני רשות שוק ההון, בעיבוד משרד מבקר המדינה.</w:t>
      </w:r>
    </w:p>
    <w:p w:rsidR="00253C38" w:rsidP="00982BC1" w14:paraId="3C82B1DE" w14:textId="77C3AFA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AD47FF" w:rsidP="00982BC1" w14:paraId="7CEE6231" w14:textId="77777777">
      <w:pPr>
        <w:spacing w:line="269" w:lineRule="auto"/>
        <w:rPr>
          <w:rtl/>
        </w:rPr>
      </w:pPr>
      <w:r w:rsidRPr="00AD47FF">
        <w:rPr>
          <w:rFonts w:hint="cs"/>
          <w:rtl/>
        </w:rPr>
        <w:t>מתרשים 8 עולה כי בחודש מרץ 2020 משכו מקרנות ההשתלמות סכום חריג בגובהו העצמאיים ובעיקר</w:t>
      </w:r>
      <w:r w:rsidRPr="00AD47FF">
        <w:rPr>
          <w:rtl/>
        </w:rPr>
        <w:t xml:space="preserve"> </w:t>
      </w:r>
      <w:r w:rsidRPr="00AD47FF">
        <w:rPr>
          <w:rFonts w:hint="eastAsia"/>
          <w:rtl/>
        </w:rPr>
        <w:t>השכירים</w:t>
      </w:r>
      <w:r w:rsidRPr="00AD47FF">
        <w:rPr>
          <w:rFonts w:hint="cs"/>
          <w:rtl/>
        </w:rPr>
        <w:t xml:space="preserve">, בעוד שבחודשים אפריל ומאי היה סכום </w:t>
      </w:r>
      <w:r w:rsidRPr="00D94E5D">
        <w:rPr>
          <w:rFonts w:hint="cs"/>
          <w:rtl/>
        </w:rPr>
        <w:t>המשיכות נמוך בהשוואה למשיכות שאירעו בשנים 2018 - 2020.</w:t>
      </w:r>
      <w:r w:rsidRPr="00AD47FF">
        <w:rPr>
          <w:rFonts w:hint="cs"/>
          <w:rtl/>
        </w:rPr>
        <w:t xml:space="preserve"> </w:t>
      </w:r>
    </w:p>
    <w:p w:rsidR="00253C38" w:rsidP="00982BC1" w14:paraId="6039FC1E" w14:textId="2817CCD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B89F0BA" w14:textId="77777777">
      <w:pPr>
        <w:spacing w:line="269" w:lineRule="auto"/>
        <w:rPr>
          <w:rtl/>
        </w:rPr>
      </w:pPr>
      <w:r>
        <w:rPr>
          <w:rFonts w:hint="cs"/>
          <w:rtl/>
        </w:rPr>
        <w:t>המפקח על שוק ההון כתב</w:t>
      </w:r>
      <w:r w:rsidRPr="00A3435C">
        <w:rPr>
          <w:rFonts w:hint="cs"/>
          <w:rtl/>
        </w:rPr>
        <w:t xml:space="preserve"> לצוו</w:t>
      </w:r>
      <w:r>
        <w:rPr>
          <w:rFonts w:hint="cs"/>
          <w:rtl/>
        </w:rPr>
        <w:t xml:space="preserve">ת </w:t>
      </w:r>
      <w:r w:rsidRPr="00C560C6">
        <w:rPr>
          <w:rFonts w:hint="cs"/>
          <w:rtl/>
        </w:rPr>
        <w:t xml:space="preserve">הביקורת ביום </w:t>
      </w:r>
      <w:r w:rsidRPr="00C560C6">
        <w:rPr>
          <w:rtl/>
        </w:rPr>
        <w:t>6.1.21</w:t>
      </w:r>
      <w:r w:rsidRPr="00C560C6">
        <w:rPr>
          <w:rFonts w:hint="cs"/>
          <w:rtl/>
        </w:rPr>
        <w:t xml:space="preserve"> כי "</w:t>
      </w:r>
      <w:r w:rsidRPr="00C560C6">
        <w:rPr>
          <w:rFonts w:ascii="Arial" w:hAnsi="Arial"/>
          <w:rtl/>
        </w:rPr>
        <w:t>לאורך הגל הראשון בחנה הרשות את התמודדות הגופים המוסדיים עם השלכות משבר הקורונה</w:t>
      </w:r>
      <w:r w:rsidRPr="00D27EF7">
        <w:rPr>
          <w:rFonts w:ascii="Arial" w:hAnsi="Arial"/>
          <w:rtl/>
        </w:rPr>
        <w:t xml:space="preserve"> </w:t>
      </w:r>
      <w:r w:rsidRPr="00D27EF7">
        <w:rPr>
          <w:rFonts w:ascii="Arial" w:hAnsi="Arial"/>
          <w:b/>
          <w:bCs/>
          <w:rtl/>
        </w:rPr>
        <w:t>באופן שבועי</w:t>
      </w:r>
      <w:r w:rsidRPr="00D27EF7">
        <w:rPr>
          <w:rFonts w:ascii="Arial" w:hAnsi="Arial"/>
          <w:rtl/>
        </w:rPr>
        <w:t xml:space="preserve"> בשיחות טלפוניות מול מנהלי ההשקעות בגופים המוסדיים</w:t>
      </w:r>
      <w:r w:rsidRPr="00DF5110">
        <w:rPr>
          <w:rFonts w:ascii="Arial" w:hAnsi="Arial"/>
          <w:rtl/>
        </w:rPr>
        <w:t>,</w:t>
      </w:r>
      <w:r w:rsidRPr="00D27EF7">
        <w:rPr>
          <w:rFonts w:ascii="Arial" w:hAnsi="Arial"/>
          <w:b/>
          <w:bCs/>
          <w:rtl/>
        </w:rPr>
        <w:t xml:space="preserve"> </w:t>
      </w:r>
      <w:r w:rsidRPr="00D27EF7">
        <w:rPr>
          <w:rFonts w:ascii="Arial" w:hAnsi="Arial"/>
          <w:rtl/>
        </w:rPr>
        <w:t>ובדרישת מידע בדבר החלטות ועדות השקעה</w:t>
      </w:r>
      <w:r w:rsidRPr="00D27EF7">
        <w:rPr>
          <w:rFonts w:ascii="Arial" w:hAnsi="Arial" w:hint="cs"/>
          <w:rtl/>
        </w:rPr>
        <w:t>...</w:t>
      </w:r>
      <w:r w:rsidRPr="00D27EF7">
        <w:rPr>
          <w:rFonts w:ascii="Arial" w:hAnsi="Arial"/>
          <w:rtl/>
        </w:rPr>
        <w:t xml:space="preserve"> עם היציאה מהגל הראשון והתאוששות המשק עברה הרשות </w:t>
      </w:r>
      <w:r w:rsidRPr="00D27EF7">
        <w:rPr>
          <w:rFonts w:ascii="Arial" w:hAnsi="Arial"/>
          <w:b/>
          <w:bCs/>
          <w:rtl/>
        </w:rPr>
        <w:t>לבחינה חודשית</w:t>
      </w:r>
      <w:r w:rsidRPr="00D27EF7">
        <w:rPr>
          <w:rFonts w:ascii="Arial" w:hAnsi="Arial"/>
          <w:rtl/>
        </w:rPr>
        <w:t xml:space="preserve"> של השלכות המשבר </w:t>
      </w:r>
      <w:r w:rsidRPr="00D27EF7">
        <w:rPr>
          <w:rFonts w:ascii="Arial" w:hAnsi="Arial"/>
          <w:b/>
          <w:bCs/>
          <w:rtl/>
        </w:rPr>
        <w:t>שמתנהלת בא</w:t>
      </w:r>
      <w:r w:rsidRPr="00400ADA">
        <w:rPr>
          <w:rFonts w:ascii="Arial" w:hAnsi="Arial"/>
          <w:b/>
          <w:bCs/>
          <w:rtl/>
        </w:rPr>
        <w:t>ופן רציף גם בימים אלו</w:t>
      </w:r>
      <w:r w:rsidRPr="00D27EF7">
        <w:rPr>
          <w:rFonts w:ascii="Arial" w:hAnsi="Arial"/>
          <w:rtl/>
        </w:rPr>
        <w:t>.</w:t>
      </w:r>
      <w:r w:rsidRPr="00D27EF7">
        <w:rPr>
          <w:rFonts w:ascii="Arial" w:hAnsi="Arial" w:hint="cs"/>
          <w:rtl/>
        </w:rPr>
        <w:t>..</w:t>
      </w:r>
      <w:r>
        <w:rPr>
          <w:rFonts w:ascii="Arial" w:hAnsi="Arial" w:hint="cs"/>
          <w:rtl/>
        </w:rPr>
        <w:t xml:space="preserve"> </w:t>
      </w:r>
      <w:r w:rsidRPr="00D27EF7">
        <w:rPr>
          <w:rFonts w:ascii="Arial" w:hAnsi="Arial"/>
          <w:rtl/>
        </w:rPr>
        <w:t xml:space="preserve">המוסדיים התאימו את מדיניות </w:t>
      </w:r>
      <w:r>
        <w:rPr>
          <w:rFonts w:ascii="Arial" w:hAnsi="Arial" w:hint="cs"/>
          <w:rtl/>
        </w:rPr>
        <w:t>ה</w:t>
      </w:r>
      <w:r w:rsidRPr="00D27EF7">
        <w:rPr>
          <w:rFonts w:ascii="Arial" w:hAnsi="Arial"/>
          <w:rtl/>
        </w:rPr>
        <w:t>הלוואות לעמיתים בתקופת המשבר, בהתאם לצרכי הגוף המוסדי באותה עת (למשל- נזילות), ובהתייחסות לסוג המוצר, לטיב הכספים (נזילים/לא נזילים) ולסוג קופות, ופעלו לביצוע של חלק מהפעולות הבאות: עצירת מתן הלוואות חדשות לעמיתים במסלולים מסוימים</w:t>
      </w:r>
      <w:r>
        <w:rPr>
          <w:rFonts w:ascii="Arial" w:hAnsi="Arial" w:hint="cs"/>
          <w:rtl/>
        </w:rPr>
        <w:t>...</w:t>
      </w:r>
      <w:r w:rsidRPr="00D27EF7">
        <w:rPr>
          <w:rFonts w:ascii="Arial" w:hAnsi="Arial"/>
          <w:rtl/>
        </w:rPr>
        <w:t xml:space="preserve"> הורדת יחס ה-</w:t>
      </w:r>
      <w:r w:rsidRPr="00A3435C">
        <w:t>LTV</w:t>
      </w:r>
      <w:r>
        <w:rPr>
          <w:rFonts w:ascii="Arial" w:hAnsi="Arial"/>
          <w:rtl/>
        </w:rPr>
        <w:t>, העלאת גובה הריבית</w:t>
      </w:r>
      <w:r>
        <w:rPr>
          <w:rFonts w:ascii="Arial" w:hAnsi="Arial" w:hint="cs"/>
          <w:rtl/>
        </w:rPr>
        <w:t>...</w:t>
      </w:r>
      <w:r w:rsidRPr="00D27EF7">
        <w:rPr>
          <w:rFonts w:ascii="Arial" w:hAnsi="Arial"/>
          <w:rtl/>
        </w:rPr>
        <w:t xml:space="preserve"> הרשות ממשיכה לפקח ולנטר באופן תדיר על נושא ההלוואות לעמיתים, הן באשר להחלטות פעילות הגופים המוסדיים </w:t>
      </w:r>
      <w:r w:rsidRPr="00C560C6">
        <w:rPr>
          <w:rFonts w:ascii="Arial" w:hAnsi="Arial"/>
          <w:rtl/>
        </w:rPr>
        <w:t>בנושא והן באשר לצרכי האוכלוסייה ולבחינה נוספת של הקלות רגולטוריות אפשריות בנושא</w:t>
      </w:r>
      <w:r w:rsidRPr="00C560C6">
        <w:rPr>
          <w:rFonts w:hint="cs"/>
          <w:rtl/>
        </w:rPr>
        <w:t>" (ההדגשות במקור). נוסף על כך כתבה רשות שוק ההון למשרד מבקר המדינה ב-</w:t>
      </w:r>
      <w:r w:rsidRPr="00C560C6">
        <w:rPr>
          <w:rtl/>
        </w:rPr>
        <w:t>5.4.21</w:t>
      </w:r>
      <w:r w:rsidRPr="00C560C6">
        <w:rPr>
          <w:rFonts w:hint="cs"/>
          <w:rtl/>
        </w:rPr>
        <w:t xml:space="preserve"> כי ההקשחה של תנאי העמדת האשראי במהלך תקופת המשבר התבטאה בדרישה לחתימה על מסמכי חיתום נוספים להעמדת אשראי.</w:t>
      </w:r>
    </w:p>
    <w:p w:rsidR="00253C38" w:rsidP="00982BC1" w14:paraId="65E4E3A3" w14:textId="147E432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8FDDCC7" w14:textId="77777777">
      <w:pPr>
        <w:spacing w:line="269" w:lineRule="auto"/>
        <w:rPr>
          <w:b/>
          <w:bCs/>
          <w:rtl/>
        </w:rPr>
      </w:pPr>
      <w:r w:rsidRPr="00D27EF7">
        <w:rPr>
          <w:rFonts w:hint="cs"/>
          <w:b/>
          <w:bCs/>
          <w:rtl/>
        </w:rPr>
        <w:t xml:space="preserve">היתרון הכלכלי הגלום בנטילת הלוואה </w:t>
      </w:r>
      <w:r>
        <w:rPr>
          <w:rFonts w:hint="cs"/>
          <w:b/>
          <w:bCs/>
          <w:rtl/>
        </w:rPr>
        <w:t>על סמך חיסכון צבור ו</w:t>
      </w:r>
      <w:r w:rsidRPr="0007719C">
        <w:rPr>
          <w:rFonts w:hint="cs"/>
          <w:b/>
          <w:bCs/>
          <w:rtl/>
        </w:rPr>
        <w:t xml:space="preserve">קשיי </w:t>
      </w:r>
      <w:r>
        <w:rPr>
          <w:rFonts w:hint="cs"/>
          <w:b/>
          <w:bCs/>
          <w:rtl/>
        </w:rPr>
        <w:t>ה</w:t>
      </w:r>
      <w:r w:rsidRPr="001E1975">
        <w:rPr>
          <w:rFonts w:hint="cs"/>
          <w:b/>
          <w:bCs/>
          <w:rtl/>
        </w:rPr>
        <w:t>תזרי</w:t>
      </w:r>
      <w:r>
        <w:rPr>
          <w:rFonts w:hint="cs"/>
          <w:b/>
          <w:bCs/>
          <w:rtl/>
        </w:rPr>
        <w:t>ם</w:t>
      </w:r>
      <w:r w:rsidRPr="001E1975">
        <w:rPr>
          <w:rFonts w:hint="cs"/>
          <w:b/>
          <w:bCs/>
          <w:rtl/>
        </w:rPr>
        <w:t xml:space="preserve"> של משקי </w:t>
      </w:r>
      <w:r>
        <w:rPr>
          <w:rFonts w:hint="cs"/>
          <w:b/>
          <w:bCs/>
          <w:rtl/>
        </w:rPr>
        <w:t xml:space="preserve">הבית </w:t>
      </w:r>
      <w:r w:rsidRPr="001E1975">
        <w:rPr>
          <w:rFonts w:hint="cs"/>
          <w:b/>
          <w:bCs/>
          <w:rtl/>
        </w:rPr>
        <w:t>בתקופת המשבר</w:t>
      </w:r>
      <w:r>
        <w:rPr>
          <w:rFonts w:hint="cs"/>
          <w:b/>
          <w:bCs/>
          <w:rtl/>
        </w:rPr>
        <w:t xml:space="preserve"> ממחישים את הצורך בהגדלת האשראי בכלל, ובאמצעות אפיק זה בפרט. עלה כי </w:t>
      </w:r>
      <w:r>
        <w:rPr>
          <w:rFonts w:hint="cs"/>
          <w:b/>
          <w:bCs/>
          <w:rtl/>
        </w:rPr>
        <w:t>היקף האשראי באפיק זה בשנת 2020 עמד על 15.1 - 15.4 מיליארד ש</w:t>
      </w:r>
      <w:r>
        <w:rPr>
          <w:b/>
          <w:bCs/>
          <w:rtl/>
        </w:rPr>
        <w:t>"</w:t>
      </w:r>
      <w:r>
        <w:rPr>
          <w:rFonts w:hint="cs"/>
          <w:b/>
          <w:bCs/>
          <w:rtl/>
        </w:rPr>
        <w:t xml:space="preserve">ח לעומת 14.6 מיליארד ש"ח בדצמבר 2019. </w:t>
      </w:r>
      <w:r w:rsidRPr="00D35D25">
        <w:rPr>
          <w:rFonts w:hint="cs"/>
          <w:b/>
          <w:bCs/>
          <w:rtl/>
        </w:rPr>
        <w:t xml:space="preserve">הקשחת התנאים למתן הלוואה בידי הגופים המוסדיים, </w:t>
      </w:r>
      <w:r w:rsidRPr="00D35D25">
        <w:rPr>
          <w:rFonts w:hint="eastAsia"/>
          <w:b/>
          <w:bCs/>
          <w:rtl/>
        </w:rPr>
        <w:t>כפי</w:t>
      </w:r>
      <w:r w:rsidRPr="00D35D25">
        <w:rPr>
          <w:b/>
          <w:bCs/>
          <w:rtl/>
        </w:rPr>
        <w:t xml:space="preserve"> שמשתקפים ממכתבו של מנהל הרשות</w:t>
      </w:r>
      <w:r w:rsidRPr="00D35D25">
        <w:rPr>
          <w:rFonts w:hint="cs"/>
          <w:b/>
          <w:bCs/>
          <w:rtl/>
        </w:rPr>
        <w:t>, הובילו לצמצום הביקוש לאשראי באפיק זה ולכך שהועמד בו אשראי מועט בהשוואה לפוטנציאל הקיים</w:t>
      </w:r>
      <w:r w:rsidRPr="00D35D25" w:rsidR="00B229B7">
        <w:rPr>
          <w:rFonts w:hint="cs"/>
          <w:b/>
          <w:bCs/>
          <w:rtl/>
        </w:rPr>
        <w:t xml:space="preserve"> </w:t>
      </w:r>
      <w:r w:rsidRPr="00D35D25" w:rsidR="00B229B7">
        <w:rPr>
          <w:rFonts w:hint="eastAsia"/>
          <w:b/>
          <w:bCs/>
          <w:rtl/>
        </w:rPr>
        <w:t>המוערך</w:t>
      </w:r>
      <w:r w:rsidRPr="00D35D25" w:rsidR="00B229B7">
        <w:rPr>
          <w:b/>
          <w:bCs/>
          <w:rtl/>
        </w:rPr>
        <w:t xml:space="preserve"> </w:t>
      </w:r>
      <w:r w:rsidRPr="00D35D25" w:rsidR="00B229B7">
        <w:rPr>
          <w:rFonts w:hint="eastAsia"/>
          <w:b/>
          <w:bCs/>
          <w:rtl/>
        </w:rPr>
        <w:t>נכון</w:t>
      </w:r>
      <w:r w:rsidRPr="00D35D25" w:rsidR="00B229B7">
        <w:rPr>
          <w:b/>
          <w:bCs/>
          <w:rtl/>
        </w:rPr>
        <w:t xml:space="preserve"> </w:t>
      </w:r>
      <w:r w:rsidRPr="00D35D25" w:rsidR="00B229B7">
        <w:rPr>
          <w:rFonts w:hint="eastAsia"/>
          <w:b/>
          <w:bCs/>
          <w:rtl/>
        </w:rPr>
        <w:t>ל</w:t>
      </w:r>
      <w:r w:rsidRPr="00D35D25" w:rsidR="00B229B7">
        <w:rPr>
          <w:b/>
          <w:bCs/>
          <w:rtl/>
        </w:rPr>
        <w:t>נתוני סוף שנת 2019 ב</w:t>
      </w:r>
      <w:r w:rsidRPr="00D35D25" w:rsidR="00B229B7">
        <w:rPr>
          <w:rFonts w:hint="eastAsia"/>
          <w:b/>
          <w:bCs/>
          <w:rtl/>
        </w:rPr>
        <w:t>כ</w:t>
      </w:r>
      <w:r w:rsidRPr="00D35D25" w:rsidR="00B229B7">
        <w:rPr>
          <w:b/>
          <w:bCs/>
          <w:rtl/>
        </w:rPr>
        <w:t>-24.8 מיליארד ש"ח בקופות ההשתלמות וב-1.4 מיליארד ש"ח נוספים בקופות הגמל להשקעה</w:t>
      </w:r>
      <w:r w:rsidRPr="00D35D25">
        <w:rPr>
          <w:rFonts w:hint="cs"/>
          <w:b/>
          <w:bCs/>
          <w:rtl/>
        </w:rPr>
        <w:t>, בניגוד</w:t>
      </w:r>
      <w:r>
        <w:rPr>
          <w:rFonts w:hint="cs"/>
          <w:b/>
          <w:bCs/>
          <w:rtl/>
        </w:rPr>
        <w:t xml:space="preserve"> לכוונת הרשות להרחבת היצע האשראי</w:t>
      </w:r>
      <w:r w:rsidRPr="001E1975">
        <w:rPr>
          <w:rFonts w:hint="cs"/>
          <w:b/>
          <w:bCs/>
          <w:rtl/>
        </w:rPr>
        <w:t>.</w:t>
      </w:r>
    </w:p>
    <w:p w:rsidR="00253C38" w:rsidP="00982BC1" w14:paraId="5E0B7BBC" w14:textId="003F733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996B309" w14:textId="487A29E2">
      <w:pPr>
        <w:spacing w:line="269" w:lineRule="auto"/>
        <w:rPr>
          <w:b/>
          <w:bCs/>
          <w:rtl/>
        </w:rPr>
      </w:pPr>
      <w:r>
        <w:rPr>
          <w:rFonts w:hint="cs"/>
          <w:b/>
          <w:bCs/>
          <w:rtl/>
        </w:rPr>
        <w:t>מומלץ כי רשות שוק ההון תבחן את הצורך בהקלות רגולטוריות או חלופות להעמדת ביטחונות לשם הרחבת היצע האשראי לציבור באמצעות אפיק הלוואות לעמיתי קרנות השתלמות. הרחבת האפשרות לשימוש באפיק אשראי זה, בייחוד בעיתות משבר, תאפשר הרחבת התחרות במקורות אשראי חלופיים.</w:t>
      </w:r>
    </w:p>
    <w:p w:rsidR="00982BC1" w:rsidRPr="001E1975" w:rsidP="00982BC1" w14:paraId="11A5A363" w14:textId="77777777">
      <w:pPr>
        <w:spacing w:line="269" w:lineRule="auto"/>
        <w:rPr>
          <w:b/>
          <w:bCs/>
          <w:rtl/>
        </w:rPr>
      </w:pPr>
    </w:p>
    <w:p w:rsidR="00253C38" w:rsidP="00982BC1" w14:paraId="255F5503" w14:textId="77777777">
      <w:pPr>
        <w:pStyle w:val="Heading4"/>
        <w:spacing w:before="0" w:line="269" w:lineRule="auto"/>
        <w:rPr>
          <w:rtl/>
        </w:rPr>
      </w:pPr>
      <w:r>
        <w:rPr>
          <w:rFonts w:hint="cs"/>
          <w:rtl/>
        </w:rPr>
        <w:t>אשראי עסקי</w:t>
      </w:r>
    </w:p>
    <w:p w:rsidR="00253C38" w:rsidP="00982BC1" w14:paraId="554D0791" w14:textId="0B04B60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728175A" w14:textId="77777777">
      <w:pPr>
        <w:spacing w:line="269" w:lineRule="auto"/>
        <w:rPr>
          <w:rtl/>
        </w:rPr>
      </w:pPr>
      <w:r>
        <w:rPr>
          <w:rFonts w:hint="cs"/>
          <w:rtl/>
        </w:rPr>
        <w:t>עיקר האשראי במשק מוקצה למגזר העסקי ומשמש מנוע עיקרי לצמיחת עסקים רבים. כמחציתו מסופק בידי המערכת הבנקאית, והיתרה בידי גופים מוסדיים וספקי אשראי שונים. במהלך המשבר נ</w:t>
      </w:r>
      <w:r w:rsidR="006F46C0">
        <w:rPr>
          <w:rFonts w:hint="cs"/>
          <w:rtl/>
        </w:rPr>
        <w:t xml:space="preserve">קטו שלוש </w:t>
      </w:r>
      <w:r>
        <w:rPr>
          <w:rFonts w:hint="cs"/>
          <w:rtl/>
        </w:rPr>
        <w:t>קבוצות</w:t>
      </w:r>
      <w:r w:rsidR="006F46C0">
        <w:rPr>
          <w:rFonts w:hint="cs"/>
          <w:rtl/>
        </w:rPr>
        <w:t xml:space="preserve"> אלה</w:t>
      </w:r>
      <w:r>
        <w:rPr>
          <w:rFonts w:hint="cs"/>
          <w:rtl/>
        </w:rPr>
        <w:t xml:space="preserve"> מדיניות שונה בהקצאת האשראי העסקי (ראו לעיל תרשים 4).</w:t>
      </w:r>
    </w:p>
    <w:p w:rsidR="00253C38" w:rsidP="00982BC1" w14:paraId="28148AB9" w14:textId="27A4F9F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71AA96F" w14:textId="3DDA3489">
      <w:pPr>
        <w:spacing w:line="269" w:lineRule="auto"/>
        <w:rPr>
          <w:rtl/>
        </w:rPr>
      </w:pPr>
      <w:r>
        <w:rPr>
          <w:rFonts w:hint="cs"/>
          <w:rtl/>
        </w:rPr>
        <w:t xml:space="preserve">נגיד בנק ישראל ציין בדיון מיוחד עם ראשי </w:t>
      </w:r>
      <w:r w:rsidRPr="006F46C0">
        <w:rPr>
          <w:rFonts w:hint="cs"/>
          <w:rtl/>
        </w:rPr>
        <w:t xml:space="preserve">הבנקים ביום </w:t>
      </w:r>
      <w:r w:rsidRPr="006F46C0">
        <w:rPr>
          <w:rtl/>
        </w:rPr>
        <w:t>9.3.20</w:t>
      </w:r>
      <w:r w:rsidRPr="006F46C0">
        <w:rPr>
          <w:rFonts w:hint="cs"/>
          <w:rtl/>
        </w:rPr>
        <w:t xml:space="preserve"> כי</w:t>
      </w:r>
      <w:r>
        <w:rPr>
          <w:rFonts w:hint="cs"/>
          <w:rtl/>
        </w:rPr>
        <w:t xml:space="preserve"> "חיוני שהבנקים יידעו למצוא את האיזון בין מדיניות האשראי לבין צרכי המימון של המשק - ובמיוחד של הסקטור העסקי ובדגש על העסקים הקטנים והבינוניים - שמשמעותיים ביותר ליכולת של המשק להמשיך ולצמוח ומתבססים בעיקר על האשראי הבנקאי"</w:t>
      </w:r>
      <w:r>
        <w:rPr>
          <w:rStyle w:val="FootnoteReference"/>
          <w:rtl/>
        </w:rPr>
        <w:footnoteReference w:id="21"/>
      </w:r>
      <w:r>
        <w:rPr>
          <w:rFonts w:hint="cs"/>
          <w:rtl/>
        </w:rPr>
        <w:t>. בהתאם, במהלך המשבר ניכר גידול באשראי העסקי שהעמידה המערכת הבנקאית כמתואר בתרשים 4 לעיל.</w:t>
      </w:r>
    </w:p>
    <w:p w:rsidR="00982BC1" w:rsidP="00982BC1" w14:paraId="771E5125" w14:textId="77777777">
      <w:pPr>
        <w:spacing w:line="269" w:lineRule="auto"/>
        <w:rPr>
          <w:rtl/>
        </w:rPr>
      </w:pPr>
    </w:p>
    <w:p w:rsidR="00253C38" w:rsidP="00982BC1" w14:paraId="14E2D314" w14:textId="77777777">
      <w:pPr>
        <w:pStyle w:val="Heading5"/>
        <w:spacing w:line="269" w:lineRule="auto"/>
        <w:rPr>
          <w:rtl/>
        </w:rPr>
      </w:pPr>
      <w:r>
        <w:rPr>
          <w:rFonts w:hint="cs"/>
          <w:rtl/>
        </w:rPr>
        <w:t>אשראי עסקי ומענקים</w:t>
      </w:r>
    </w:p>
    <w:p w:rsidR="00253C38" w:rsidP="00982BC1" w14:paraId="5CC8723E" w14:textId="75DD2C9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0D39569" w14:textId="77777777">
      <w:pPr>
        <w:spacing w:line="269" w:lineRule="auto"/>
        <w:rPr>
          <w:rtl/>
        </w:rPr>
      </w:pPr>
      <w:r>
        <w:rPr>
          <w:rFonts w:hint="cs"/>
          <w:rtl/>
        </w:rPr>
        <w:t xml:space="preserve">עסקים רבים חוו פגיעה בעקבות המדיניות הממשלתית בהטלת סגרים ובהגבלת הפעילות הכלכלית להתמודדות עם נזקי המשבר הבריאותי והגידול בהיקפי התחלואה. מבקר המדינה ציין בדוח ביניים מיוחד בנושא התמודדות מדינת ישראל עם משבר הקורונה שפורסם באוקטובר </w:t>
      </w:r>
      <w:r w:rsidR="001415D1">
        <w:rPr>
          <w:rFonts w:hint="cs"/>
          <w:rtl/>
        </w:rPr>
        <w:t>2020</w:t>
      </w:r>
      <w:r>
        <w:rPr>
          <w:rFonts w:hint="cs"/>
          <w:rtl/>
        </w:rPr>
        <w:t xml:space="preserve"> (להלן - דוח</w:t>
      </w:r>
      <w:r w:rsidR="001415D1">
        <w:rPr>
          <w:rFonts w:hint="cs"/>
          <w:rtl/>
        </w:rPr>
        <w:t xml:space="preserve"> הביניים) </w:t>
      </w:r>
      <w:r>
        <w:rPr>
          <w:rFonts w:hint="cs"/>
          <w:rtl/>
        </w:rPr>
        <w:t>כי במהלך החודשים מרץ-אפריל 2020 ניכרה פגיעה ב-74% מהעסקים בישראל, וכי המחזורים ירדו כמעט בכל ענפי הפעילות במשק</w:t>
      </w:r>
      <w:r>
        <w:rPr>
          <w:rStyle w:val="FootnoteReference"/>
          <w:rtl/>
        </w:rPr>
        <w:footnoteReference w:id="22"/>
      </w:r>
      <w:r>
        <w:rPr>
          <w:rFonts w:hint="cs"/>
          <w:rtl/>
        </w:rPr>
        <w:t>.</w:t>
      </w:r>
    </w:p>
    <w:p w:rsidR="00253C38" w:rsidP="00982BC1" w14:paraId="20178B4D" w14:textId="6F6A1E9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247DE9E" w14:textId="77777777">
      <w:pPr>
        <w:spacing w:line="269" w:lineRule="auto"/>
        <w:rPr>
          <w:rtl/>
        </w:rPr>
      </w:pPr>
      <w:r>
        <w:rPr>
          <w:rFonts w:hint="cs"/>
          <w:rtl/>
        </w:rPr>
        <w:t>לפיכך גובשו מתווי מענקים כספיים לעסקים ולבעליהם במסגרת התוכנית הכלכלית הממשלתית להתמודדות עם נזקי המשבר (להלן - התוכנית הכלכלית). המענקים שנקבעו ב</w:t>
      </w:r>
      <w:r w:rsidRPr="00D95832">
        <w:rPr>
          <w:rFonts w:hint="eastAsia"/>
          <w:rtl/>
        </w:rPr>
        <w:t>שתי</w:t>
      </w:r>
      <w:r w:rsidRPr="00D95832">
        <w:rPr>
          <w:rtl/>
        </w:rPr>
        <w:t xml:space="preserve"> </w:t>
      </w:r>
      <w:r w:rsidRPr="00D95832">
        <w:rPr>
          <w:rFonts w:hint="eastAsia"/>
          <w:rtl/>
        </w:rPr>
        <w:t>הפעימות</w:t>
      </w:r>
      <w:r w:rsidRPr="00D95832">
        <w:rPr>
          <w:rtl/>
        </w:rPr>
        <w:t xml:space="preserve"> </w:t>
      </w:r>
      <w:r w:rsidRPr="00D95832">
        <w:rPr>
          <w:rFonts w:hint="eastAsia"/>
          <w:rtl/>
        </w:rPr>
        <w:t>הראשונות</w:t>
      </w:r>
      <w:r>
        <w:rPr>
          <w:rFonts w:hint="cs"/>
          <w:rtl/>
        </w:rPr>
        <w:t xml:space="preserve"> ומענק התוספת לעסקים קטנים נועדו לספק מענה מיידי לפגיעה בהכנסה ולשמש תחליף לדמי אבטלה. </w:t>
      </w:r>
      <w:r w:rsidRPr="00D95832">
        <w:rPr>
          <w:rFonts w:hint="eastAsia"/>
          <w:rtl/>
        </w:rPr>
        <w:t>מענקי</w:t>
      </w:r>
      <w:r w:rsidRPr="00D95832">
        <w:rPr>
          <w:rtl/>
        </w:rPr>
        <w:t xml:space="preserve"> </w:t>
      </w:r>
      <w:r w:rsidRPr="00D95832">
        <w:rPr>
          <w:rFonts w:hint="eastAsia"/>
          <w:rtl/>
        </w:rPr>
        <w:t>הפעימה</w:t>
      </w:r>
      <w:r w:rsidRPr="00D95832">
        <w:rPr>
          <w:rtl/>
        </w:rPr>
        <w:t xml:space="preserve"> </w:t>
      </w:r>
      <w:r w:rsidRPr="00D95832">
        <w:rPr>
          <w:rFonts w:hint="eastAsia"/>
          <w:rtl/>
        </w:rPr>
        <w:t>השלישית</w:t>
      </w:r>
      <w:r>
        <w:rPr>
          <w:rFonts w:hint="cs"/>
          <w:rtl/>
        </w:rPr>
        <w:t xml:space="preserve"> ואילך נועדו לסייע במימון ההוצאות הקבועות של העסקים</w:t>
      </w:r>
      <w:r>
        <w:rPr>
          <w:rStyle w:val="FootnoteReference"/>
          <w:rtl/>
        </w:rPr>
        <w:footnoteReference w:id="23"/>
      </w:r>
      <w:r>
        <w:rPr>
          <w:rFonts w:hint="cs"/>
          <w:rtl/>
        </w:rPr>
        <w:t>, כחלק מנדבך "המשכיות עסקים" בתוכנית הכלכלית.</w:t>
      </w:r>
    </w:p>
    <w:p w:rsidR="00253C38" w:rsidP="00982BC1" w14:paraId="5A341E7A" w14:textId="77777777">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P="00982BC1" w14:paraId="1C820850" w14:textId="272FFBDD">
      <w:pPr>
        <w:spacing w:line="269" w:lineRule="auto"/>
        <w:rPr>
          <w:rtl/>
        </w:rPr>
      </w:pPr>
      <w:r>
        <w:rPr>
          <w:rFonts w:hint="cs"/>
          <w:rtl/>
        </w:rPr>
        <w:t>בנק ישראל ציין בדוח לשנת 2020 כי סיוע למגזר העסקי הוא כלי מדיניות חשוב וגורם מכריע בניסיון לשמור על תפקוד השווקים ועל ההמשכיות העסקית במהלך המשבר. עם זאת, בנק ישראל מתריע כי מתן סיוע רוחבי, ממושך ולא בררני של מענקים והלוואות עלול לעודד התרחבות של חברות שביצועיהן נמוכים לאורך זמן, אך ממשיכות לפעול בשוק תוך גלגול חובותיהן. משכך, הבנק מציין כי ראוי לפתח מנגנונים יעילים וישימים שיבטיחו שהתמיכה בפעילות העסקית תגיע למגזרים הזקוקים לה</w:t>
      </w:r>
      <w:r>
        <w:rPr>
          <w:rStyle w:val="FootnoteReference"/>
          <w:rtl/>
        </w:rPr>
        <w:footnoteReference w:id="24"/>
      </w:r>
      <w:r>
        <w:rPr>
          <w:rFonts w:hint="cs"/>
          <w:rtl/>
        </w:rPr>
        <w:t>.</w:t>
      </w:r>
    </w:p>
    <w:p w:rsidR="00253C38" w:rsidP="00982BC1" w14:paraId="43859E4F" w14:textId="09854B4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8170DD8" w14:textId="77777777">
      <w:pPr>
        <w:spacing w:line="269" w:lineRule="auto"/>
        <w:rPr>
          <w:rtl/>
        </w:rPr>
      </w:pPr>
      <w:r>
        <w:rPr>
          <w:rFonts w:hint="cs"/>
          <w:rtl/>
        </w:rPr>
        <w:t xml:space="preserve">מסקירת רשות </w:t>
      </w:r>
      <w:r w:rsidRPr="001415D1">
        <w:rPr>
          <w:rFonts w:hint="cs"/>
          <w:rtl/>
        </w:rPr>
        <w:t xml:space="preserve">המיסים מיום </w:t>
      </w:r>
      <w:r w:rsidRPr="001415D1">
        <w:rPr>
          <w:rtl/>
        </w:rPr>
        <w:t>9.8.20</w:t>
      </w:r>
      <w:r w:rsidRPr="001415D1">
        <w:rPr>
          <w:rFonts w:hint="cs"/>
          <w:rtl/>
        </w:rPr>
        <w:t xml:space="preserve"> עולה</w:t>
      </w:r>
      <w:r>
        <w:rPr>
          <w:rFonts w:hint="cs"/>
          <w:rtl/>
        </w:rPr>
        <w:t xml:space="preserve"> כי במחצית השנה הראשונה של 2020 נסגרו פחות עסקים בהשוואה לתקופה המקבילה אשתקד וכי נפתחו פחות עסקים. לדברי רשות המיסים, ייתכן שההסבר טמון בסגירה חלקית של משרדי הרשות לקבלת קהל בעקבות ההנחיות או בחשש טבעי של בעלי העסקים מביקור במקומות ציבוריים</w:t>
      </w:r>
      <w:r w:rsidR="001415D1">
        <w:rPr>
          <w:rFonts w:hint="cs"/>
          <w:rtl/>
        </w:rPr>
        <w:t>,</w:t>
      </w:r>
      <w:r>
        <w:rPr>
          <w:rFonts w:hint="cs"/>
          <w:rtl/>
        </w:rPr>
        <w:t xml:space="preserve"> </w:t>
      </w:r>
      <w:r w:rsidR="001415D1">
        <w:rPr>
          <w:rFonts w:hint="cs"/>
          <w:rtl/>
        </w:rPr>
        <w:t>וכן</w:t>
      </w:r>
      <w:r>
        <w:rPr>
          <w:rFonts w:hint="cs"/>
          <w:rtl/>
        </w:rPr>
        <w:t xml:space="preserve"> </w:t>
      </w:r>
      <w:r w:rsidR="001415D1">
        <w:rPr>
          <w:rFonts w:hint="cs"/>
          <w:rtl/>
        </w:rPr>
        <w:t>ייתכן</w:t>
      </w:r>
      <w:r>
        <w:rPr>
          <w:rFonts w:hint="cs"/>
          <w:rtl/>
        </w:rPr>
        <w:t xml:space="preserve"> שקיימים שיקולים לאי-סגירת עסקים לצורך המשך קבלת המענקים</w:t>
      </w:r>
      <w:r>
        <w:rPr>
          <w:rStyle w:val="FootnoteReference"/>
          <w:rtl/>
        </w:rPr>
        <w:footnoteReference w:id="25"/>
      </w:r>
      <w:r>
        <w:rPr>
          <w:rFonts w:hint="cs"/>
          <w:rtl/>
        </w:rPr>
        <w:t>. אף שמוטלת חובה על בעלי עסקים לדווח לרשויות השונות על סגירה, נוצר לבעלי העסקים תמריץ שלא לדווח על סגירת עסק: העיכוב בדיווח על הסגירה והמשך רישומם של עסקים כפעילים, מאפשר לעסקים להיות זכאים למענקים, שלא היו מקבלים אילו היו מדווחים על סגירתם.</w:t>
      </w:r>
    </w:p>
    <w:p w:rsidR="00253C38" w:rsidP="00982BC1" w14:paraId="277B0CCF" w14:textId="2F63CF54">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36A7260F" w14:textId="77777777">
      <w:pPr>
        <w:spacing w:line="269" w:lineRule="auto"/>
        <w:jc w:val="center"/>
        <w:rPr>
          <w:rtl/>
        </w:rPr>
      </w:pPr>
      <w:r w:rsidRPr="00DF5110">
        <w:rPr>
          <w:rFonts w:hint="eastAsia"/>
          <w:b/>
          <w:bCs/>
          <w:rtl/>
        </w:rPr>
        <w:t>לוח</w:t>
      </w:r>
      <w:r w:rsidRPr="00DF5110">
        <w:rPr>
          <w:b/>
          <w:bCs/>
          <w:rtl/>
        </w:rPr>
        <w:t xml:space="preserve"> 2: עסקים שנפתחו </w:t>
      </w:r>
      <w:r w:rsidRPr="00364BB1">
        <w:rPr>
          <w:rFonts w:hint="cs"/>
          <w:b/>
          <w:bCs/>
          <w:rtl/>
        </w:rPr>
        <w:t>ועסקים שנסגרו, ינואר - יוני</w:t>
      </w:r>
      <w:r w:rsidRPr="001415D1">
        <w:rPr>
          <w:b/>
          <w:bCs/>
          <w:rtl/>
        </w:rPr>
        <w:t xml:space="preserve"> </w:t>
      </w:r>
      <w:r w:rsidRPr="00DF5110">
        <w:rPr>
          <w:b/>
          <w:bCs/>
          <w:rtl/>
        </w:rPr>
        <w:t>2019 ו-2020</w:t>
      </w:r>
      <w:r w:rsidRPr="00476C38">
        <w:rPr>
          <w:noProof/>
        </w:rPr>
        <w:t xml:space="preserve"> </w:t>
      </w:r>
      <w:r>
        <w:rPr>
          <w:noProof/>
        </w:rPr>
        <w:drawing>
          <wp:inline distT="0" distB="0" distL="0" distR="0">
            <wp:extent cx="4709795" cy="1830427"/>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01860" name="Picture 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9500" cy="1857517"/>
                    </a:xfrm>
                    <a:prstGeom prst="rect">
                      <a:avLst/>
                    </a:prstGeom>
                    <a:noFill/>
                    <a:ln>
                      <a:noFill/>
                    </a:ln>
                  </pic:spPr>
                </pic:pic>
              </a:graphicData>
            </a:graphic>
          </wp:inline>
        </w:drawing>
      </w:r>
    </w:p>
    <w:p w:rsidR="00253C38" w:rsidRPr="00982BC1" w:rsidP="00982BC1" w14:paraId="456BE484" w14:textId="77777777">
      <w:pPr>
        <w:spacing w:line="269" w:lineRule="auto"/>
        <w:rPr>
          <w:sz w:val="18"/>
          <w:szCs w:val="22"/>
          <w:rtl/>
        </w:rPr>
      </w:pPr>
      <w:r w:rsidRPr="00982BC1">
        <w:rPr>
          <w:rFonts w:hint="cs"/>
          <w:sz w:val="18"/>
          <w:szCs w:val="22"/>
          <w:rtl/>
        </w:rPr>
        <w:t xml:space="preserve">המקור: </w:t>
      </w:r>
      <w:r w:rsidRPr="00982BC1">
        <w:rPr>
          <w:rFonts w:hint="cs"/>
          <w:sz w:val="18"/>
          <w:szCs w:val="22"/>
          <w:rtl/>
        </w:rPr>
        <w:t>רשות המיסים.</w:t>
      </w:r>
    </w:p>
    <w:p w:rsidR="00253C38" w:rsidP="00982BC1" w14:paraId="572A7857" w14:textId="77777777">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RPr="00F608E8" w:rsidP="00982BC1" w14:paraId="13577A06" w14:textId="77777777">
      <w:pPr>
        <w:spacing w:line="269" w:lineRule="auto"/>
        <w:rPr>
          <w:rtl/>
        </w:rPr>
      </w:pPr>
      <w:r>
        <w:rPr>
          <w:rFonts w:hint="cs"/>
          <w:rtl/>
        </w:rPr>
        <w:t xml:space="preserve">רשות המיסים כתבה למשרד </w:t>
      </w:r>
      <w:r w:rsidRPr="001415D1">
        <w:rPr>
          <w:rFonts w:hint="cs"/>
          <w:rtl/>
        </w:rPr>
        <w:t>מבקר המדינה ב-</w:t>
      </w:r>
      <w:r w:rsidRPr="001415D1">
        <w:rPr>
          <w:rtl/>
        </w:rPr>
        <w:t>2.3.21</w:t>
      </w:r>
      <w:r w:rsidRPr="001415D1">
        <w:rPr>
          <w:rFonts w:hint="cs"/>
          <w:rtl/>
        </w:rPr>
        <w:t xml:space="preserve"> כי עם פתיחת מערכת הגשת מענקי הוצאות קבועות הפעילה הרשות עשרות סימנים מחשידים שנועדו למנוע מתן מענקים לאוכלוסייה שאינה זכאית לכך. </w:t>
      </w:r>
      <w:r w:rsidR="00F62DC9">
        <w:rPr>
          <w:rFonts w:hint="cs"/>
          <w:rtl/>
        </w:rPr>
        <w:t xml:space="preserve">נוסף על כך </w:t>
      </w:r>
      <w:r w:rsidRPr="001415D1">
        <w:rPr>
          <w:rFonts w:hint="cs"/>
          <w:rtl/>
        </w:rPr>
        <w:t>הרשות</w:t>
      </w:r>
      <w:r w:rsidR="00F62DC9">
        <w:rPr>
          <w:rFonts w:hint="cs"/>
          <w:rtl/>
        </w:rPr>
        <w:t xml:space="preserve"> ציינה כי היא</w:t>
      </w:r>
      <w:r w:rsidRPr="001415D1">
        <w:rPr>
          <w:rFonts w:hint="cs"/>
          <w:rtl/>
        </w:rPr>
        <w:t xml:space="preserve"> בוחנת סימנים מחשידים</w:t>
      </w:r>
      <w:r>
        <w:rPr>
          <w:rFonts w:hint="cs"/>
          <w:rtl/>
        </w:rPr>
        <w:t xml:space="preserve"> שונים שנועדו לצמצם את התופעה של עסקים סגורים, שמבקשים מענקים בניגוד לחוק במטרה למנוע שימוש לרעה במענקים.</w:t>
      </w:r>
    </w:p>
    <w:p w:rsidR="00253C38" w:rsidP="00982BC1" w14:paraId="1DF0F88C" w14:textId="2F29AE3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07BC776" w14:textId="77777777">
      <w:pPr>
        <w:spacing w:line="269" w:lineRule="auto"/>
        <w:rPr>
          <w:b/>
          <w:bCs/>
          <w:rtl/>
        </w:rPr>
      </w:pPr>
      <w:r>
        <w:rPr>
          <w:rFonts w:hint="cs"/>
          <w:b/>
          <w:bCs/>
          <w:rtl/>
        </w:rPr>
        <w:t xml:space="preserve">מומלץ כי רשות המיסים תבחן ותנתח את הסיבות העומדות בבסיס השינוי במספר העסקים שנסגרו בעת המשבר בהשוואה לתקופה המקבילה אשתקד. אם הבחינה תעלה כי בעקבות מנגנון המענקים נוצר תמריץ שלילי לבעלי עסקים להמשך הפעלת עסקיהם, אך ורק לצורכי קבלת המענק באופן שאינו עולה עם יעדי המענק לתמיכה בהמשכיות עסקית, מומלץ לטייב את מנגנון מתן המענקים </w:t>
      </w:r>
      <w:r w:rsidRPr="00AD47FF">
        <w:rPr>
          <w:rFonts w:hint="cs"/>
          <w:b/>
          <w:bCs/>
          <w:rtl/>
        </w:rPr>
        <w:t>בעתיד</w:t>
      </w:r>
      <w:r>
        <w:rPr>
          <w:rFonts w:hint="cs"/>
          <w:b/>
          <w:bCs/>
          <w:rtl/>
        </w:rPr>
        <w:t xml:space="preserve"> כדי להקטין תמריץ שלילי זה.</w:t>
      </w:r>
    </w:p>
    <w:p w:rsidR="00253C38" w:rsidP="00982BC1" w14:paraId="679FC0F9" w14:textId="48D0B74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6BAF8C1" w14:textId="77777777">
      <w:pPr>
        <w:spacing w:line="269" w:lineRule="auto"/>
        <w:rPr>
          <w:rtl/>
        </w:rPr>
      </w:pPr>
      <w:r>
        <w:rPr>
          <w:rFonts w:hint="cs"/>
          <w:rtl/>
        </w:rPr>
        <w:t>מענקים כספיים התומכים בהמשכיות העסקית</w:t>
      </w:r>
      <w:r w:rsidR="00864928">
        <w:rPr>
          <w:rFonts w:hint="cs"/>
          <w:rtl/>
        </w:rPr>
        <w:t xml:space="preserve"> משפיעה באופן הדדי</w:t>
      </w:r>
      <w:r>
        <w:rPr>
          <w:rFonts w:hint="cs"/>
          <w:rtl/>
        </w:rPr>
        <w:t xml:space="preserve"> </w:t>
      </w:r>
      <w:r w:rsidR="00864928">
        <w:rPr>
          <w:rFonts w:hint="cs"/>
          <w:rtl/>
        </w:rPr>
        <w:t>על</w:t>
      </w:r>
      <w:r>
        <w:rPr>
          <w:rFonts w:hint="cs"/>
          <w:rtl/>
        </w:rPr>
        <w:t xml:space="preserve"> פעולות הרחבת היצע האשראי, ויחד נועדו לגשר על פערי התזרים שחווה המגזר העסקי בעקבות הירידה בהכנסות. לניהול קפדני ומדויק של תזרים המזומנים נודעת חשיבות רבה בחיזוק האיתנות הפיננסית וכושר ההישרדות, לצד צמצום צריכת האשראי ועלויות המימון של המגזר העסקי. ככלל, החלטות על סוגי המענקים נידונו בין אגף התקציבים במשרד האוצר לרשות המיסים ואושרו בהחלטות הממשלה. משרד מבקר המדינה ציין בדוח הביניים כי טענות ופניות מצד ארגוני עצמאיים ומייצגים במגוון נושאים הקשורים למענקים הובילו פעמים מספר לשינוי ההחלטה</w:t>
      </w:r>
      <w:r>
        <w:rPr>
          <w:rStyle w:val="FootnoteReference"/>
          <w:rtl/>
        </w:rPr>
        <w:footnoteReference w:id="26"/>
      </w:r>
      <w:r>
        <w:rPr>
          <w:rFonts w:hint="cs"/>
          <w:rtl/>
        </w:rPr>
        <w:t>.</w:t>
      </w:r>
    </w:p>
    <w:p w:rsidR="00253C38" w:rsidP="00982BC1" w14:paraId="7DE5FE51" w14:textId="5028FD5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B5A7384" w14:textId="77777777">
      <w:pPr>
        <w:spacing w:line="269" w:lineRule="auto"/>
        <w:rPr>
          <w:rtl/>
        </w:rPr>
      </w:pPr>
      <w:r>
        <w:rPr>
          <w:rFonts w:hint="cs"/>
          <w:b/>
          <w:bCs/>
          <w:rtl/>
        </w:rPr>
        <w:t xml:space="preserve">יצוין כי בבוא הממשלה להחליט על שינויים במתווה מענקים </w:t>
      </w:r>
      <w:r w:rsidRPr="004A32A7">
        <w:rPr>
          <w:rFonts w:hint="cs"/>
          <w:b/>
          <w:bCs/>
          <w:rtl/>
        </w:rPr>
        <w:t xml:space="preserve">מומלץ </w:t>
      </w:r>
      <w:r w:rsidRPr="004A32A7">
        <w:rPr>
          <w:rFonts w:hint="eastAsia"/>
          <w:b/>
          <w:bCs/>
          <w:rtl/>
        </w:rPr>
        <w:t>לבחון</w:t>
      </w:r>
      <w:r w:rsidRPr="004A32A7">
        <w:rPr>
          <w:b/>
          <w:bCs/>
          <w:rtl/>
        </w:rPr>
        <w:t xml:space="preserve"> את ההשלכות </w:t>
      </w:r>
      <w:r w:rsidRPr="004A32A7">
        <w:rPr>
          <w:rFonts w:hint="eastAsia"/>
          <w:b/>
          <w:bCs/>
          <w:rtl/>
        </w:rPr>
        <w:t>של</w:t>
      </w:r>
      <w:r w:rsidRPr="004A32A7">
        <w:rPr>
          <w:b/>
          <w:bCs/>
          <w:rtl/>
        </w:rPr>
        <w:t xml:space="preserve"> שינויים אלו </w:t>
      </w:r>
      <w:r w:rsidRPr="004A32A7">
        <w:rPr>
          <w:rFonts w:hint="eastAsia"/>
          <w:b/>
          <w:bCs/>
          <w:rtl/>
        </w:rPr>
        <w:t>על</w:t>
      </w:r>
      <w:r w:rsidRPr="004A32A7">
        <w:rPr>
          <w:b/>
          <w:bCs/>
          <w:rtl/>
        </w:rPr>
        <w:t xml:space="preserve"> </w:t>
      </w:r>
      <w:r w:rsidRPr="004A32A7">
        <w:rPr>
          <w:rFonts w:hint="eastAsia"/>
          <w:b/>
          <w:bCs/>
          <w:rtl/>
        </w:rPr>
        <w:t>הצעדים</w:t>
      </w:r>
      <w:r w:rsidRPr="004A32A7">
        <w:rPr>
          <w:b/>
          <w:bCs/>
          <w:rtl/>
        </w:rPr>
        <w:t xml:space="preserve"> </w:t>
      </w:r>
      <w:r w:rsidRPr="004A32A7">
        <w:rPr>
          <w:rFonts w:hint="eastAsia"/>
          <w:b/>
          <w:bCs/>
          <w:rtl/>
        </w:rPr>
        <w:t>הננקטים</w:t>
      </w:r>
      <w:r w:rsidRPr="004A32A7">
        <w:rPr>
          <w:b/>
          <w:bCs/>
          <w:rtl/>
        </w:rPr>
        <w:t xml:space="preserve"> </w:t>
      </w:r>
      <w:r w:rsidRPr="004A32A7">
        <w:rPr>
          <w:rFonts w:hint="eastAsia"/>
          <w:b/>
          <w:bCs/>
          <w:rtl/>
        </w:rPr>
        <w:t>להרחבת</w:t>
      </w:r>
      <w:r w:rsidRPr="004A32A7">
        <w:rPr>
          <w:b/>
          <w:bCs/>
          <w:rtl/>
        </w:rPr>
        <w:t xml:space="preserve"> </w:t>
      </w:r>
      <w:r w:rsidRPr="004A32A7">
        <w:rPr>
          <w:rFonts w:hint="eastAsia"/>
          <w:b/>
          <w:bCs/>
          <w:rtl/>
        </w:rPr>
        <w:t>האשראי</w:t>
      </w:r>
      <w:r w:rsidRPr="004A32A7">
        <w:rPr>
          <w:b/>
          <w:bCs/>
          <w:rtl/>
        </w:rPr>
        <w:t xml:space="preserve"> למגזרים מקבלי המענקים</w:t>
      </w:r>
      <w:r>
        <w:rPr>
          <w:rFonts w:hint="cs"/>
          <w:b/>
          <w:bCs/>
          <w:rtl/>
        </w:rPr>
        <w:t>,</w:t>
      </w:r>
      <w:r w:rsidRPr="004A32A7">
        <w:rPr>
          <w:b/>
          <w:bCs/>
          <w:rtl/>
        </w:rPr>
        <w:t xml:space="preserve"> ו</w:t>
      </w:r>
      <w:r w:rsidRPr="004A32A7">
        <w:rPr>
          <w:rFonts w:hint="cs"/>
          <w:b/>
          <w:bCs/>
          <w:rtl/>
        </w:rPr>
        <w:t xml:space="preserve">לפעול בדרך </w:t>
      </w:r>
      <w:r w:rsidRPr="004A32A7">
        <w:rPr>
          <w:rFonts w:hint="cs"/>
          <w:b/>
          <w:bCs/>
          <w:rtl/>
        </w:rPr>
        <w:t xml:space="preserve">שתאפשר למגזר העסקי </w:t>
      </w:r>
      <w:r>
        <w:rPr>
          <w:rFonts w:hint="cs"/>
          <w:b/>
          <w:bCs/>
          <w:rtl/>
        </w:rPr>
        <w:t>לתכנן את התזרים בתקופת אי-ו</w:t>
      </w:r>
      <w:r w:rsidRPr="004A32A7">
        <w:rPr>
          <w:rFonts w:hint="cs"/>
          <w:b/>
          <w:bCs/>
          <w:rtl/>
        </w:rPr>
        <w:t>דאות ותתרום לאיזון המתקיים בין המענקים לאשראי להבטחת יציבו</w:t>
      </w:r>
      <w:r>
        <w:rPr>
          <w:rFonts w:hint="cs"/>
          <w:b/>
          <w:bCs/>
          <w:rtl/>
        </w:rPr>
        <w:t>ת העסקים</w:t>
      </w:r>
      <w:r w:rsidRPr="004A32A7">
        <w:rPr>
          <w:rFonts w:hint="cs"/>
          <w:b/>
          <w:bCs/>
          <w:rtl/>
        </w:rPr>
        <w:t xml:space="preserve"> לאורך זמן.</w:t>
      </w:r>
      <w:r w:rsidRPr="00FF15F1">
        <w:rPr>
          <w:b/>
          <w:bCs/>
          <w:rtl/>
        </w:rPr>
        <w:t xml:space="preserve"> </w:t>
      </w:r>
    </w:p>
    <w:p w:rsidR="00253C38" w:rsidP="00982BC1" w14:paraId="580E862A" w14:textId="733A00C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03DD2CC" w14:textId="77777777">
      <w:pPr>
        <w:spacing w:line="269" w:lineRule="auto"/>
        <w:rPr>
          <w:rtl/>
        </w:rPr>
      </w:pPr>
      <w:r>
        <w:rPr>
          <w:rFonts w:hint="cs"/>
          <w:rtl/>
        </w:rPr>
        <w:t>התוכנית הכלכלית סיפקה מענה ממשלתי למגזר העסקי, שנשען ברובו על הרחבת היצע האשראי, באמצעות הקמת קרנות להלוואה בערבות מדינה</w:t>
      </w:r>
      <w:r>
        <w:rPr>
          <w:rStyle w:val="FootnoteReference"/>
          <w:rtl/>
        </w:rPr>
        <w:footnoteReference w:id="27"/>
      </w:r>
      <w:r>
        <w:rPr>
          <w:rFonts w:hint="cs"/>
          <w:rtl/>
        </w:rPr>
        <w:t>. תרשימים 9 ו-10 להלן מתארים את נתוני התקצוב והמימוש של הנדבכים בתוכנית. ההחלטה על הרחבת היקף המענקים התומכים בהמשכיות העסקית התקבלה בכפוף להתפתחות אירועי המשבר, ובהתאם הורחבה לקבוצות עסקים נוספות. הגדלת היקף האשראי כרוכה בהכבדה של תשלומי החזרי החוב ומותנית בתיאבון הסיכון</w:t>
      </w:r>
      <w:r>
        <w:rPr>
          <w:rStyle w:val="FootnoteReference"/>
          <w:rtl/>
        </w:rPr>
        <w:footnoteReference w:id="28"/>
      </w:r>
      <w:r>
        <w:rPr>
          <w:rFonts w:hint="cs"/>
          <w:rtl/>
        </w:rPr>
        <w:t xml:space="preserve"> של ספקי האשראי. משכך, יעילותה מוגבלת לאורך זמן, ובפרט עבור ענפים שחוו פגיעה קשה בצד הכנסותיהם או נמצאים ברמת סיכון גבוהה.</w:t>
      </w:r>
    </w:p>
    <w:p w:rsidR="00253C38" w:rsidP="00982BC1" w14:paraId="1ECCB846" w14:textId="3F9E6E46">
      <w:pPr>
        <w:pStyle w:val="a"/>
        <w:spacing w:line="269" w:lineRule="auto"/>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EC618F1" w14:textId="70AB4259">
      <w:pPr>
        <w:spacing w:line="269" w:lineRule="auto"/>
        <w:jc w:val="center"/>
        <w:rPr>
          <w:rtl/>
        </w:rPr>
      </w:pPr>
      <w:r w:rsidRPr="00DF5110">
        <w:rPr>
          <w:rFonts w:hint="eastAsia"/>
          <w:b/>
          <w:bCs/>
          <w:rtl/>
        </w:rPr>
        <w:t>תרשים</w:t>
      </w:r>
      <w:r w:rsidRPr="00DF5110">
        <w:rPr>
          <w:b/>
          <w:bCs/>
          <w:rtl/>
        </w:rPr>
        <w:t xml:space="preserve"> 9: </w:t>
      </w:r>
      <w:r w:rsidRPr="00DF5110">
        <w:rPr>
          <w:rFonts w:hint="eastAsia"/>
          <w:b/>
          <w:bCs/>
          <w:rtl/>
        </w:rPr>
        <w:t>התפלגות</w:t>
      </w:r>
      <w:r w:rsidRPr="00DF5110">
        <w:rPr>
          <w:b/>
          <w:bCs/>
          <w:rtl/>
        </w:rPr>
        <w:t xml:space="preserve"> </w:t>
      </w:r>
      <w:r w:rsidRPr="00DF5110">
        <w:rPr>
          <w:rFonts w:hint="eastAsia"/>
          <w:b/>
          <w:bCs/>
          <w:rtl/>
        </w:rPr>
        <w:t>סכומי</w:t>
      </w:r>
      <w:r w:rsidRPr="00DF5110">
        <w:rPr>
          <w:b/>
          <w:bCs/>
          <w:rtl/>
        </w:rPr>
        <w:t xml:space="preserve"> </w:t>
      </w:r>
      <w:r w:rsidRPr="00DF5110">
        <w:rPr>
          <w:rFonts w:hint="eastAsia"/>
          <w:b/>
          <w:bCs/>
          <w:rtl/>
        </w:rPr>
        <w:t>הסיוע</w:t>
      </w:r>
      <w:r w:rsidRPr="00DF5110">
        <w:rPr>
          <w:b/>
          <w:bCs/>
          <w:rtl/>
        </w:rPr>
        <w:t xml:space="preserve"> </w:t>
      </w:r>
      <w:r w:rsidRPr="00DF5110">
        <w:rPr>
          <w:rFonts w:hint="eastAsia"/>
          <w:b/>
          <w:bCs/>
          <w:rtl/>
        </w:rPr>
        <w:t>שתוקצבו</w:t>
      </w:r>
      <w:r w:rsidRPr="00DF5110">
        <w:rPr>
          <w:b/>
          <w:bCs/>
          <w:rtl/>
        </w:rPr>
        <w:t xml:space="preserve"> במצטבר </w:t>
      </w:r>
      <w:r w:rsidRPr="00DF5110">
        <w:rPr>
          <w:rFonts w:hint="eastAsia"/>
          <w:b/>
          <w:bCs/>
          <w:rtl/>
        </w:rPr>
        <w:t>במסגרת</w:t>
      </w:r>
      <w:r w:rsidRPr="00DF5110">
        <w:rPr>
          <w:b/>
          <w:bCs/>
          <w:rtl/>
        </w:rPr>
        <w:t xml:space="preserve"> </w:t>
      </w:r>
      <w:r w:rsidRPr="00021320">
        <w:rPr>
          <w:rFonts w:hint="cs"/>
          <w:b/>
          <w:bCs/>
          <w:rtl/>
        </w:rPr>
        <w:t>ה</w:t>
      </w:r>
      <w:r>
        <w:rPr>
          <w:rFonts w:hint="cs"/>
          <w:b/>
          <w:bCs/>
          <w:rtl/>
        </w:rPr>
        <w:t>תוכנית</w:t>
      </w:r>
      <w:r w:rsidRPr="00DF5110">
        <w:rPr>
          <w:b/>
          <w:bCs/>
          <w:rtl/>
        </w:rPr>
        <w:t xml:space="preserve"> הכלכלית לעסקים </w:t>
      </w:r>
      <w:r w:rsidRPr="00DF5110">
        <w:rPr>
          <w:rFonts w:hint="eastAsia"/>
          <w:b/>
          <w:bCs/>
          <w:rtl/>
        </w:rPr>
        <w:t>באמצעות</w:t>
      </w:r>
      <w:r w:rsidRPr="00DF5110">
        <w:rPr>
          <w:b/>
          <w:bCs/>
          <w:rtl/>
        </w:rPr>
        <w:t xml:space="preserve"> </w:t>
      </w:r>
      <w:r w:rsidRPr="00DF5110">
        <w:rPr>
          <w:rFonts w:hint="eastAsia"/>
          <w:b/>
          <w:bCs/>
          <w:rtl/>
        </w:rPr>
        <w:t>מענקים</w:t>
      </w:r>
      <w:r w:rsidRPr="00DF5110">
        <w:rPr>
          <w:b/>
          <w:bCs/>
          <w:rtl/>
        </w:rPr>
        <w:t xml:space="preserve"> </w:t>
      </w:r>
      <w:r w:rsidRPr="00DF5110">
        <w:rPr>
          <w:rFonts w:hint="eastAsia"/>
          <w:b/>
          <w:bCs/>
          <w:rtl/>
        </w:rPr>
        <w:t>ואשראי</w:t>
      </w:r>
      <w:r w:rsidRPr="00DF5110">
        <w:rPr>
          <w:b/>
          <w:bCs/>
          <w:rtl/>
        </w:rPr>
        <w:t xml:space="preserve">, </w:t>
      </w:r>
      <w:r>
        <w:rPr>
          <w:rFonts w:hint="cs"/>
          <w:b/>
          <w:bCs/>
          <w:rtl/>
        </w:rPr>
        <w:t>מאי - נובמבר 2020</w:t>
      </w:r>
      <w:r w:rsidRPr="00BA0134">
        <w:rPr>
          <w:rFonts w:hint="cs"/>
          <w:b/>
          <w:bCs/>
          <w:rtl/>
        </w:rPr>
        <w:t xml:space="preserve"> </w:t>
      </w:r>
      <w:r>
        <w:rPr>
          <w:rFonts w:hint="cs"/>
          <w:b/>
          <w:bCs/>
          <w:rtl/>
        </w:rPr>
        <w:t>(</w:t>
      </w:r>
      <w:r w:rsidRPr="00DF5110">
        <w:rPr>
          <w:rFonts w:hint="eastAsia"/>
          <w:b/>
          <w:bCs/>
          <w:rtl/>
        </w:rPr>
        <w:t>במיליוני</w:t>
      </w:r>
      <w:r w:rsidRPr="00DF5110">
        <w:rPr>
          <w:b/>
          <w:bCs/>
          <w:rtl/>
        </w:rPr>
        <w:t xml:space="preserve"> </w:t>
      </w:r>
      <w:r w:rsidRPr="00DF5110">
        <w:rPr>
          <w:rFonts w:hint="eastAsia"/>
          <w:b/>
          <w:bCs/>
          <w:rtl/>
        </w:rPr>
        <w:t>ש</w:t>
      </w:r>
      <w:r w:rsidRPr="00DF5110">
        <w:rPr>
          <w:b/>
          <w:bCs/>
          <w:rtl/>
        </w:rPr>
        <w:t>"ח</w:t>
      </w:r>
      <w:r>
        <w:rPr>
          <w:rFonts w:hint="cs"/>
          <w:b/>
          <w:bCs/>
          <w:rtl/>
        </w:rPr>
        <w:t>)</w:t>
      </w:r>
      <w:r>
        <w:rPr>
          <w:rStyle w:val="FootnoteReference"/>
          <w:rtl/>
        </w:rPr>
        <w:footnoteReference w:id="29"/>
      </w:r>
      <w:r>
        <w:rPr>
          <w:rFonts w:hint="cs"/>
          <w:rtl/>
        </w:rPr>
        <w:t xml:space="preserve"> </w:t>
      </w:r>
    </w:p>
    <w:p w:rsidR="00253C38" w:rsidP="00982BC1" w14:paraId="00B7A248" w14:textId="77777777">
      <w:pPr>
        <w:spacing w:line="269" w:lineRule="auto"/>
        <w:ind w:left="-141"/>
        <w:jc w:val="center"/>
      </w:pPr>
      <w:r>
        <w:rPr>
          <w:noProof/>
        </w:rPr>
        <w:drawing>
          <wp:inline distT="0" distB="0" distL="0" distR="0">
            <wp:extent cx="5382647" cy="3585214"/>
            <wp:effectExtent l="0" t="0" r="8890" b="0"/>
            <wp:docPr id="1743882413"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61638" name=""/>
                    <pic:cNvPicPr/>
                  </pic:nvPicPr>
                  <pic:blipFill>
                    <a:blip xmlns:r="http://schemas.openxmlformats.org/officeDocument/2006/relationships" r:embed="rId15"/>
                    <a:stretch>
                      <a:fillRect/>
                    </a:stretch>
                  </pic:blipFill>
                  <pic:spPr>
                    <a:xfrm>
                      <a:off x="0" y="0"/>
                      <a:ext cx="5423464" cy="3612401"/>
                    </a:xfrm>
                    <a:prstGeom prst="rect">
                      <a:avLst/>
                    </a:prstGeom>
                  </pic:spPr>
                </pic:pic>
              </a:graphicData>
            </a:graphic>
          </wp:inline>
        </w:drawing>
      </w:r>
    </w:p>
    <w:p w:rsidR="00253C38" w:rsidRPr="00982BC1" w:rsidP="00982BC1" w14:paraId="1FD957A2" w14:textId="77777777">
      <w:pPr>
        <w:spacing w:line="269" w:lineRule="auto"/>
        <w:rPr>
          <w:sz w:val="22"/>
          <w:szCs w:val="22"/>
          <w:rtl/>
        </w:rPr>
      </w:pPr>
      <w:r w:rsidRPr="00982BC1">
        <w:rPr>
          <w:rFonts w:hint="eastAsia"/>
          <w:sz w:val="22"/>
          <w:szCs w:val="22"/>
          <w:rtl/>
        </w:rPr>
        <w:t>נתוני</w:t>
      </w:r>
      <w:r w:rsidRPr="00982BC1">
        <w:rPr>
          <w:sz w:val="22"/>
          <w:szCs w:val="22"/>
          <w:rtl/>
        </w:rPr>
        <w:t xml:space="preserve"> </w:t>
      </w:r>
      <w:r w:rsidRPr="00982BC1">
        <w:rPr>
          <w:rFonts w:hint="cs"/>
          <w:sz w:val="22"/>
          <w:szCs w:val="22"/>
          <w:rtl/>
        </w:rPr>
        <w:t>החשכ"ל</w:t>
      </w:r>
      <w:r w:rsidRPr="00982BC1">
        <w:rPr>
          <w:sz w:val="22"/>
          <w:szCs w:val="22"/>
          <w:rtl/>
        </w:rPr>
        <w:t xml:space="preserve">, </w:t>
      </w:r>
      <w:r w:rsidRPr="00982BC1">
        <w:rPr>
          <w:rFonts w:hint="eastAsia"/>
          <w:sz w:val="22"/>
          <w:szCs w:val="22"/>
          <w:rtl/>
        </w:rPr>
        <w:t>בעיבוד</w:t>
      </w:r>
      <w:r w:rsidRPr="00982BC1">
        <w:rPr>
          <w:sz w:val="22"/>
          <w:szCs w:val="22"/>
          <w:rtl/>
        </w:rPr>
        <w:t xml:space="preserve"> </w:t>
      </w:r>
      <w:r w:rsidRPr="00982BC1">
        <w:rPr>
          <w:rFonts w:hint="eastAsia"/>
          <w:sz w:val="22"/>
          <w:szCs w:val="22"/>
          <w:rtl/>
        </w:rPr>
        <w:t>משרד</w:t>
      </w:r>
      <w:r w:rsidRPr="00982BC1">
        <w:rPr>
          <w:sz w:val="22"/>
          <w:szCs w:val="22"/>
          <w:rtl/>
        </w:rPr>
        <w:t xml:space="preserve"> </w:t>
      </w:r>
      <w:r w:rsidRPr="00982BC1">
        <w:rPr>
          <w:rFonts w:hint="eastAsia"/>
          <w:sz w:val="22"/>
          <w:szCs w:val="22"/>
          <w:rtl/>
        </w:rPr>
        <w:t>מבקר</w:t>
      </w:r>
      <w:r w:rsidRPr="00982BC1">
        <w:rPr>
          <w:sz w:val="22"/>
          <w:szCs w:val="22"/>
          <w:rtl/>
        </w:rPr>
        <w:t xml:space="preserve"> </w:t>
      </w:r>
      <w:r w:rsidRPr="00982BC1">
        <w:rPr>
          <w:rFonts w:hint="eastAsia"/>
          <w:sz w:val="22"/>
          <w:szCs w:val="22"/>
          <w:rtl/>
        </w:rPr>
        <w:t>המדינה</w:t>
      </w:r>
      <w:r w:rsidRPr="00982BC1">
        <w:rPr>
          <w:rFonts w:hint="cs"/>
          <w:sz w:val="22"/>
          <w:szCs w:val="22"/>
          <w:rtl/>
        </w:rPr>
        <w:t>.</w:t>
      </w:r>
    </w:p>
    <w:p w:rsidR="00253C38" w:rsidRPr="00982BC1" w:rsidP="00982BC1" w14:paraId="7003B386" w14:textId="77777777">
      <w:pPr>
        <w:spacing w:line="269" w:lineRule="auto"/>
        <w:rPr>
          <w:sz w:val="22"/>
          <w:szCs w:val="22"/>
          <w:rtl/>
        </w:rPr>
      </w:pPr>
      <w:r w:rsidRPr="00982BC1">
        <w:rPr>
          <w:sz w:val="22"/>
          <w:szCs w:val="22"/>
          <w:rtl/>
        </w:rPr>
        <w:t xml:space="preserve">* </w:t>
      </w:r>
      <w:r w:rsidRPr="00982BC1">
        <w:rPr>
          <w:rFonts w:hint="eastAsia"/>
          <w:sz w:val="22"/>
          <w:szCs w:val="22"/>
          <w:rtl/>
        </w:rPr>
        <w:t>המסלול</w:t>
      </w:r>
      <w:r w:rsidRPr="00982BC1">
        <w:rPr>
          <w:sz w:val="22"/>
          <w:szCs w:val="22"/>
          <w:rtl/>
        </w:rPr>
        <w:t xml:space="preserve"> </w:t>
      </w:r>
      <w:r w:rsidRPr="00982BC1">
        <w:rPr>
          <w:rFonts w:hint="eastAsia"/>
          <w:sz w:val="22"/>
          <w:szCs w:val="22"/>
          <w:rtl/>
        </w:rPr>
        <w:t>נפתח</w:t>
      </w:r>
      <w:r w:rsidRPr="00982BC1">
        <w:rPr>
          <w:sz w:val="22"/>
          <w:szCs w:val="22"/>
          <w:rtl/>
        </w:rPr>
        <w:t xml:space="preserve"> </w:t>
      </w:r>
      <w:r w:rsidRPr="00982BC1">
        <w:rPr>
          <w:rFonts w:hint="eastAsia"/>
          <w:sz w:val="22"/>
          <w:szCs w:val="22"/>
          <w:rtl/>
        </w:rPr>
        <w:t>במהלך</w:t>
      </w:r>
      <w:r w:rsidRPr="00982BC1">
        <w:rPr>
          <w:sz w:val="22"/>
          <w:szCs w:val="22"/>
          <w:rtl/>
        </w:rPr>
        <w:t xml:space="preserve"> </w:t>
      </w:r>
      <w:r w:rsidRPr="00982BC1">
        <w:rPr>
          <w:rFonts w:hint="eastAsia"/>
          <w:sz w:val="22"/>
          <w:szCs w:val="22"/>
          <w:rtl/>
        </w:rPr>
        <w:t>חודש</w:t>
      </w:r>
      <w:r w:rsidRPr="00982BC1">
        <w:rPr>
          <w:sz w:val="22"/>
          <w:szCs w:val="22"/>
          <w:rtl/>
        </w:rPr>
        <w:t xml:space="preserve"> </w:t>
      </w:r>
      <w:r w:rsidRPr="00982BC1">
        <w:rPr>
          <w:rFonts w:hint="eastAsia"/>
          <w:sz w:val="22"/>
          <w:szCs w:val="22"/>
          <w:rtl/>
        </w:rPr>
        <w:t>יוני</w:t>
      </w:r>
      <w:r w:rsidRPr="00982BC1">
        <w:rPr>
          <w:sz w:val="22"/>
          <w:szCs w:val="22"/>
          <w:rtl/>
        </w:rPr>
        <w:t xml:space="preserve"> 2020.</w:t>
      </w:r>
    </w:p>
    <w:p w:rsidR="00253C38" w:rsidRPr="00982BC1" w:rsidP="00982BC1" w14:paraId="590B0092" w14:textId="77777777">
      <w:pPr>
        <w:spacing w:line="269" w:lineRule="auto"/>
        <w:rPr>
          <w:sz w:val="22"/>
          <w:szCs w:val="22"/>
          <w:rtl/>
        </w:rPr>
      </w:pPr>
      <w:r w:rsidRPr="00982BC1">
        <w:rPr>
          <w:sz w:val="22"/>
          <w:szCs w:val="22"/>
          <w:rtl/>
        </w:rPr>
        <w:t xml:space="preserve">** </w:t>
      </w:r>
      <w:r w:rsidRPr="00982BC1">
        <w:rPr>
          <w:rFonts w:hint="cs"/>
          <w:sz w:val="22"/>
          <w:szCs w:val="22"/>
          <w:rtl/>
        </w:rPr>
        <w:t>ביולי</w:t>
      </w:r>
      <w:r w:rsidRPr="00982BC1">
        <w:rPr>
          <w:sz w:val="22"/>
          <w:szCs w:val="22"/>
          <w:rtl/>
        </w:rPr>
        <w:t xml:space="preserve"> 2020 תוקצב סכום נוסף להרחבת הקרנות ששויך </w:t>
      </w:r>
      <w:r w:rsidRPr="00982BC1">
        <w:rPr>
          <w:rFonts w:hint="cs"/>
          <w:sz w:val="22"/>
          <w:szCs w:val="22"/>
          <w:rtl/>
        </w:rPr>
        <w:t>באוקטובר</w:t>
      </w:r>
      <w:r w:rsidRPr="00982BC1">
        <w:rPr>
          <w:sz w:val="22"/>
          <w:szCs w:val="22"/>
          <w:rtl/>
        </w:rPr>
        <w:t xml:space="preserve"> 2020 לקרן לעסקים קטנים ובינוניים.</w:t>
      </w:r>
    </w:p>
    <w:p w:rsidR="00982BC1" w14:paraId="0E7755D5" w14:textId="77777777">
      <w:pPr>
        <w:bidi w:val="0"/>
        <w:spacing w:after="200" w:line="276" w:lineRule="auto"/>
        <w:rPr>
          <w:szCs w:val="20"/>
          <w:rtl/>
        </w:rPr>
      </w:pPr>
      <w:r>
        <w:rPr>
          <w:rtl/>
        </w:rPr>
        <w:br w:type="page"/>
      </w:r>
    </w:p>
    <w:p w:rsidR="00253C38" w:rsidP="00982BC1" w14:paraId="1621BE07" w14:textId="284587CC">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7B4C3F2" w14:textId="04D54C2B">
      <w:pPr>
        <w:spacing w:line="269" w:lineRule="auto"/>
        <w:jc w:val="center"/>
        <w:rPr>
          <w:rtl/>
        </w:rPr>
      </w:pPr>
      <w:r w:rsidRPr="00864928">
        <w:rPr>
          <w:rFonts w:hint="eastAsia"/>
          <w:b/>
          <w:bCs/>
          <w:rtl/>
        </w:rPr>
        <w:t>תרשים</w:t>
      </w:r>
      <w:r w:rsidRPr="00864928">
        <w:rPr>
          <w:b/>
          <w:bCs/>
          <w:rtl/>
        </w:rPr>
        <w:t xml:space="preserve"> 10: התפלגות סכומי הסיוע שמומשו במצטבר במסגרת </w:t>
      </w:r>
      <w:r w:rsidRPr="00BA0134">
        <w:rPr>
          <w:rFonts w:hint="cs"/>
          <w:b/>
          <w:bCs/>
          <w:rtl/>
        </w:rPr>
        <w:t>ה</w:t>
      </w:r>
      <w:r>
        <w:rPr>
          <w:rFonts w:hint="cs"/>
          <w:b/>
          <w:bCs/>
          <w:rtl/>
        </w:rPr>
        <w:t>תוכנית</w:t>
      </w:r>
      <w:r w:rsidRPr="00864928">
        <w:rPr>
          <w:b/>
          <w:bCs/>
          <w:rtl/>
        </w:rPr>
        <w:t xml:space="preserve"> הכלכלית לעסקים </w:t>
      </w:r>
      <w:r w:rsidRPr="00864928">
        <w:rPr>
          <w:rFonts w:hint="eastAsia"/>
          <w:b/>
          <w:bCs/>
          <w:rtl/>
        </w:rPr>
        <w:t>באמצעות</w:t>
      </w:r>
      <w:r w:rsidRPr="00864928">
        <w:rPr>
          <w:b/>
          <w:bCs/>
          <w:rtl/>
        </w:rPr>
        <w:t xml:space="preserve"> </w:t>
      </w:r>
      <w:r w:rsidRPr="00864928">
        <w:rPr>
          <w:rFonts w:hint="eastAsia"/>
          <w:b/>
          <w:bCs/>
          <w:rtl/>
        </w:rPr>
        <w:t>מענקים</w:t>
      </w:r>
      <w:r w:rsidRPr="00864928">
        <w:rPr>
          <w:b/>
          <w:bCs/>
          <w:rtl/>
        </w:rPr>
        <w:t xml:space="preserve"> ואשראי, </w:t>
      </w:r>
      <w:r>
        <w:rPr>
          <w:rFonts w:hint="cs"/>
          <w:b/>
          <w:bCs/>
          <w:rtl/>
        </w:rPr>
        <w:t>מאי - נובמבר 2020</w:t>
      </w:r>
      <w:r w:rsidRPr="00BA0134">
        <w:rPr>
          <w:rFonts w:hint="cs"/>
          <w:b/>
          <w:bCs/>
          <w:rtl/>
        </w:rPr>
        <w:t xml:space="preserve"> </w:t>
      </w:r>
      <w:r>
        <w:rPr>
          <w:rFonts w:hint="cs"/>
          <w:b/>
          <w:bCs/>
          <w:rtl/>
        </w:rPr>
        <w:t>(</w:t>
      </w:r>
      <w:r w:rsidRPr="00864928">
        <w:rPr>
          <w:rFonts w:hint="eastAsia"/>
          <w:b/>
          <w:bCs/>
          <w:rtl/>
        </w:rPr>
        <w:t>במיליוני</w:t>
      </w:r>
      <w:r w:rsidRPr="00864928">
        <w:rPr>
          <w:b/>
          <w:bCs/>
          <w:rtl/>
        </w:rPr>
        <w:t xml:space="preserve"> </w:t>
      </w:r>
      <w:r w:rsidRPr="00864928">
        <w:rPr>
          <w:rFonts w:hint="eastAsia"/>
          <w:b/>
          <w:bCs/>
          <w:rtl/>
        </w:rPr>
        <w:t>ש</w:t>
      </w:r>
      <w:r w:rsidRPr="00864928">
        <w:rPr>
          <w:b/>
          <w:bCs/>
          <w:rtl/>
        </w:rPr>
        <w:t>"ח</w:t>
      </w:r>
      <w:r>
        <w:rPr>
          <w:rFonts w:hint="cs"/>
          <w:b/>
          <w:bCs/>
          <w:rtl/>
        </w:rPr>
        <w:t>)</w:t>
      </w:r>
      <w:r>
        <w:rPr>
          <w:rStyle w:val="FootnoteReference"/>
          <w:rtl/>
        </w:rPr>
        <w:footnoteReference w:id="30"/>
      </w:r>
      <w:r>
        <w:rPr>
          <w:rFonts w:hint="cs"/>
          <w:rtl/>
        </w:rPr>
        <w:t xml:space="preserve"> </w:t>
      </w:r>
    </w:p>
    <w:p w:rsidR="00253C38" w:rsidRPr="00857D46" w:rsidP="00982BC1" w14:paraId="3CCDD283" w14:textId="77777777">
      <w:pPr>
        <w:spacing w:line="269" w:lineRule="auto"/>
        <w:ind w:left="-141"/>
        <w:rPr>
          <w:rtl/>
        </w:rPr>
      </w:pPr>
      <w:r>
        <w:rPr>
          <w:noProof/>
        </w:rPr>
        <w:drawing>
          <wp:inline distT="0" distB="0" distL="0" distR="0">
            <wp:extent cx="5836258" cy="3564277"/>
            <wp:effectExtent l="0" t="0" r="0" b="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88507" name=""/>
                    <pic:cNvPicPr/>
                  </pic:nvPicPr>
                  <pic:blipFill>
                    <a:blip xmlns:r="http://schemas.openxmlformats.org/officeDocument/2006/relationships" r:embed="rId16"/>
                    <a:stretch>
                      <a:fillRect/>
                    </a:stretch>
                  </pic:blipFill>
                  <pic:spPr>
                    <a:xfrm>
                      <a:off x="0" y="0"/>
                      <a:ext cx="5884948" cy="3594013"/>
                    </a:xfrm>
                    <a:prstGeom prst="rect">
                      <a:avLst/>
                    </a:prstGeom>
                  </pic:spPr>
                </pic:pic>
              </a:graphicData>
            </a:graphic>
          </wp:inline>
        </w:drawing>
      </w:r>
    </w:p>
    <w:p w:rsidR="00253C38" w:rsidRPr="00982BC1" w:rsidP="00982BC1" w14:paraId="3F11BCE3" w14:textId="77777777">
      <w:pPr>
        <w:spacing w:line="269" w:lineRule="auto"/>
        <w:rPr>
          <w:sz w:val="18"/>
          <w:szCs w:val="22"/>
          <w:rtl/>
        </w:rPr>
      </w:pPr>
      <w:r w:rsidRPr="00982BC1">
        <w:rPr>
          <w:rFonts w:hint="cs"/>
          <w:sz w:val="18"/>
          <w:szCs w:val="22"/>
          <w:rtl/>
        </w:rPr>
        <w:t>נתוני החשכ"ל, בעיבוד משרד מבקר המדינה.</w:t>
      </w:r>
    </w:p>
    <w:p w:rsidR="00253C38" w:rsidRPr="00982BC1" w:rsidP="00982BC1" w14:paraId="26882D61" w14:textId="77777777">
      <w:pPr>
        <w:spacing w:line="269" w:lineRule="auto"/>
        <w:rPr>
          <w:sz w:val="18"/>
          <w:szCs w:val="22"/>
          <w:rtl/>
        </w:rPr>
      </w:pPr>
      <w:r w:rsidRPr="00982BC1">
        <w:rPr>
          <w:sz w:val="18"/>
          <w:szCs w:val="22"/>
          <w:rtl/>
        </w:rPr>
        <w:t xml:space="preserve">* </w:t>
      </w:r>
      <w:r w:rsidRPr="00982BC1">
        <w:rPr>
          <w:rFonts w:hint="eastAsia"/>
          <w:sz w:val="18"/>
          <w:szCs w:val="22"/>
          <w:rtl/>
        </w:rPr>
        <w:t>המסלול</w:t>
      </w:r>
      <w:r w:rsidRPr="00982BC1">
        <w:rPr>
          <w:sz w:val="18"/>
          <w:szCs w:val="22"/>
          <w:rtl/>
        </w:rPr>
        <w:t xml:space="preserve"> </w:t>
      </w:r>
      <w:r w:rsidRPr="00982BC1">
        <w:rPr>
          <w:rFonts w:hint="eastAsia"/>
          <w:sz w:val="18"/>
          <w:szCs w:val="22"/>
          <w:rtl/>
        </w:rPr>
        <w:t>נפתח</w:t>
      </w:r>
      <w:r w:rsidRPr="00982BC1">
        <w:rPr>
          <w:sz w:val="18"/>
          <w:szCs w:val="22"/>
          <w:rtl/>
        </w:rPr>
        <w:t xml:space="preserve"> </w:t>
      </w:r>
      <w:r w:rsidRPr="00982BC1">
        <w:rPr>
          <w:rFonts w:hint="eastAsia"/>
          <w:sz w:val="18"/>
          <w:szCs w:val="22"/>
          <w:rtl/>
        </w:rPr>
        <w:t>במהלך</w:t>
      </w:r>
      <w:r w:rsidRPr="00982BC1">
        <w:rPr>
          <w:sz w:val="18"/>
          <w:szCs w:val="22"/>
          <w:rtl/>
        </w:rPr>
        <w:t xml:space="preserve"> </w:t>
      </w:r>
      <w:r w:rsidRPr="00982BC1">
        <w:rPr>
          <w:rFonts w:hint="eastAsia"/>
          <w:sz w:val="18"/>
          <w:szCs w:val="22"/>
          <w:rtl/>
        </w:rPr>
        <w:t>חודש</w:t>
      </w:r>
      <w:r w:rsidRPr="00982BC1">
        <w:rPr>
          <w:sz w:val="18"/>
          <w:szCs w:val="22"/>
          <w:rtl/>
        </w:rPr>
        <w:t xml:space="preserve"> </w:t>
      </w:r>
      <w:r w:rsidRPr="00982BC1">
        <w:rPr>
          <w:rFonts w:hint="eastAsia"/>
          <w:sz w:val="18"/>
          <w:szCs w:val="22"/>
          <w:rtl/>
        </w:rPr>
        <w:t>יוני</w:t>
      </w:r>
      <w:r w:rsidRPr="00982BC1">
        <w:rPr>
          <w:sz w:val="18"/>
          <w:szCs w:val="22"/>
          <w:rtl/>
        </w:rPr>
        <w:t xml:space="preserve"> 2020.</w:t>
      </w:r>
    </w:p>
    <w:p w:rsidR="00253C38" w:rsidRPr="00857D46" w:rsidP="00982BC1" w14:paraId="51419EB4" w14:textId="4C68412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D724FA2" w14:textId="3222A7EE">
      <w:pPr>
        <w:spacing w:line="269" w:lineRule="auto"/>
        <w:rPr>
          <w:b/>
          <w:bCs/>
          <w:rtl/>
        </w:rPr>
      </w:pPr>
      <w:r w:rsidRPr="00937FDD">
        <w:rPr>
          <w:rFonts w:hint="cs"/>
          <w:b/>
          <w:bCs/>
          <w:rtl/>
        </w:rPr>
        <w:t xml:space="preserve">עסקים שהיו יעילים טרם המשבר וחוו פגיעה ארוכת טווח </w:t>
      </w:r>
      <w:r>
        <w:rPr>
          <w:rFonts w:hint="cs"/>
          <w:b/>
          <w:bCs/>
          <w:rtl/>
        </w:rPr>
        <w:t>ב</w:t>
      </w:r>
      <w:r w:rsidRPr="00937FDD">
        <w:rPr>
          <w:rFonts w:hint="cs"/>
          <w:b/>
          <w:bCs/>
          <w:rtl/>
        </w:rPr>
        <w:t>הכנסות</w:t>
      </w:r>
      <w:r>
        <w:rPr>
          <w:rFonts w:hint="cs"/>
          <w:b/>
          <w:bCs/>
          <w:rtl/>
        </w:rPr>
        <w:t>יהם</w:t>
      </w:r>
      <w:r w:rsidRPr="00937FDD">
        <w:rPr>
          <w:rFonts w:hint="cs"/>
          <w:b/>
          <w:bCs/>
          <w:rtl/>
        </w:rPr>
        <w:t xml:space="preserve"> </w:t>
      </w:r>
      <w:r w:rsidR="00864928">
        <w:rPr>
          <w:rFonts w:hint="cs"/>
          <w:b/>
          <w:bCs/>
          <w:rtl/>
        </w:rPr>
        <w:t>או</w:t>
      </w:r>
      <w:r w:rsidRPr="00937FDD">
        <w:rPr>
          <w:rFonts w:hint="cs"/>
          <w:b/>
          <w:bCs/>
          <w:rtl/>
        </w:rPr>
        <w:t xml:space="preserve"> </w:t>
      </w:r>
      <w:r>
        <w:rPr>
          <w:rFonts w:hint="cs"/>
          <w:b/>
          <w:bCs/>
          <w:rtl/>
        </w:rPr>
        <w:t xml:space="preserve">נמצאים </w:t>
      </w:r>
      <w:r w:rsidRPr="00937FDD">
        <w:rPr>
          <w:rFonts w:hint="cs"/>
          <w:b/>
          <w:bCs/>
          <w:rtl/>
        </w:rPr>
        <w:t>ב</w:t>
      </w:r>
      <w:r w:rsidRPr="00937FDD">
        <w:rPr>
          <w:rFonts w:hint="eastAsia"/>
          <w:b/>
          <w:bCs/>
          <w:rtl/>
        </w:rPr>
        <w:t>רמת</w:t>
      </w:r>
      <w:r w:rsidRPr="00937FDD">
        <w:rPr>
          <w:b/>
          <w:bCs/>
          <w:rtl/>
        </w:rPr>
        <w:t xml:space="preserve"> </w:t>
      </w:r>
      <w:r w:rsidRPr="00937FDD">
        <w:rPr>
          <w:rFonts w:hint="eastAsia"/>
          <w:b/>
          <w:bCs/>
          <w:rtl/>
        </w:rPr>
        <w:t>סיכון</w:t>
      </w:r>
      <w:r w:rsidRPr="00937FDD">
        <w:rPr>
          <w:b/>
          <w:bCs/>
          <w:rtl/>
        </w:rPr>
        <w:t xml:space="preserve"> </w:t>
      </w:r>
      <w:r w:rsidRPr="00937FDD">
        <w:rPr>
          <w:rFonts w:hint="eastAsia"/>
          <w:b/>
          <w:bCs/>
          <w:rtl/>
        </w:rPr>
        <w:t>גבוהה</w:t>
      </w:r>
      <w:r w:rsidRPr="00937FDD">
        <w:rPr>
          <w:b/>
          <w:bCs/>
          <w:rtl/>
        </w:rPr>
        <w:t xml:space="preserve">, </w:t>
      </w:r>
      <w:r w:rsidRPr="00937FDD">
        <w:rPr>
          <w:rFonts w:hint="eastAsia"/>
          <w:b/>
          <w:bCs/>
          <w:rtl/>
        </w:rPr>
        <w:t>קיים</w:t>
      </w:r>
      <w:r w:rsidRPr="00937FDD">
        <w:rPr>
          <w:b/>
          <w:bCs/>
          <w:rtl/>
        </w:rPr>
        <w:t xml:space="preserve"> </w:t>
      </w:r>
      <w:r w:rsidRPr="00937FDD">
        <w:rPr>
          <w:rFonts w:hint="eastAsia"/>
          <w:b/>
          <w:bCs/>
          <w:rtl/>
        </w:rPr>
        <w:t>ספק</w:t>
      </w:r>
      <w:r w:rsidRPr="00937FDD">
        <w:rPr>
          <w:b/>
          <w:bCs/>
          <w:rtl/>
        </w:rPr>
        <w:t xml:space="preserve"> </w:t>
      </w:r>
      <w:r w:rsidRPr="00937FDD">
        <w:rPr>
          <w:rFonts w:hint="eastAsia"/>
          <w:b/>
          <w:bCs/>
          <w:rtl/>
        </w:rPr>
        <w:t>לגבי</w:t>
      </w:r>
      <w:r w:rsidRPr="00937FDD">
        <w:rPr>
          <w:b/>
          <w:bCs/>
          <w:rtl/>
        </w:rPr>
        <w:t xml:space="preserve"> </w:t>
      </w:r>
      <w:r w:rsidRPr="00937FDD">
        <w:rPr>
          <w:rFonts w:hint="eastAsia"/>
          <w:b/>
          <w:bCs/>
          <w:rtl/>
        </w:rPr>
        <w:t>יכולתם</w:t>
      </w:r>
      <w:r w:rsidRPr="00937FDD">
        <w:rPr>
          <w:b/>
          <w:bCs/>
          <w:rtl/>
        </w:rPr>
        <w:t xml:space="preserve"> </w:t>
      </w:r>
      <w:r w:rsidRPr="00937FDD">
        <w:rPr>
          <w:rFonts w:hint="eastAsia"/>
          <w:b/>
          <w:bCs/>
          <w:rtl/>
        </w:rPr>
        <w:t>לעמוד</w:t>
      </w:r>
      <w:r w:rsidRPr="00937FDD">
        <w:rPr>
          <w:b/>
          <w:bCs/>
          <w:rtl/>
        </w:rPr>
        <w:t xml:space="preserve"> </w:t>
      </w:r>
      <w:r w:rsidRPr="00937FDD">
        <w:rPr>
          <w:rFonts w:hint="eastAsia"/>
          <w:b/>
          <w:bCs/>
          <w:rtl/>
        </w:rPr>
        <w:t>בתשלומי</w:t>
      </w:r>
      <w:r w:rsidRPr="00937FDD">
        <w:rPr>
          <w:b/>
          <w:bCs/>
          <w:rtl/>
        </w:rPr>
        <w:t xml:space="preserve"> </w:t>
      </w:r>
      <w:r w:rsidRPr="00937FDD">
        <w:rPr>
          <w:rFonts w:hint="eastAsia"/>
          <w:b/>
          <w:bCs/>
          <w:rtl/>
        </w:rPr>
        <w:t>הלוואות</w:t>
      </w:r>
      <w:r w:rsidRPr="00937FDD">
        <w:rPr>
          <w:b/>
          <w:bCs/>
          <w:rtl/>
        </w:rPr>
        <w:t xml:space="preserve"> </w:t>
      </w:r>
      <w:r w:rsidRPr="00937FDD">
        <w:rPr>
          <w:rFonts w:hint="eastAsia"/>
          <w:b/>
          <w:bCs/>
          <w:rtl/>
        </w:rPr>
        <w:t>למשך</w:t>
      </w:r>
      <w:r w:rsidRPr="00937FDD">
        <w:rPr>
          <w:b/>
          <w:bCs/>
          <w:rtl/>
        </w:rPr>
        <w:t xml:space="preserve"> </w:t>
      </w:r>
      <w:r w:rsidRPr="00937FDD">
        <w:rPr>
          <w:rFonts w:hint="eastAsia"/>
          <w:b/>
          <w:bCs/>
          <w:rtl/>
        </w:rPr>
        <w:t>זמן</w:t>
      </w:r>
      <w:r w:rsidRPr="00937FDD">
        <w:rPr>
          <w:b/>
          <w:bCs/>
          <w:rtl/>
        </w:rPr>
        <w:t xml:space="preserve">. </w:t>
      </w:r>
      <w:r w:rsidRPr="00937FDD">
        <w:rPr>
          <w:rFonts w:hint="eastAsia"/>
          <w:b/>
          <w:bCs/>
          <w:rtl/>
        </w:rPr>
        <w:t>משכך</w:t>
      </w:r>
      <w:r w:rsidRPr="00937FDD">
        <w:rPr>
          <w:b/>
          <w:bCs/>
          <w:rtl/>
        </w:rPr>
        <w:t xml:space="preserve">, </w:t>
      </w:r>
      <w:r w:rsidRPr="00937FDD">
        <w:rPr>
          <w:rFonts w:hint="eastAsia"/>
          <w:b/>
          <w:bCs/>
          <w:rtl/>
        </w:rPr>
        <w:t>מקור</w:t>
      </w:r>
      <w:r w:rsidRPr="00937FDD">
        <w:rPr>
          <w:b/>
          <w:bCs/>
          <w:rtl/>
        </w:rPr>
        <w:t xml:space="preserve"> </w:t>
      </w:r>
      <w:r w:rsidRPr="00937FDD">
        <w:rPr>
          <w:rFonts w:hint="eastAsia"/>
          <w:b/>
          <w:bCs/>
          <w:rtl/>
        </w:rPr>
        <w:t>הסיוע</w:t>
      </w:r>
      <w:r w:rsidRPr="00937FDD">
        <w:rPr>
          <w:b/>
          <w:bCs/>
          <w:rtl/>
        </w:rPr>
        <w:t xml:space="preserve"> </w:t>
      </w:r>
      <w:r w:rsidRPr="00937FDD">
        <w:rPr>
          <w:rFonts w:hint="eastAsia"/>
          <w:b/>
          <w:bCs/>
          <w:rtl/>
        </w:rPr>
        <w:t>לעסקים</w:t>
      </w:r>
      <w:r w:rsidRPr="00937FDD">
        <w:rPr>
          <w:b/>
          <w:bCs/>
          <w:rtl/>
        </w:rPr>
        <w:t xml:space="preserve"> </w:t>
      </w:r>
      <w:r w:rsidRPr="00937FDD">
        <w:rPr>
          <w:rFonts w:hint="eastAsia"/>
          <w:b/>
          <w:bCs/>
          <w:rtl/>
        </w:rPr>
        <w:t>אלה</w:t>
      </w:r>
      <w:r w:rsidRPr="00937FDD">
        <w:rPr>
          <w:b/>
          <w:bCs/>
          <w:rtl/>
        </w:rPr>
        <w:t xml:space="preserve"> </w:t>
      </w:r>
      <w:r>
        <w:rPr>
          <w:rFonts w:hint="cs"/>
          <w:b/>
          <w:bCs/>
          <w:rtl/>
        </w:rPr>
        <w:t>ראוי שי</w:t>
      </w:r>
      <w:r w:rsidRPr="00937FDD">
        <w:rPr>
          <w:rFonts w:hint="eastAsia"/>
          <w:b/>
          <w:bCs/>
          <w:rtl/>
        </w:rPr>
        <w:t>תבסס</w:t>
      </w:r>
      <w:r w:rsidRPr="00937FDD">
        <w:rPr>
          <w:b/>
          <w:bCs/>
          <w:rtl/>
        </w:rPr>
        <w:t xml:space="preserve"> על </w:t>
      </w:r>
      <w:r w:rsidRPr="00937FDD">
        <w:rPr>
          <w:rFonts w:hint="eastAsia"/>
          <w:b/>
          <w:bCs/>
          <w:rtl/>
        </w:rPr>
        <w:t>הרחבת</w:t>
      </w:r>
      <w:r w:rsidRPr="00937FDD">
        <w:rPr>
          <w:b/>
          <w:bCs/>
          <w:rtl/>
        </w:rPr>
        <w:t xml:space="preserve"> </w:t>
      </w:r>
      <w:r w:rsidRPr="00937FDD">
        <w:rPr>
          <w:rFonts w:hint="eastAsia"/>
          <w:b/>
          <w:bCs/>
          <w:rtl/>
        </w:rPr>
        <w:t>הסיוע</w:t>
      </w:r>
      <w:r w:rsidRPr="00937FDD">
        <w:rPr>
          <w:b/>
          <w:bCs/>
          <w:rtl/>
        </w:rPr>
        <w:t xml:space="preserve"> </w:t>
      </w:r>
      <w:r w:rsidRPr="00937FDD">
        <w:rPr>
          <w:rFonts w:hint="eastAsia"/>
          <w:b/>
          <w:bCs/>
          <w:rtl/>
        </w:rPr>
        <w:t>התקציבי</w:t>
      </w:r>
      <w:r w:rsidRPr="00937FDD">
        <w:rPr>
          <w:b/>
          <w:bCs/>
          <w:rtl/>
        </w:rPr>
        <w:t xml:space="preserve"> </w:t>
      </w:r>
      <w:r w:rsidRPr="00937FDD">
        <w:rPr>
          <w:rFonts w:hint="eastAsia"/>
          <w:b/>
          <w:bCs/>
          <w:rtl/>
        </w:rPr>
        <w:t>של</w:t>
      </w:r>
      <w:r w:rsidRPr="00937FDD">
        <w:rPr>
          <w:b/>
          <w:bCs/>
          <w:rtl/>
        </w:rPr>
        <w:t xml:space="preserve"> </w:t>
      </w:r>
      <w:r w:rsidRPr="00937FDD">
        <w:rPr>
          <w:rFonts w:hint="eastAsia"/>
          <w:b/>
          <w:bCs/>
          <w:rtl/>
        </w:rPr>
        <w:t>המדינה</w:t>
      </w:r>
      <w:r w:rsidRPr="00937FDD">
        <w:rPr>
          <w:b/>
          <w:bCs/>
          <w:rtl/>
        </w:rPr>
        <w:t xml:space="preserve">, </w:t>
      </w:r>
      <w:r w:rsidRPr="00937FDD">
        <w:rPr>
          <w:rFonts w:hint="eastAsia"/>
          <w:b/>
          <w:bCs/>
          <w:rtl/>
        </w:rPr>
        <w:t>לרבות</w:t>
      </w:r>
      <w:r w:rsidRPr="00937FDD">
        <w:rPr>
          <w:b/>
          <w:bCs/>
          <w:rtl/>
        </w:rPr>
        <w:t xml:space="preserve"> </w:t>
      </w:r>
      <w:r w:rsidRPr="00937FDD">
        <w:rPr>
          <w:rFonts w:hint="eastAsia"/>
          <w:b/>
          <w:bCs/>
          <w:rtl/>
        </w:rPr>
        <w:t>במתן</w:t>
      </w:r>
      <w:r w:rsidRPr="00937FDD">
        <w:rPr>
          <w:b/>
          <w:bCs/>
          <w:rtl/>
        </w:rPr>
        <w:t xml:space="preserve"> </w:t>
      </w:r>
      <w:r w:rsidRPr="00937FDD">
        <w:rPr>
          <w:rFonts w:hint="eastAsia"/>
          <w:b/>
          <w:bCs/>
          <w:rtl/>
        </w:rPr>
        <w:t>מענקים</w:t>
      </w:r>
      <w:r w:rsidRPr="00937FDD">
        <w:rPr>
          <w:b/>
          <w:bCs/>
          <w:rtl/>
        </w:rPr>
        <w:t xml:space="preserve">, או על אשראי </w:t>
      </w:r>
      <w:r w:rsidRPr="00AD47FF">
        <w:rPr>
          <w:b/>
          <w:bCs/>
          <w:rtl/>
        </w:rPr>
        <w:t xml:space="preserve">הניתן </w:t>
      </w:r>
      <w:r w:rsidRPr="00AD47FF">
        <w:rPr>
          <w:rFonts w:hint="cs"/>
          <w:b/>
          <w:bCs/>
          <w:rtl/>
        </w:rPr>
        <w:t>אגב</w:t>
      </w:r>
      <w:r w:rsidRPr="00AD47FF">
        <w:rPr>
          <w:b/>
          <w:bCs/>
          <w:rtl/>
        </w:rPr>
        <w:t xml:space="preserve"> העמדת ערבות</w:t>
      </w:r>
      <w:r w:rsidRPr="00937FDD">
        <w:rPr>
          <w:b/>
          <w:bCs/>
          <w:rtl/>
        </w:rPr>
        <w:t xml:space="preserve"> ממשלתית גבוהה.</w:t>
      </w:r>
    </w:p>
    <w:p w:rsidR="00982BC1" w:rsidRPr="00937FDD" w:rsidP="00982BC1" w14:paraId="76912F26" w14:textId="77777777">
      <w:pPr>
        <w:spacing w:line="269" w:lineRule="auto"/>
        <w:rPr>
          <w:b/>
          <w:bCs/>
          <w:rtl/>
        </w:rPr>
      </w:pPr>
    </w:p>
    <w:p w:rsidR="00253C38" w:rsidP="00982BC1" w14:paraId="0565D771" w14:textId="77777777">
      <w:pPr>
        <w:pStyle w:val="Heading5"/>
        <w:spacing w:line="269" w:lineRule="auto"/>
        <w:rPr>
          <w:rtl/>
        </w:rPr>
      </w:pPr>
      <w:r>
        <w:rPr>
          <w:rFonts w:hint="cs"/>
          <w:rtl/>
        </w:rPr>
        <w:t>קרנות להלוואות בערבות המדינה</w:t>
      </w:r>
    </w:p>
    <w:p w:rsidR="00253C38" w:rsidP="00982BC1" w14:paraId="2F06B882" w14:textId="2CEA09F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FE11E62" w14:textId="77777777">
      <w:pPr>
        <w:spacing w:line="269" w:lineRule="auto"/>
        <w:rPr>
          <w:rtl/>
        </w:rPr>
      </w:pPr>
      <w:r>
        <w:rPr>
          <w:rFonts w:hint="cs"/>
          <w:rtl/>
        </w:rPr>
        <w:t xml:space="preserve">ערבויות מדינה בישראל ניתנות על ידי שר האוצר מכוח חוק ערבויות מטעם המדינה, התשי"ח-1958, וטעונות את אישור ועדת הכספים של הכנסת (להלן </w:t>
      </w:r>
      <w:r w:rsidRPr="004E4D2A">
        <w:rPr>
          <w:rFonts w:hint="cs"/>
          <w:rtl/>
        </w:rPr>
        <w:t>- ועדת הכספים). על פי החוק</w:t>
      </w:r>
      <w:r>
        <w:rPr>
          <w:rFonts w:hint="cs"/>
          <w:rtl/>
        </w:rPr>
        <w:t>,</w:t>
      </w:r>
      <w:r w:rsidRPr="004E4D2A">
        <w:rPr>
          <w:rFonts w:hint="cs"/>
          <w:rtl/>
        </w:rPr>
        <w:t xml:space="preserve"> </w:t>
      </w:r>
      <w:r w:rsidRPr="004E4D2A">
        <w:rPr>
          <w:rFonts w:hint="eastAsia"/>
          <w:rtl/>
        </w:rPr>
        <w:t>שימוש</w:t>
      </w:r>
      <w:r w:rsidRPr="004E4D2A">
        <w:rPr>
          <w:rtl/>
        </w:rPr>
        <w:t xml:space="preserve"> ב</w:t>
      </w:r>
      <w:r w:rsidRPr="004E4D2A">
        <w:rPr>
          <w:rFonts w:hint="cs"/>
          <w:rtl/>
        </w:rPr>
        <w:t xml:space="preserve">ערבויות </w:t>
      </w:r>
      <w:r w:rsidRPr="004E4D2A">
        <w:rPr>
          <w:rtl/>
        </w:rPr>
        <w:t xml:space="preserve">נעשה במקרים </w:t>
      </w:r>
      <w:r>
        <w:rPr>
          <w:rFonts w:hint="cs"/>
          <w:rtl/>
        </w:rPr>
        <w:t>ש</w:t>
      </w:r>
      <w:r w:rsidRPr="004E4D2A">
        <w:rPr>
          <w:rtl/>
        </w:rPr>
        <w:t>בהם לדעת השר הן יכולות לסייע לפיתוחו או לעידודו של ענף משק בעל חשיבות כלכלית, או לסייע לכל תכלית אחרת שיש בה עניין לכלל.</w:t>
      </w:r>
      <w:r w:rsidRPr="004E4D2A">
        <w:rPr>
          <w:rFonts w:hint="cs"/>
          <w:rtl/>
        </w:rPr>
        <w:t xml:space="preserve"> סעיף 3(</w:t>
      </w:r>
      <w:r>
        <w:rPr>
          <w:rFonts w:hint="cs"/>
          <w:rtl/>
        </w:rPr>
        <w:t>ב) לחוק קובע כי סכום הערבויות התקפות לא יעלה, בכל עת, על 10% מסכום תקציב המדינה לאותה שנת כספים, למעט תקציב הפיתוח.</w:t>
      </w:r>
    </w:p>
    <w:p w:rsidR="00253C38" w:rsidP="00982BC1" w14:paraId="6A575031" w14:textId="6D7162D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2AC69A7" w14:textId="307E169C">
      <w:pPr>
        <w:spacing w:line="269" w:lineRule="auto"/>
        <w:rPr>
          <w:rtl/>
        </w:rPr>
      </w:pPr>
      <w:r>
        <w:rPr>
          <w:rFonts w:hint="cs"/>
          <w:rtl/>
        </w:rPr>
        <w:t xml:space="preserve">בדומה למדינות מפותחות אחרות, המשבר הכלכלי אילץ את הממשלה לתקצב הוצאות גדולות למימוש תוכנית הסיוע למשק. בעוד שהוצאה תקציבית כרוכה בעלות ודאית בתקציב המדינה, התקצוב הנדרש בשל מתן הלוואות בערבות מדינה אינו הוצאה ודאית, ומימושו תלוי במימוש הערבות בפועל ושיעורה. ההוצאה התקציבית שצפויה להיווצר אפוא בגין הקמת הקרנות להלוואה בערבות המדינה (להלן - קרנות) נגזרת מהיקף ההלוואות שיועמדו בפועל על ידי ספקי האשראי ומהערכה בדבר תוחלת הסיכון הגלומה בהעמדתן. </w:t>
      </w:r>
    </w:p>
    <w:p w:rsidR="00982BC1" w:rsidP="00982BC1" w14:paraId="70362481" w14:textId="77777777">
      <w:pPr>
        <w:spacing w:line="269" w:lineRule="auto"/>
        <w:rPr>
          <w:rtl/>
        </w:rPr>
      </w:pPr>
    </w:p>
    <w:p w:rsidR="00253C38" w:rsidP="00982BC1" w14:paraId="1B5DFD31" w14:textId="0662ACE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FC70C40" w14:textId="77777777">
      <w:pPr>
        <w:spacing w:line="269" w:lineRule="auto"/>
        <w:rPr>
          <w:rtl/>
        </w:rPr>
      </w:pPr>
      <w:r>
        <w:rPr>
          <w:rFonts w:hint="cs"/>
          <w:rtl/>
        </w:rPr>
        <w:t>שימוש בערבות מדינה מאפשר להרחיב את הסיוע הממשלתי ללא הכבדה ניכרת על תקציב המדינה ותורם למינוף הפעילות הכלכלית באמצעות הפחתת הסיכון המוטל על ספקי האשראי. משכך, ערבויות המדינה פועלות להרחבת מסגרות האשראי למגזר העסקי, לשיפור תזרים המזומנים ולתנאי ההלוואה המסחריים, בלי לפטור את הלווים מהחזר התשלומים.</w:t>
      </w:r>
    </w:p>
    <w:p w:rsidR="00253C38" w:rsidP="00982BC1" w14:paraId="122DF015" w14:textId="18ECE9B6">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76020C9" w14:textId="77777777">
      <w:pPr>
        <w:spacing w:line="269" w:lineRule="auto"/>
        <w:rPr>
          <w:rtl/>
        </w:rPr>
      </w:pPr>
      <w:r>
        <w:rPr>
          <w:rFonts w:hint="cs"/>
          <w:rtl/>
        </w:rPr>
        <w:t>תוכניות להעמדת הלוואות בערבות המדינה היו רכיב מהותי בחבילות הסיוע של מדינות מפותחות רבות במהלך המשבר.</w:t>
      </w:r>
      <w:r>
        <w:rPr>
          <w:rFonts w:hint="cs"/>
          <w:sz w:val="24"/>
          <w:rtl/>
        </w:rPr>
        <w:t xml:space="preserve"> כחלק מהסיוע שניתן למשק במסגרת התוכנית הכלכלית החליטה הממשלה על הקמת מערך סיוע </w:t>
      </w:r>
      <w:r w:rsidRPr="003D6C64">
        <w:rPr>
          <w:rFonts w:hint="cs"/>
          <w:sz w:val="24"/>
          <w:rtl/>
        </w:rPr>
        <w:t>לעסקים שנקלעו לקשיי תזרים בעקבות ההגבלות שהוטלו בחקיקה לטובת ההתמודדות עם התפשטות הנגיף.</w:t>
      </w:r>
      <w:r w:rsidRPr="003D6C64">
        <w:rPr>
          <w:rFonts w:hint="cs"/>
          <w:rtl/>
        </w:rPr>
        <w:t xml:space="preserve"> </w:t>
      </w:r>
      <w:r w:rsidRPr="003D6C64">
        <w:rPr>
          <w:rFonts w:hint="cs"/>
          <w:sz w:val="24"/>
          <w:rtl/>
        </w:rPr>
        <w:t>בי</w:t>
      </w:r>
      <w:r w:rsidRPr="003D6C64">
        <w:rPr>
          <w:rFonts w:hint="eastAsia"/>
          <w:sz w:val="24"/>
          <w:rtl/>
        </w:rPr>
        <w:t>ום</w:t>
      </w:r>
      <w:r w:rsidRPr="003D6C64">
        <w:rPr>
          <w:sz w:val="24"/>
          <w:rtl/>
        </w:rPr>
        <w:t xml:space="preserve"> 9.3.</w:t>
      </w:r>
      <w:r w:rsidRPr="003D6C64">
        <w:rPr>
          <w:rFonts w:hint="cs"/>
          <w:sz w:val="24"/>
          <w:rtl/>
        </w:rPr>
        <w:t>20 הודיע משרד האוצר על הקמת מסלול ייעודי להעמדת הלוואות בערבות המדינה לעסקים קטנים ובינוניים, מכוח ההסכמים שנחתמו בעבר עם שותפויות של בנקים וגופים מוסדיים שביססו את פעילותה של הקרן לעסקים קטנים ובינוניים בערבות מדינה (קרן קיימת)</w:t>
      </w:r>
      <w:r>
        <w:rPr>
          <w:rStyle w:val="FootnoteReference"/>
          <w:sz w:val="24"/>
          <w:rtl/>
        </w:rPr>
        <w:footnoteReference w:id="31"/>
      </w:r>
      <w:r w:rsidRPr="003D6C64">
        <w:rPr>
          <w:rFonts w:hint="cs"/>
          <w:sz w:val="24"/>
          <w:rtl/>
        </w:rPr>
        <w:t>.</w:t>
      </w:r>
      <w:r w:rsidRPr="003D6C64">
        <w:rPr>
          <w:rFonts w:hint="cs"/>
          <w:rtl/>
        </w:rPr>
        <w:t xml:space="preserve"> במכתב ששלח שר האוצר ביום </w:t>
      </w:r>
      <w:r w:rsidRPr="003D6C64">
        <w:rPr>
          <w:rtl/>
        </w:rPr>
        <w:t>22.3.20</w:t>
      </w:r>
      <w:r w:rsidRPr="003D6C64">
        <w:rPr>
          <w:rFonts w:hint="cs"/>
          <w:rtl/>
        </w:rPr>
        <w:t xml:space="preserve"> ליו"ר ועדת הכספים לאישור העמדת ערבות מדינה למסלול הסיוע הייעודי, ציין כי במסגרתו יבוצעו התאמות נדרשות שיאפשרו לעסקים נוספים להגיש בקשות לקבלת הלוואה,</w:t>
      </w:r>
      <w:r>
        <w:rPr>
          <w:rFonts w:hint="cs"/>
          <w:rtl/>
        </w:rPr>
        <w:t xml:space="preserve"> ירחיבו את כמות ההלוואות שיועמדו לעסקים נוכח מצב המשק ואת היקפן, ויקלו ככל שניתן את הקושי התזרימי, לרבות במתן מענה מהיר לעסקים. </w:t>
      </w:r>
    </w:p>
    <w:p w:rsidR="00253C38" w:rsidP="00982BC1" w14:paraId="0DD6799E" w14:textId="0AAF908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FB72AB" w:rsidP="00982BC1" w14:paraId="78045785" w14:textId="77777777">
      <w:pPr>
        <w:spacing w:line="269" w:lineRule="auto"/>
        <w:rPr>
          <w:sz w:val="24"/>
          <w:rtl/>
        </w:rPr>
      </w:pPr>
      <w:r w:rsidRPr="00DF5110">
        <w:rPr>
          <w:rStyle w:val="7"/>
          <w:rFonts w:hint="eastAsia"/>
          <w:rtl/>
        </w:rPr>
        <w:t>הקרן</w:t>
      </w:r>
      <w:r w:rsidRPr="00DF5110">
        <w:rPr>
          <w:rStyle w:val="7"/>
          <w:rtl/>
        </w:rPr>
        <w:t xml:space="preserve"> </w:t>
      </w:r>
      <w:r w:rsidRPr="00DF5110">
        <w:rPr>
          <w:rStyle w:val="7"/>
          <w:rFonts w:hint="eastAsia"/>
          <w:rtl/>
        </w:rPr>
        <w:t>לעסקים</w:t>
      </w:r>
      <w:r w:rsidRPr="00DF5110">
        <w:rPr>
          <w:rStyle w:val="7"/>
          <w:rtl/>
        </w:rPr>
        <w:t xml:space="preserve"> </w:t>
      </w:r>
      <w:r w:rsidRPr="00DF5110">
        <w:rPr>
          <w:rStyle w:val="7"/>
          <w:rFonts w:hint="eastAsia"/>
          <w:rtl/>
        </w:rPr>
        <w:t>קטנים</w:t>
      </w:r>
      <w:r w:rsidRPr="00DF5110">
        <w:rPr>
          <w:rStyle w:val="7"/>
          <w:rtl/>
        </w:rPr>
        <w:t xml:space="preserve"> </w:t>
      </w:r>
      <w:r w:rsidRPr="00DF5110">
        <w:rPr>
          <w:rStyle w:val="7"/>
          <w:rFonts w:hint="eastAsia"/>
          <w:rtl/>
        </w:rPr>
        <w:t>ובינוניים</w:t>
      </w:r>
      <w:r w:rsidRPr="00DF5110">
        <w:rPr>
          <w:rStyle w:val="7"/>
          <w:rtl/>
        </w:rPr>
        <w:t>:</w:t>
      </w:r>
      <w:r w:rsidRPr="00FB72AB">
        <w:rPr>
          <w:rFonts w:hint="cs"/>
          <w:rtl/>
        </w:rPr>
        <w:t xml:space="preserve"> ביום </w:t>
      </w:r>
      <w:r w:rsidRPr="00FB72AB">
        <w:rPr>
          <w:rtl/>
        </w:rPr>
        <w:t>24.3.20</w:t>
      </w:r>
      <w:r w:rsidRPr="00FB72AB">
        <w:rPr>
          <w:rFonts w:hint="cs"/>
          <w:rtl/>
        </w:rPr>
        <w:t xml:space="preserve"> אישרה ועדת הכספים את הקמתה של קרן ייעודית למתן הלוואות בערבות המדינה לעסקים קטנים ובינוניים בעלי מחזור מכירות של עד 400 מיליון ש"ח (להלן - המסלול הרגיל). מטרת המהלך הייתה להרחיב את זמינות האשראי לעסקים אלה ולתמוך בקשיי התמודדותם עם צורכי ההון החוזר וצורכי התזרים השוטפים שנבעו מהתפרצות הנגיף. לטובת הקרן הוקצתה ערבות מדינה בסך 480 מיליון ש"ח שהוגבלה ל-12% מסך תיק ההלוואות שיעמיד כל גורם מממן שישתתף בקרן. לפיכך, היקף ההלוואות מהקרן נאמד ב-4 מיליארד ש"ח. </w:t>
      </w:r>
      <w:r w:rsidRPr="00FB72AB">
        <w:rPr>
          <w:rFonts w:hint="cs"/>
          <w:sz w:val="24"/>
          <w:rtl/>
        </w:rPr>
        <w:t xml:space="preserve">ביום </w:t>
      </w:r>
      <w:r w:rsidRPr="00FB72AB">
        <w:rPr>
          <w:sz w:val="24"/>
          <w:rtl/>
        </w:rPr>
        <w:t>6.4.20</w:t>
      </w:r>
      <w:r w:rsidRPr="00FB72AB">
        <w:rPr>
          <w:rFonts w:hint="cs"/>
          <w:sz w:val="24"/>
          <w:rtl/>
        </w:rPr>
        <w:t xml:space="preserve"> הרחיבה ועדת הכספים, בעקבות פנייה של משרד האוצר, את הקצאת הערבות לסך של 1.2 מיליארד ש"ח אגב הגדלת שיעור הערבות ל-15% מתיק ההלוואות של כל גורם מממן, כך שהיקף ההלוואות מהקרן נאמד ב-8 מיליארד ש"ח. בהתאם לבקשות שר האוצר מוועדת הכספים הורחבה הקרן שלוש פעמים נוספות: ביום </w:t>
      </w:r>
      <w:r w:rsidRPr="00FB72AB">
        <w:rPr>
          <w:sz w:val="24"/>
          <w:rtl/>
        </w:rPr>
        <w:t>4</w:t>
      </w:r>
      <w:r w:rsidRPr="00FB72AB">
        <w:rPr>
          <w:rFonts w:hint="cs"/>
          <w:sz w:val="24"/>
          <w:rtl/>
        </w:rPr>
        <w:t xml:space="preserve">.5.20 </w:t>
      </w:r>
      <w:r w:rsidR="00FB72AB">
        <w:rPr>
          <w:rFonts w:hint="cs"/>
          <w:sz w:val="24"/>
          <w:rtl/>
        </w:rPr>
        <w:t>ל</w:t>
      </w:r>
      <w:r w:rsidRPr="00FB72AB">
        <w:rPr>
          <w:rFonts w:hint="cs"/>
          <w:sz w:val="24"/>
          <w:rtl/>
        </w:rPr>
        <w:t>-14 מיליארד ש"ח; בי</w:t>
      </w:r>
      <w:r w:rsidR="00FB72AB">
        <w:rPr>
          <w:rFonts w:hint="cs"/>
          <w:sz w:val="24"/>
          <w:rtl/>
        </w:rPr>
        <w:t>ום 17.6.20</w:t>
      </w:r>
      <w:r w:rsidR="00FB72AB">
        <w:rPr>
          <w:rFonts w:hint="cs"/>
          <w:sz w:val="24"/>
        </w:rPr>
        <w:t xml:space="preserve"> </w:t>
      </w:r>
      <w:r w:rsidR="00FB72AB">
        <w:rPr>
          <w:rFonts w:hint="cs"/>
          <w:sz w:val="24"/>
          <w:rtl/>
        </w:rPr>
        <w:t>ל</w:t>
      </w:r>
      <w:r w:rsidRPr="00FB72AB">
        <w:rPr>
          <w:rFonts w:hint="cs"/>
          <w:sz w:val="24"/>
          <w:rtl/>
        </w:rPr>
        <w:t>-18 מיליארד</w:t>
      </w:r>
      <w:r w:rsidR="00FB72AB">
        <w:rPr>
          <w:rFonts w:hint="cs"/>
          <w:sz w:val="24"/>
          <w:rtl/>
        </w:rPr>
        <w:t xml:space="preserve"> </w:t>
      </w:r>
      <w:r w:rsidRPr="00FB72AB">
        <w:rPr>
          <w:rFonts w:hint="cs"/>
          <w:sz w:val="24"/>
          <w:rtl/>
        </w:rPr>
        <w:t xml:space="preserve">ש"ח; ביום 13.10.20 </w:t>
      </w:r>
      <w:r w:rsidR="00FB72AB">
        <w:rPr>
          <w:rFonts w:hint="cs"/>
          <w:sz w:val="24"/>
          <w:rtl/>
        </w:rPr>
        <w:t>ל</w:t>
      </w:r>
      <w:r w:rsidRPr="00FB72AB">
        <w:rPr>
          <w:rFonts w:hint="cs"/>
          <w:sz w:val="24"/>
          <w:rtl/>
        </w:rPr>
        <w:t>-36 מיליארד ש"ח. לפיכך נאמדה ערבות המדינה המצטברת שהוקצתה לטובת מתן הלוואות מהקרן במועד סיום הביקורת על 5.4 מיליארד ש"ח (ראו להלן תרשים 13).</w:t>
      </w:r>
    </w:p>
    <w:p w:rsidR="00253C38" w:rsidP="00982BC1" w14:paraId="599E8133" w14:textId="58743DAF">
      <w:pPr>
        <w:pStyle w:val="a"/>
        <w:spacing w:line="269" w:lineRule="auto"/>
        <w:rPr>
          <w:rtl/>
        </w:rPr>
      </w:pPr>
      <w:r w:rsidRPr="00FB72AB">
        <w:rPr>
          <w:rtl/>
        </w:rPr>
        <w:fldChar w:fldCharType="begin"/>
      </w:r>
      <w:r w:rsidRPr="00FB72AB">
        <w:rPr>
          <w:rtl/>
        </w:rPr>
        <w:instrText xml:space="preserve"> </w:instrText>
      </w:r>
      <w:r w:rsidRPr="00FB72AB">
        <w:instrText>AUTONUMLGL \e  \* MERGEFORMAT</w:instrText>
      </w:r>
      <w:r w:rsidRPr="00FB72AB">
        <w:rPr>
          <w:rtl/>
        </w:rPr>
        <w:instrText xml:space="preserve"> </w:instrText>
      </w:r>
      <w:r w:rsidRPr="00FB72AB">
        <w:rPr>
          <w:rtl/>
        </w:rPr>
        <w:fldChar w:fldCharType="end"/>
      </w:r>
    </w:p>
    <w:p w:rsidR="00253C38" w:rsidP="00982BC1" w14:paraId="30CF7358" w14:textId="77777777">
      <w:pPr>
        <w:spacing w:line="269" w:lineRule="auto"/>
        <w:rPr>
          <w:sz w:val="24"/>
          <w:rtl/>
        </w:rPr>
      </w:pPr>
      <w:r>
        <w:rPr>
          <w:rFonts w:hint="cs"/>
          <w:rtl/>
        </w:rPr>
        <w:t xml:space="preserve">משרד האוצר קרא להצטרפותם של גופים פיננסיים נוספים להסדר בדבר מתן הלוואות במסגרת הקרן, ובהם כל התאגידים הבנקאיים בישראל, נותני אשראי חוץ-בנקאיים המחזיקים ברישיון למתן אשראי וכלל חברות כרטיסי האשראי, כדי לאפשר היענות לבקשות רבות יותר להעמדת אשראי באמצעות הרחבת כמות הבקשות וסך ההלוואות שיועמדו </w:t>
      </w:r>
      <w:r w:rsidRPr="00CD0E16">
        <w:rPr>
          <w:rFonts w:hint="cs"/>
          <w:rtl/>
        </w:rPr>
        <w:t xml:space="preserve">לעסקים. ביום </w:t>
      </w:r>
      <w:r w:rsidRPr="00CD0E16">
        <w:rPr>
          <w:rtl/>
        </w:rPr>
        <w:t>30.3.20</w:t>
      </w:r>
      <w:r w:rsidRPr="00CD0E16">
        <w:rPr>
          <w:rFonts w:hint="cs"/>
          <w:rtl/>
        </w:rPr>
        <w:t xml:space="preserve"> נחתם הסכם בין משרד האוצר לבין חמש הקבוצות הבנקאיות הגדולות להעמדת הלוואות בקרן, וכעבור יומיים</w:t>
      </w:r>
      <w:r w:rsidRPr="00CD0E16">
        <w:rPr>
          <w:rtl/>
        </w:rPr>
        <w:t xml:space="preserve"> </w:t>
      </w:r>
      <w:r w:rsidRPr="00CD0E16">
        <w:rPr>
          <w:rFonts w:hint="eastAsia"/>
          <w:rtl/>
        </w:rPr>
        <w:t>החלה</w:t>
      </w:r>
      <w:r w:rsidRPr="00CD0E16">
        <w:rPr>
          <w:rtl/>
        </w:rPr>
        <w:t xml:space="preserve"> </w:t>
      </w:r>
      <w:r w:rsidRPr="00CD0E16">
        <w:rPr>
          <w:rFonts w:hint="eastAsia"/>
          <w:rtl/>
        </w:rPr>
        <w:t>פעילותה</w:t>
      </w:r>
      <w:r w:rsidRPr="00CD0E16">
        <w:rPr>
          <w:rtl/>
        </w:rPr>
        <w:t>.</w:t>
      </w:r>
      <w:r w:rsidRPr="00CD0E16">
        <w:rPr>
          <w:rFonts w:hint="cs"/>
          <w:rtl/>
        </w:rPr>
        <w:t xml:space="preserve"> ביום </w:t>
      </w:r>
      <w:r w:rsidRPr="00CD0E16">
        <w:rPr>
          <w:rtl/>
        </w:rPr>
        <w:t>6.4.20</w:t>
      </w:r>
      <w:r w:rsidRPr="00CD0E16">
        <w:rPr>
          <w:rFonts w:hint="cs"/>
          <w:rtl/>
        </w:rPr>
        <w:t xml:space="preserve"> נחתם הסכם הצטרפות של בנק נוסף, ובימים </w:t>
      </w:r>
      <w:r w:rsidRPr="00CD0E16">
        <w:rPr>
          <w:rtl/>
        </w:rPr>
        <w:t>26</w:t>
      </w:r>
      <w:r w:rsidRPr="00CD0E16">
        <w:rPr>
          <w:rFonts w:hint="cs"/>
          <w:rtl/>
        </w:rPr>
        <w:t xml:space="preserve">.4.20, </w:t>
      </w:r>
      <w:r w:rsidRPr="00CD0E16">
        <w:rPr>
          <w:rtl/>
        </w:rPr>
        <w:t>18</w:t>
      </w:r>
      <w:r w:rsidRPr="00CD0E16">
        <w:rPr>
          <w:rFonts w:hint="cs"/>
          <w:rtl/>
        </w:rPr>
        <w:t>.5.20 ו-</w:t>
      </w:r>
      <w:r w:rsidRPr="00CD0E16">
        <w:rPr>
          <w:rtl/>
        </w:rPr>
        <w:t>6</w:t>
      </w:r>
      <w:r w:rsidRPr="00CD0E16">
        <w:rPr>
          <w:rFonts w:hint="cs"/>
          <w:rtl/>
        </w:rPr>
        <w:t>.8.20 נחתמו הסכמים עם חברות כרטיסי אשראי ועם נותני שירותים פיננסיים חוץ-בנקאיים. נכון למועד סיום הביקורת פעלו בקרן 11 גופים מממנים.</w:t>
      </w:r>
    </w:p>
    <w:p w:rsidR="00253C38" w:rsidP="00982BC1" w14:paraId="2188CD70" w14:textId="6A97405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E35442" w:rsidP="00982BC1" w14:paraId="183E0CB2" w14:textId="77777777">
      <w:pPr>
        <w:spacing w:line="269" w:lineRule="auto"/>
        <w:rPr>
          <w:sz w:val="24"/>
          <w:rtl/>
        </w:rPr>
      </w:pPr>
      <w:r w:rsidRPr="00DF5110">
        <w:rPr>
          <w:rStyle w:val="7"/>
          <w:rFonts w:hint="eastAsia"/>
          <w:rtl/>
        </w:rPr>
        <w:t>הקרן</w:t>
      </w:r>
      <w:r w:rsidRPr="00DF5110">
        <w:rPr>
          <w:rStyle w:val="7"/>
          <w:rtl/>
        </w:rPr>
        <w:t xml:space="preserve"> </w:t>
      </w:r>
      <w:r w:rsidRPr="00DF5110">
        <w:rPr>
          <w:rStyle w:val="7"/>
          <w:rFonts w:hint="eastAsia"/>
          <w:rtl/>
        </w:rPr>
        <w:t>לעסקים</w:t>
      </w:r>
      <w:r w:rsidRPr="00DF5110">
        <w:rPr>
          <w:rStyle w:val="7"/>
          <w:rtl/>
        </w:rPr>
        <w:t xml:space="preserve"> </w:t>
      </w:r>
      <w:r w:rsidRPr="00DF5110">
        <w:rPr>
          <w:rStyle w:val="7"/>
          <w:rFonts w:hint="eastAsia"/>
          <w:rtl/>
        </w:rPr>
        <w:t>גדולים</w:t>
      </w:r>
      <w:r w:rsidRPr="00DF5110">
        <w:rPr>
          <w:rStyle w:val="7"/>
          <w:rtl/>
        </w:rPr>
        <w:t>:</w:t>
      </w:r>
      <w:r w:rsidRPr="00D73EA0">
        <w:rPr>
          <w:rFonts w:hint="cs"/>
          <w:sz w:val="24"/>
          <w:rtl/>
        </w:rPr>
        <w:t xml:space="preserve"> התארכות</w:t>
      </w:r>
      <w:r>
        <w:rPr>
          <w:rFonts w:hint="cs"/>
          <w:sz w:val="24"/>
          <w:rtl/>
        </w:rPr>
        <w:t xml:space="preserve"> משך ההתמודדות עם השלכות הנגיף העלתה צורך במתן </w:t>
      </w:r>
      <w:r w:rsidRPr="00CD0E16">
        <w:rPr>
          <w:rFonts w:hint="cs"/>
          <w:sz w:val="24"/>
          <w:rtl/>
        </w:rPr>
        <w:t xml:space="preserve">מענה ליכולת השרידות וסיכויי ההתאוששות של העסקים הגדולים במשק. הישענות עסקים קטנים ובינוניים על פעילותם של העסקים הגדולים מתבטאת בשרשראות הייצור והאספקה, והיא מעניקה משנה תוקף לחשיבות שרידותם והשבתם לפעילות כלכלית. </w:t>
      </w:r>
      <w:r w:rsidRPr="00CD0E16">
        <w:rPr>
          <w:rFonts w:hint="cs"/>
          <w:rtl/>
        </w:rPr>
        <w:t>משכך, בהודעה לעיתונות שפורסמה ב-</w:t>
      </w:r>
      <w:r w:rsidRPr="00CD0E16">
        <w:rPr>
          <w:rtl/>
        </w:rPr>
        <w:t>30.3.20</w:t>
      </w:r>
      <w:r w:rsidRPr="00CD0E16">
        <w:rPr>
          <w:rFonts w:hint="cs"/>
          <w:rtl/>
        </w:rPr>
        <w:t xml:space="preserve">, הודיע משרד האוצר על הקמת קרן הלוואות ייעודית נוספת בערבות המדינה שתסייע לעסקים גדולים בעלי מחזור מכירות בסך 200 מיליון ש"ח ומעלה, </w:t>
      </w:r>
      <w:r w:rsidRPr="00CD0E16">
        <w:rPr>
          <w:rtl/>
        </w:rPr>
        <w:t>שנקלעו לקשיי תזרים</w:t>
      </w:r>
      <w:r w:rsidRPr="00CD0E16">
        <w:rPr>
          <w:rFonts w:hint="cs"/>
          <w:rtl/>
        </w:rPr>
        <w:t xml:space="preserve"> בעקבות </w:t>
      </w:r>
      <w:r w:rsidRPr="00CD0E16">
        <w:rPr>
          <w:rtl/>
        </w:rPr>
        <w:t>המגבלות שהט</w:t>
      </w:r>
      <w:r w:rsidRPr="00CD0E16">
        <w:rPr>
          <w:rFonts w:hint="cs"/>
          <w:rtl/>
        </w:rPr>
        <w:t>י</w:t>
      </w:r>
      <w:r w:rsidRPr="00CD0E16">
        <w:rPr>
          <w:rtl/>
        </w:rPr>
        <w:t>ל</w:t>
      </w:r>
      <w:r w:rsidRPr="00CD0E16">
        <w:rPr>
          <w:rFonts w:hint="cs"/>
          <w:rtl/>
        </w:rPr>
        <w:t>ה</w:t>
      </w:r>
      <w:r w:rsidRPr="00CD0E16">
        <w:rPr>
          <w:rtl/>
        </w:rPr>
        <w:t xml:space="preserve"> הממשלה</w:t>
      </w:r>
      <w:r w:rsidRPr="00CD0E16">
        <w:rPr>
          <w:rFonts w:hint="cs"/>
          <w:sz w:val="24"/>
          <w:rtl/>
        </w:rPr>
        <w:t xml:space="preserve">. בעוד שבקרן לעסקים קטנים ובינוניים הוגבל סכום ההלוואה המרבי ל-20 מיליון ש"ח, בקרן לעסקים גדולים הוגבל הסכום ל-100 מיליון ש"ח. לפיכך, בטווח החפיפה בין הקרנות (במחזור מכירות שנע בין 200 ל-400 מיליון ש"ח) יכלו בעלי העסקים לבחור בקרן העונה על צרכיהם. בעקבות פניית שר האוצר לוועדת הכספים ביום </w:t>
      </w:r>
      <w:r w:rsidRPr="00CD0E16">
        <w:rPr>
          <w:sz w:val="24"/>
          <w:rtl/>
        </w:rPr>
        <w:t>7.4.</w:t>
      </w:r>
      <w:r w:rsidRPr="00CD0E16">
        <w:rPr>
          <w:rFonts w:hint="cs"/>
          <w:sz w:val="24"/>
          <w:rtl/>
        </w:rPr>
        <w:t xml:space="preserve">20 </w:t>
      </w:r>
      <w:r w:rsidRPr="00CD0E16">
        <w:rPr>
          <w:rFonts w:hint="cs"/>
          <w:rtl/>
        </w:rPr>
        <w:t>התקבל</w:t>
      </w:r>
      <w:r w:rsidRPr="00DF5110">
        <w:rPr>
          <w:rtl/>
        </w:rPr>
        <w:t xml:space="preserve"> </w:t>
      </w:r>
      <w:r w:rsidRPr="00CD0E16">
        <w:rPr>
          <w:rFonts w:hint="cs"/>
          <w:sz w:val="24"/>
          <w:rtl/>
        </w:rPr>
        <w:t xml:space="preserve">ביום 19.4.20 אישור הוועדה להקצאת ערבות מדינה בסך 720 מיליון ש"ח לטובת הקמת הקרן לעסקים גדולים בשיעור ערבות של 12% מסך התיק, </w:t>
      </w:r>
      <w:r w:rsidRPr="00CD0E16">
        <w:rPr>
          <w:rFonts w:hint="cs"/>
          <w:rtl/>
        </w:rPr>
        <w:t>ובהיקף הלוואות של 6 מיליארד ש"ח (ראו להלן תרשים 13).</w:t>
      </w:r>
    </w:p>
    <w:p w:rsidR="00253C38" w:rsidP="00982BC1" w14:paraId="1F79B553" w14:textId="6D9F3F7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B2DEE85" w14:textId="77777777">
      <w:pPr>
        <w:spacing w:line="269" w:lineRule="auto"/>
        <w:rPr>
          <w:rtl/>
        </w:rPr>
      </w:pPr>
      <w:r>
        <w:rPr>
          <w:rFonts w:hint="cs"/>
          <w:rtl/>
        </w:rPr>
        <w:t xml:space="preserve">בשתי הקרנות הייעודיות </w:t>
      </w:r>
      <w:r w:rsidRPr="00B4219C">
        <w:rPr>
          <w:rFonts w:hint="cs"/>
          <w:rtl/>
        </w:rPr>
        <w:t>הוצעו תנאים מיטיבים לבעלי העסקים ב</w:t>
      </w:r>
      <w:r>
        <w:rPr>
          <w:rFonts w:hint="cs"/>
          <w:rtl/>
        </w:rPr>
        <w:t>השוואה</w:t>
      </w:r>
      <w:r w:rsidRPr="00B4219C">
        <w:rPr>
          <w:rFonts w:hint="cs"/>
          <w:rtl/>
        </w:rPr>
        <w:t xml:space="preserve"> לקרן </w:t>
      </w:r>
      <w:r w:rsidRPr="00B4219C">
        <w:rPr>
          <w:rFonts w:hint="eastAsia"/>
          <w:rtl/>
        </w:rPr>
        <w:t>להלוואות</w:t>
      </w:r>
      <w:r w:rsidRPr="00B4219C">
        <w:rPr>
          <w:rtl/>
        </w:rPr>
        <w:t xml:space="preserve"> בערבות מדינה לעסקים קטנים ובינוניים</w:t>
      </w:r>
      <w:r>
        <w:rPr>
          <w:rFonts w:hint="cs"/>
          <w:rtl/>
        </w:rPr>
        <w:t>,</w:t>
      </w:r>
      <w:r w:rsidRPr="00B4219C">
        <w:rPr>
          <w:rtl/>
        </w:rPr>
        <w:t xml:space="preserve"> הפועלת בשגרה </w:t>
      </w:r>
      <w:r w:rsidRPr="00B4219C">
        <w:rPr>
          <w:rFonts w:hint="eastAsia"/>
          <w:rtl/>
        </w:rPr>
        <w:t>ו</w:t>
      </w:r>
      <w:r>
        <w:rPr>
          <w:rFonts w:hint="cs"/>
          <w:rtl/>
        </w:rPr>
        <w:t xml:space="preserve">אף </w:t>
      </w:r>
      <w:r w:rsidRPr="00B4219C">
        <w:rPr>
          <w:rFonts w:hint="eastAsia"/>
          <w:rtl/>
        </w:rPr>
        <w:t>בהשוואה</w:t>
      </w:r>
      <w:r w:rsidRPr="00B4219C">
        <w:rPr>
          <w:rFonts w:hint="cs"/>
          <w:rtl/>
        </w:rPr>
        <w:t xml:space="preserve"> בי</w:t>
      </w:r>
      <w:r>
        <w:rPr>
          <w:rFonts w:hint="cs"/>
          <w:rtl/>
        </w:rPr>
        <w:t>ן-</w:t>
      </w:r>
      <w:r w:rsidRPr="00B4219C">
        <w:rPr>
          <w:rFonts w:hint="cs"/>
          <w:rtl/>
        </w:rPr>
        <w:t>לאומית</w:t>
      </w:r>
      <w:r>
        <w:rPr>
          <w:rFonts w:hint="cs"/>
          <w:rtl/>
        </w:rPr>
        <w:t>. ההטבות מתבטאות, בין השאר, בצמצום שיעור הפיקדון שנדרש להפקיד, בהגדלת ערבות המדינה בהשוואה לכל הלוואה ובקיצור זמני הטיפול בבקשות לטובת מתן מענה מהיר בעת המשבר. תרשימים 11 ו-12 להלן מציגים את תנאי ההלוואה העיקריים בשתי הקרנות, בהשוואה למדינות מפותחות נבחרות.</w:t>
      </w:r>
    </w:p>
    <w:p w:rsidR="00253C38" w:rsidP="00982BC1" w14:paraId="4C243517" w14:textId="47B76F82">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DF5110" w:rsidP="00982BC1" w14:paraId="241585DB" w14:textId="77777777">
      <w:pPr>
        <w:spacing w:line="269" w:lineRule="auto"/>
        <w:jc w:val="center"/>
        <w:rPr>
          <w:b/>
        </w:rPr>
      </w:pPr>
      <w:r w:rsidRPr="00DF5110">
        <w:rPr>
          <w:rFonts w:hint="eastAsia"/>
          <w:b/>
          <w:bCs/>
          <w:rtl/>
        </w:rPr>
        <w:t>תרשים</w:t>
      </w:r>
      <w:r w:rsidRPr="00DF5110">
        <w:rPr>
          <w:b/>
          <w:bCs/>
          <w:rtl/>
        </w:rPr>
        <w:t xml:space="preserve"> 11: </w:t>
      </w:r>
      <w:r w:rsidRPr="00DF5110">
        <w:rPr>
          <w:rFonts w:hint="eastAsia"/>
          <w:b/>
          <w:bCs/>
          <w:rtl/>
        </w:rPr>
        <w:t>תנאי</w:t>
      </w:r>
      <w:r w:rsidRPr="00DF5110">
        <w:rPr>
          <w:b/>
          <w:bCs/>
          <w:rtl/>
        </w:rPr>
        <w:t xml:space="preserve"> </w:t>
      </w:r>
      <w:r w:rsidRPr="00DF5110">
        <w:rPr>
          <w:rFonts w:hint="eastAsia"/>
          <w:b/>
          <w:bCs/>
          <w:rtl/>
        </w:rPr>
        <w:t>ההלוואה</w:t>
      </w:r>
      <w:r w:rsidRPr="00DF5110">
        <w:rPr>
          <w:b/>
          <w:bCs/>
          <w:rtl/>
        </w:rPr>
        <w:t xml:space="preserve"> </w:t>
      </w:r>
      <w:r w:rsidRPr="00DF5110">
        <w:rPr>
          <w:rFonts w:hint="eastAsia"/>
          <w:b/>
          <w:bCs/>
          <w:rtl/>
        </w:rPr>
        <w:t>בקרנות</w:t>
      </w:r>
      <w:r w:rsidRPr="00DF5110">
        <w:rPr>
          <w:b/>
          <w:bCs/>
          <w:rtl/>
        </w:rPr>
        <w:t xml:space="preserve"> </w:t>
      </w:r>
      <w:r w:rsidRPr="00DF5110">
        <w:rPr>
          <w:rFonts w:hint="eastAsia"/>
          <w:b/>
          <w:bCs/>
          <w:rtl/>
        </w:rPr>
        <w:t>הייעודיות</w:t>
      </w:r>
      <w:r w:rsidRPr="00DF5110">
        <w:rPr>
          <w:b/>
          <w:bCs/>
          <w:rtl/>
        </w:rPr>
        <w:t xml:space="preserve"> </w:t>
      </w:r>
      <w:r w:rsidRPr="00DF5110">
        <w:rPr>
          <w:rFonts w:hint="eastAsia"/>
          <w:b/>
          <w:bCs/>
          <w:rtl/>
        </w:rPr>
        <w:t>לעסקים</w:t>
      </w:r>
      <w:r w:rsidRPr="00DF5110">
        <w:rPr>
          <w:b/>
          <w:bCs/>
          <w:rtl/>
        </w:rPr>
        <w:t xml:space="preserve"> </w:t>
      </w:r>
      <w:r w:rsidRPr="00DF5110">
        <w:rPr>
          <w:rFonts w:hint="eastAsia"/>
          <w:b/>
          <w:bCs/>
          <w:rtl/>
        </w:rPr>
        <w:t>קטנים</w:t>
      </w:r>
      <w:r w:rsidRPr="00DF5110">
        <w:rPr>
          <w:b/>
          <w:bCs/>
          <w:rtl/>
        </w:rPr>
        <w:t xml:space="preserve"> </w:t>
      </w:r>
      <w:r w:rsidRPr="00DF5110">
        <w:rPr>
          <w:rFonts w:hint="eastAsia"/>
          <w:b/>
          <w:bCs/>
          <w:rtl/>
        </w:rPr>
        <w:t>ובינוניים</w:t>
      </w:r>
      <w:r w:rsidRPr="00DF5110">
        <w:rPr>
          <w:b/>
          <w:bCs/>
          <w:rtl/>
        </w:rPr>
        <w:t xml:space="preserve"> (המסלול הרגיל) ולעסקים גדולים</w:t>
      </w:r>
      <w:r w:rsidRPr="00E53887">
        <w:rPr>
          <w:b/>
          <w:bCs/>
          <w:rtl/>
        </w:rPr>
        <w:t xml:space="preserve">, </w:t>
      </w:r>
      <w:r w:rsidRPr="00E53887">
        <w:rPr>
          <w:rFonts w:hint="eastAsia"/>
          <w:b/>
          <w:bCs/>
          <w:rtl/>
        </w:rPr>
        <w:t>דצמבר</w:t>
      </w:r>
      <w:r w:rsidRPr="00E53887">
        <w:rPr>
          <w:b/>
          <w:bCs/>
          <w:rtl/>
        </w:rPr>
        <w:t xml:space="preserve"> 2020</w:t>
      </w:r>
    </w:p>
    <w:p w:rsidR="00253C38" w:rsidRPr="001E2DEB" w:rsidP="00982BC1" w14:paraId="2F57C9D9" w14:textId="5B0A20CD">
      <w:pPr>
        <w:spacing w:line="269" w:lineRule="auto"/>
        <w:ind w:left="-1559"/>
        <w:jc w:val="center"/>
        <w:rPr>
          <w:sz w:val="16"/>
          <w:szCs w:val="16"/>
        </w:rPr>
      </w:pPr>
      <w:r>
        <w:rPr>
          <w:noProof/>
        </w:rPr>
        <w:drawing>
          <wp:inline distT="0" distB="0" distL="0" distR="0">
            <wp:extent cx="7107444" cy="2369148"/>
            <wp:effectExtent l="0" t="0" r="0" b="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13932" name=""/>
                    <pic:cNvPicPr/>
                  </pic:nvPicPr>
                  <pic:blipFill>
                    <a:blip xmlns:r="http://schemas.openxmlformats.org/officeDocument/2006/relationships" r:embed="rId17"/>
                    <a:stretch>
                      <a:fillRect/>
                    </a:stretch>
                  </pic:blipFill>
                  <pic:spPr>
                    <a:xfrm>
                      <a:off x="0" y="0"/>
                      <a:ext cx="7158175" cy="2386058"/>
                    </a:xfrm>
                    <a:prstGeom prst="rect">
                      <a:avLst/>
                    </a:prstGeom>
                  </pic:spPr>
                </pic:pic>
              </a:graphicData>
            </a:graphic>
          </wp:inline>
        </w:drawing>
      </w:r>
    </w:p>
    <w:p w:rsidR="00253C38" w:rsidRPr="00982BC1" w:rsidP="00982BC1" w14:paraId="55E759B4" w14:textId="77777777">
      <w:pPr>
        <w:spacing w:line="269" w:lineRule="auto"/>
        <w:rPr>
          <w:sz w:val="22"/>
          <w:szCs w:val="22"/>
          <w:rtl/>
        </w:rPr>
      </w:pPr>
      <w:r w:rsidRPr="00982BC1">
        <w:rPr>
          <w:rFonts w:hint="cs"/>
          <w:sz w:val="22"/>
          <w:szCs w:val="22"/>
          <w:rtl/>
        </w:rPr>
        <w:t xml:space="preserve">נתוני החשכ"ל, בעיבוד משרד מבקר המדינה. </w:t>
      </w:r>
    </w:p>
    <w:p w:rsidR="00253C38" w:rsidRPr="00982BC1" w:rsidP="00982BC1" w14:paraId="2769405C" w14:textId="77777777">
      <w:pPr>
        <w:spacing w:line="269" w:lineRule="auto"/>
        <w:rPr>
          <w:sz w:val="22"/>
          <w:szCs w:val="22"/>
          <w:rtl/>
        </w:rPr>
      </w:pPr>
      <w:r w:rsidRPr="00982BC1">
        <w:rPr>
          <w:rFonts w:hint="cs"/>
          <w:sz w:val="22"/>
          <w:szCs w:val="22"/>
          <w:rtl/>
        </w:rPr>
        <w:t>*</w:t>
      </w:r>
      <w:r w:rsidRPr="00982BC1">
        <w:rPr>
          <w:sz w:val="22"/>
          <w:szCs w:val="22"/>
          <w:rtl/>
        </w:rPr>
        <w:t xml:space="preserve"> </w:t>
      </w:r>
      <w:r w:rsidRPr="00982BC1" w:rsidR="00E53887">
        <w:rPr>
          <w:rFonts w:hint="eastAsia"/>
          <w:sz w:val="22"/>
          <w:szCs w:val="22"/>
          <w:rtl/>
        </w:rPr>
        <w:t>סכום</w:t>
      </w:r>
      <w:r w:rsidRPr="00982BC1" w:rsidR="00E53887">
        <w:rPr>
          <w:sz w:val="22"/>
          <w:szCs w:val="22"/>
          <w:rtl/>
        </w:rPr>
        <w:t xml:space="preserve"> </w:t>
      </w:r>
      <w:r w:rsidRPr="00982BC1" w:rsidR="00E53887">
        <w:rPr>
          <w:rFonts w:hint="eastAsia"/>
          <w:sz w:val="22"/>
          <w:szCs w:val="22"/>
          <w:rtl/>
        </w:rPr>
        <w:t>ההלוואה</w:t>
      </w:r>
      <w:r w:rsidRPr="00982BC1" w:rsidR="00E53887">
        <w:rPr>
          <w:sz w:val="22"/>
          <w:szCs w:val="22"/>
          <w:rtl/>
        </w:rPr>
        <w:t xml:space="preserve"> </w:t>
      </w:r>
      <w:r w:rsidRPr="00982BC1" w:rsidR="00E53887">
        <w:rPr>
          <w:rFonts w:hint="eastAsia"/>
          <w:sz w:val="22"/>
          <w:szCs w:val="22"/>
          <w:rtl/>
        </w:rPr>
        <w:t>מתוך</w:t>
      </w:r>
      <w:r w:rsidRPr="00982BC1" w:rsidR="00E53887">
        <w:rPr>
          <w:sz w:val="22"/>
          <w:szCs w:val="22"/>
          <w:rtl/>
        </w:rPr>
        <w:t xml:space="preserve"> </w:t>
      </w:r>
      <w:r w:rsidRPr="00982BC1" w:rsidR="00E53887">
        <w:rPr>
          <w:rFonts w:hint="eastAsia"/>
          <w:sz w:val="22"/>
          <w:szCs w:val="22"/>
          <w:rtl/>
        </w:rPr>
        <w:t>המחזור</w:t>
      </w:r>
      <w:r w:rsidRPr="00982BC1" w:rsidR="00E53887">
        <w:rPr>
          <w:sz w:val="22"/>
          <w:szCs w:val="22"/>
          <w:rtl/>
        </w:rPr>
        <w:t xml:space="preserve"> </w:t>
      </w:r>
      <w:r w:rsidRPr="00982BC1" w:rsidR="00E53887">
        <w:rPr>
          <w:rFonts w:hint="eastAsia"/>
          <w:sz w:val="22"/>
          <w:szCs w:val="22"/>
          <w:rtl/>
        </w:rPr>
        <w:t>השנתי</w:t>
      </w:r>
      <w:r w:rsidRPr="00982BC1" w:rsidR="00E53887">
        <w:rPr>
          <w:sz w:val="22"/>
          <w:szCs w:val="22"/>
          <w:rtl/>
        </w:rPr>
        <w:t xml:space="preserve"> </w:t>
      </w:r>
      <w:r w:rsidRPr="00982BC1" w:rsidR="00E53887">
        <w:rPr>
          <w:rFonts w:hint="eastAsia"/>
          <w:sz w:val="22"/>
          <w:szCs w:val="22"/>
          <w:rtl/>
        </w:rPr>
        <w:t>המוצג</w:t>
      </w:r>
      <w:r w:rsidRPr="00982BC1" w:rsidR="00E53887">
        <w:rPr>
          <w:sz w:val="22"/>
          <w:szCs w:val="22"/>
          <w:rtl/>
        </w:rPr>
        <w:t xml:space="preserve"> </w:t>
      </w:r>
      <w:r w:rsidRPr="00982BC1" w:rsidR="00E53887">
        <w:rPr>
          <w:rFonts w:hint="eastAsia"/>
          <w:sz w:val="22"/>
          <w:szCs w:val="22"/>
          <w:rtl/>
        </w:rPr>
        <w:t>הוא</w:t>
      </w:r>
      <w:r w:rsidRPr="00982BC1" w:rsidR="00E53887">
        <w:rPr>
          <w:sz w:val="22"/>
          <w:szCs w:val="22"/>
          <w:rtl/>
        </w:rPr>
        <w:t xml:space="preserve"> </w:t>
      </w:r>
      <w:r w:rsidRPr="00982BC1" w:rsidR="00E53887">
        <w:rPr>
          <w:rFonts w:hint="eastAsia"/>
          <w:sz w:val="22"/>
          <w:szCs w:val="22"/>
          <w:rtl/>
        </w:rPr>
        <w:t>העדכני</w:t>
      </w:r>
      <w:r w:rsidRPr="00982BC1" w:rsidR="00E53887">
        <w:rPr>
          <w:sz w:val="22"/>
          <w:szCs w:val="22"/>
          <w:rtl/>
        </w:rPr>
        <w:t xml:space="preserve"> </w:t>
      </w:r>
      <w:r w:rsidRPr="00982BC1" w:rsidR="00E53887">
        <w:rPr>
          <w:rFonts w:hint="eastAsia"/>
          <w:sz w:val="22"/>
          <w:szCs w:val="22"/>
          <w:rtl/>
        </w:rPr>
        <w:t>נכון</w:t>
      </w:r>
      <w:r w:rsidRPr="00982BC1" w:rsidR="00E53887">
        <w:rPr>
          <w:sz w:val="22"/>
          <w:szCs w:val="22"/>
          <w:rtl/>
        </w:rPr>
        <w:t xml:space="preserve"> </w:t>
      </w:r>
      <w:r w:rsidRPr="00982BC1" w:rsidR="00E53887">
        <w:rPr>
          <w:rFonts w:hint="eastAsia"/>
          <w:sz w:val="22"/>
          <w:szCs w:val="22"/>
          <w:rtl/>
        </w:rPr>
        <w:t>לנובמבר</w:t>
      </w:r>
      <w:r w:rsidRPr="00982BC1" w:rsidR="00E53887">
        <w:rPr>
          <w:sz w:val="22"/>
          <w:szCs w:val="22"/>
          <w:rtl/>
        </w:rPr>
        <w:t xml:space="preserve"> 2020.</w:t>
      </w:r>
      <w:r w:rsidRPr="00982BC1" w:rsidR="00E53887">
        <w:rPr>
          <w:rFonts w:hint="cs"/>
          <w:sz w:val="22"/>
          <w:szCs w:val="22"/>
          <w:rtl/>
        </w:rPr>
        <w:t xml:space="preserve"> </w:t>
      </w:r>
      <w:r w:rsidRPr="00982BC1">
        <w:rPr>
          <w:rFonts w:hint="cs"/>
          <w:sz w:val="22"/>
          <w:szCs w:val="22"/>
          <w:rtl/>
        </w:rPr>
        <w:t>עבור חברות הייטק סכום ההלוואה 8% מן המחזור או 8% מסך ההוצאות, למעט הוצאות מימון, לפי הגבוה מבין השניים, אך לא יותר מ-100 מיליון ש"ח.</w:t>
      </w:r>
    </w:p>
    <w:p w:rsidR="00982BC1" w14:paraId="473E38D9" w14:textId="77777777">
      <w:pPr>
        <w:bidi w:val="0"/>
        <w:spacing w:after="200" w:line="276" w:lineRule="auto"/>
        <w:rPr>
          <w:szCs w:val="20"/>
        </w:rPr>
      </w:pPr>
      <w:r>
        <w:rPr>
          <w:rtl/>
        </w:rPr>
        <w:br w:type="page"/>
      </w:r>
    </w:p>
    <w:p w:rsidR="00253C38" w:rsidP="00982BC1" w14:paraId="0BD6C777" w14:textId="59F92CF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5546FE0B" w14:textId="1CB0ED7C">
      <w:pPr>
        <w:spacing w:line="269" w:lineRule="auto"/>
        <w:jc w:val="center"/>
        <w:rPr>
          <w:b/>
          <w:bCs/>
          <w:rtl/>
        </w:rPr>
      </w:pPr>
      <w:r w:rsidRPr="00DF5110">
        <w:rPr>
          <w:rFonts w:hint="eastAsia"/>
          <w:b/>
          <w:bCs/>
          <w:rtl/>
        </w:rPr>
        <w:t>תרשים</w:t>
      </w:r>
      <w:r w:rsidRPr="00DF5110">
        <w:rPr>
          <w:b/>
          <w:bCs/>
          <w:rtl/>
        </w:rPr>
        <w:t xml:space="preserve"> 12: </w:t>
      </w:r>
      <w:r w:rsidRPr="00DF5110">
        <w:rPr>
          <w:rFonts w:hint="eastAsia"/>
          <w:b/>
          <w:bCs/>
          <w:rtl/>
        </w:rPr>
        <w:t>תנאי</w:t>
      </w:r>
      <w:r w:rsidRPr="00DF5110">
        <w:rPr>
          <w:b/>
          <w:bCs/>
          <w:rtl/>
        </w:rPr>
        <w:t xml:space="preserve"> </w:t>
      </w:r>
      <w:r w:rsidRPr="00DF5110">
        <w:rPr>
          <w:rFonts w:hint="eastAsia"/>
          <w:b/>
          <w:bCs/>
          <w:rtl/>
        </w:rPr>
        <w:t>ההלוואה</w:t>
      </w:r>
      <w:r w:rsidRPr="00DF5110">
        <w:rPr>
          <w:b/>
          <w:bCs/>
          <w:rtl/>
        </w:rPr>
        <w:t xml:space="preserve"> </w:t>
      </w:r>
      <w:r w:rsidRPr="00DF5110">
        <w:rPr>
          <w:rFonts w:hint="eastAsia"/>
          <w:b/>
          <w:bCs/>
          <w:rtl/>
        </w:rPr>
        <w:t>בקרנות</w:t>
      </w:r>
      <w:r w:rsidRPr="00DF5110">
        <w:rPr>
          <w:b/>
          <w:bCs/>
          <w:rtl/>
        </w:rPr>
        <w:t xml:space="preserve"> </w:t>
      </w:r>
      <w:r w:rsidRPr="00DF5110">
        <w:rPr>
          <w:rFonts w:hint="eastAsia"/>
          <w:b/>
          <w:bCs/>
          <w:rtl/>
        </w:rPr>
        <w:t>הייעודיות</w:t>
      </w:r>
      <w:r w:rsidRPr="00DF5110">
        <w:rPr>
          <w:b/>
          <w:bCs/>
          <w:rtl/>
        </w:rPr>
        <w:t xml:space="preserve"> </w:t>
      </w:r>
      <w:r w:rsidRPr="00DF5110">
        <w:rPr>
          <w:rFonts w:hint="eastAsia"/>
          <w:b/>
          <w:bCs/>
          <w:rtl/>
        </w:rPr>
        <w:t>בהשוואה</w:t>
      </w:r>
      <w:r w:rsidRPr="00DF5110">
        <w:rPr>
          <w:b/>
          <w:bCs/>
          <w:rtl/>
        </w:rPr>
        <w:t xml:space="preserve"> </w:t>
      </w:r>
      <w:r w:rsidRPr="00DF5110">
        <w:rPr>
          <w:rFonts w:hint="eastAsia"/>
          <w:b/>
          <w:bCs/>
          <w:rtl/>
        </w:rPr>
        <w:t>למדינות</w:t>
      </w:r>
      <w:r w:rsidRPr="00DF5110">
        <w:rPr>
          <w:b/>
          <w:bCs/>
          <w:rtl/>
        </w:rPr>
        <w:t xml:space="preserve"> </w:t>
      </w:r>
      <w:r w:rsidRPr="00DF5110">
        <w:rPr>
          <w:rFonts w:hint="eastAsia"/>
          <w:b/>
          <w:bCs/>
          <w:rtl/>
        </w:rPr>
        <w:t>מפותחות</w:t>
      </w:r>
      <w:r w:rsidRPr="00DF5110">
        <w:rPr>
          <w:b/>
          <w:bCs/>
          <w:rtl/>
        </w:rPr>
        <w:t xml:space="preserve"> </w:t>
      </w:r>
      <w:r w:rsidRPr="00DF5110">
        <w:rPr>
          <w:rFonts w:hint="eastAsia"/>
          <w:b/>
          <w:bCs/>
          <w:rtl/>
        </w:rPr>
        <w:t>נבחרות</w:t>
      </w:r>
    </w:p>
    <w:p w:rsidR="00253C38" w:rsidP="00982BC1" w14:paraId="1F8CC8AF" w14:textId="77777777">
      <w:pPr>
        <w:spacing w:line="269" w:lineRule="auto"/>
        <w:ind w:left="-850"/>
        <w:jc w:val="center"/>
        <w:rPr>
          <w:rtl/>
        </w:rPr>
      </w:pPr>
      <w:r>
        <w:rPr>
          <w:noProof/>
        </w:rPr>
        <w:drawing>
          <wp:inline distT="0" distB="0" distL="0" distR="0">
            <wp:extent cx="6366139" cy="3221887"/>
            <wp:effectExtent l="0" t="0" r="0" b="0"/>
            <wp:docPr id="1743882416" name="תמונה 174388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10214" name=""/>
                    <pic:cNvPicPr/>
                  </pic:nvPicPr>
                  <pic:blipFill>
                    <a:blip xmlns:r="http://schemas.openxmlformats.org/officeDocument/2006/relationships" r:embed="rId18"/>
                    <a:stretch>
                      <a:fillRect/>
                    </a:stretch>
                  </pic:blipFill>
                  <pic:spPr>
                    <a:xfrm>
                      <a:off x="0" y="0"/>
                      <a:ext cx="6405612" cy="3241864"/>
                    </a:xfrm>
                    <a:prstGeom prst="rect">
                      <a:avLst/>
                    </a:prstGeom>
                  </pic:spPr>
                </pic:pic>
              </a:graphicData>
            </a:graphic>
          </wp:inline>
        </w:drawing>
      </w:r>
    </w:p>
    <w:p w:rsidR="00253C38" w:rsidRPr="00982BC1" w:rsidP="00982BC1" w14:paraId="76FBAF7F" w14:textId="77777777">
      <w:pPr>
        <w:spacing w:line="269" w:lineRule="auto"/>
        <w:rPr>
          <w:sz w:val="22"/>
          <w:szCs w:val="22"/>
          <w:rtl/>
        </w:rPr>
      </w:pPr>
      <w:r w:rsidRPr="00982BC1">
        <w:rPr>
          <w:rFonts w:hint="cs"/>
          <w:sz w:val="22"/>
          <w:szCs w:val="22"/>
          <w:rtl/>
        </w:rPr>
        <w:t xml:space="preserve">הכלכלן הראשי, בעיבוד משרד מבקר המדינה. </w:t>
      </w:r>
    </w:p>
    <w:p w:rsidR="00253C38" w:rsidRPr="00982BC1" w:rsidP="00982BC1" w14:paraId="308897BE" w14:textId="77777777">
      <w:pPr>
        <w:spacing w:line="269" w:lineRule="auto"/>
        <w:rPr>
          <w:sz w:val="22"/>
          <w:szCs w:val="22"/>
          <w:rtl/>
        </w:rPr>
      </w:pPr>
      <w:r w:rsidRPr="00982BC1">
        <w:rPr>
          <w:sz w:val="22"/>
          <w:szCs w:val="22"/>
          <w:rtl/>
        </w:rPr>
        <w:t xml:space="preserve">* </w:t>
      </w:r>
      <w:r w:rsidRPr="00982BC1">
        <w:rPr>
          <w:rFonts w:hint="eastAsia"/>
          <w:sz w:val="22"/>
          <w:szCs w:val="22"/>
          <w:rtl/>
        </w:rPr>
        <w:t>בישראל</w:t>
      </w:r>
      <w:r w:rsidRPr="00982BC1">
        <w:rPr>
          <w:sz w:val="22"/>
          <w:szCs w:val="22"/>
          <w:rtl/>
        </w:rPr>
        <w:t xml:space="preserve">: </w:t>
      </w:r>
      <w:r w:rsidRPr="00982BC1">
        <w:rPr>
          <w:rFonts w:hint="eastAsia"/>
          <w:sz w:val="22"/>
          <w:szCs w:val="22"/>
          <w:rtl/>
        </w:rPr>
        <w:t>הסרת</w:t>
      </w:r>
      <w:r w:rsidRPr="00982BC1">
        <w:rPr>
          <w:sz w:val="22"/>
          <w:szCs w:val="22"/>
          <w:rtl/>
        </w:rPr>
        <w:t xml:space="preserve"> </w:t>
      </w:r>
      <w:r w:rsidRPr="00982BC1">
        <w:rPr>
          <w:rFonts w:hint="eastAsia"/>
          <w:sz w:val="22"/>
          <w:szCs w:val="22"/>
          <w:rtl/>
        </w:rPr>
        <w:t>דרישה</w:t>
      </w:r>
      <w:r w:rsidRPr="00982BC1">
        <w:rPr>
          <w:sz w:val="22"/>
          <w:szCs w:val="22"/>
          <w:rtl/>
        </w:rPr>
        <w:t xml:space="preserve"> </w:t>
      </w:r>
      <w:r w:rsidRPr="00982BC1">
        <w:rPr>
          <w:rFonts w:hint="eastAsia"/>
          <w:sz w:val="22"/>
          <w:szCs w:val="22"/>
          <w:rtl/>
        </w:rPr>
        <w:t>לערבות</w:t>
      </w:r>
      <w:r w:rsidRPr="00982BC1">
        <w:rPr>
          <w:sz w:val="22"/>
          <w:szCs w:val="22"/>
          <w:rtl/>
        </w:rPr>
        <w:t xml:space="preserve"> </w:t>
      </w:r>
      <w:r w:rsidRPr="00982BC1">
        <w:rPr>
          <w:rFonts w:hint="eastAsia"/>
          <w:sz w:val="22"/>
          <w:szCs w:val="22"/>
          <w:rtl/>
        </w:rPr>
        <w:t>אישית</w:t>
      </w:r>
      <w:r w:rsidRPr="00982BC1">
        <w:rPr>
          <w:sz w:val="22"/>
          <w:szCs w:val="22"/>
          <w:rtl/>
        </w:rPr>
        <w:t xml:space="preserve"> </w:t>
      </w:r>
      <w:r w:rsidRPr="00982BC1">
        <w:rPr>
          <w:rFonts w:hint="eastAsia"/>
          <w:sz w:val="22"/>
          <w:szCs w:val="22"/>
          <w:rtl/>
        </w:rPr>
        <w:t>במסלול</w:t>
      </w:r>
      <w:r w:rsidRPr="00982BC1">
        <w:rPr>
          <w:sz w:val="22"/>
          <w:szCs w:val="22"/>
          <w:rtl/>
        </w:rPr>
        <w:t xml:space="preserve"> </w:t>
      </w:r>
      <w:r w:rsidRPr="00982BC1">
        <w:rPr>
          <w:rFonts w:hint="eastAsia"/>
          <w:sz w:val="22"/>
          <w:szCs w:val="22"/>
          <w:rtl/>
        </w:rPr>
        <w:t>ייעודי</w:t>
      </w:r>
      <w:r w:rsidRPr="00982BC1">
        <w:rPr>
          <w:sz w:val="22"/>
          <w:szCs w:val="22"/>
          <w:rtl/>
        </w:rPr>
        <w:t xml:space="preserve"> </w:t>
      </w:r>
      <w:r w:rsidRPr="00982BC1">
        <w:rPr>
          <w:rFonts w:hint="eastAsia"/>
          <w:sz w:val="22"/>
          <w:szCs w:val="22"/>
          <w:rtl/>
        </w:rPr>
        <w:t>לעמותות</w:t>
      </w:r>
      <w:r w:rsidRPr="00982BC1">
        <w:rPr>
          <w:sz w:val="22"/>
          <w:szCs w:val="22"/>
          <w:rtl/>
        </w:rPr>
        <w:t xml:space="preserve"> </w:t>
      </w:r>
      <w:r w:rsidRPr="00982BC1">
        <w:rPr>
          <w:rFonts w:hint="eastAsia"/>
          <w:sz w:val="22"/>
          <w:szCs w:val="22"/>
          <w:rtl/>
        </w:rPr>
        <w:t>חברתיות</w:t>
      </w:r>
      <w:r w:rsidRPr="00982BC1">
        <w:rPr>
          <w:sz w:val="22"/>
          <w:szCs w:val="22"/>
          <w:rtl/>
        </w:rPr>
        <w:t>.</w:t>
      </w:r>
    </w:p>
    <w:p w:rsidR="00253C38" w:rsidRPr="00982BC1" w:rsidP="00982BC1" w14:paraId="03323090" w14:textId="77777777">
      <w:pPr>
        <w:spacing w:line="269" w:lineRule="auto"/>
        <w:rPr>
          <w:sz w:val="22"/>
          <w:szCs w:val="22"/>
          <w:rtl/>
        </w:rPr>
      </w:pPr>
      <w:r w:rsidRPr="00982BC1">
        <w:rPr>
          <w:sz w:val="22"/>
          <w:szCs w:val="22"/>
          <w:rtl/>
        </w:rPr>
        <w:t xml:space="preserve">** </w:t>
      </w:r>
      <w:r w:rsidRPr="00982BC1">
        <w:rPr>
          <w:sz w:val="22"/>
          <w:szCs w:val="28"/>
        </w:rPr>
        <w:t>EDIL</w:t>
      </w:r>
      <w:r w:rsidRPr="00982BC1">
        <w:rPr>
          <w:sz w:val="22"/>
          <w:szCs w:val="22"/>
          <w:rtl/>
        </w:rPr>
        <w:t xml:space="preserve"> - </w:t>
      </w:r>
      <w:r w:rsidRPr="00982BC1">
        <w:rPr>
          <w:sz w:val="22"/>
          <w:szCs w:val="28"/>
        </w:rPr>
        <w:t>Economic Injury Disaster Loan</w:t>
      </w:r>
      <w:r w:rsidRPr="00982BC1">
        <w:rPr>
          <w:sz w:val="22"/>
          <w:szCs w:val="22"/>
          <w:rtl/>
        </w:rPr>
        <w:t xml:space="preserve">, </w:t>
      </w:r>
      <w:r w:rsidRPr="00982BC1">
        <w:rPr>
          <w:rFonts w:hint="eastAsia"/>
          <w:sz w:val="22"/>
          <w:szCs w:val="22"/>
          <w:rtl/>
        </w:rPr>
        <w:t>הלוואות</w:t>
      </w:r>
      <w:r w:rsidRPr="00982BC1">
        <w:rPr>
          <w:sz w:val="22"/>
          <w:szCs w:val="22"/>
          <w:rtl/>
        </w:rPr>
        <w:t xml:space="preserve"> </w:t>
      </w:r>
      <w:r w:rsidRPr="00982BC1">
        <w:rPr>
          <w:rFonts w:hint="eastAsia"/>
          <w:sz w:val="22"/>
          <w:szCs w:val="22"/>
          <w:rtl/>
        </w:rPr>
        <w:t>בערבות</w:t>
      </w:r>
      <w:r w:rsidRPr="00982BC1">
        <w:rPr>
          <w:sz w:val="22"/>
          <w:szCs w:val="22"/>
          <w:rtl/>
        </w:rPr>
        <w:t xml:space="preserve"> </w:t>
      </w:r>
      <w:r w:rsidRPr="00982BC1">
        <w:rPr>
          <w:rFonts w:hint="eastAsia"/>
          <w:sz w:val="22"/>
          <w:szCs w:val="22"/>
          <w:rtl/>
        </w:rPr>
        <w:t>מדינה</w:t>
      </w:r>
      <w:r w:rsidRPr="00982BC1">
        <w:rPr>
          <w:sz w:val="22"/>
          <w:szCs w:val="22"/>
          <w:rtl/>
        </w:rPr>
        <w:t xml:space="preserve"> </w:t>
      </w:r>
      <w:r w:rsidRPr="00982BC1">
        <w:rPr>
          <w:rFonts w:hint="eastAsia"/>
          <w:sz w:val="22"/>
          <w:szCs w:val="22"/>
          <w:rtl/>
        </w:rPr>
        <w:t>שנועדו</w:t>
      </w:r>
      <w:r w:rsidRPr="00982BC1">
        <w:rPr>
          <w:sz w:val="22"/>
          <w:szCs w:val="22"/>
          <w:rtl/>
        </w:rPr>
        <w:t xml:space="preserve"> </w:t>
      </w:r>
      <w:r w:rsidRPr="00982BC1">
        <w:rPr>
          <w:rFonts w:hint="eastAsia"/>
          <w:sz w:val="22"/>
          <w:szCs w:val="22"/>
          <w:rtl/>
        </w:rPr>
        <w:t>לתמוך</w:t>
      </w:r>
      <w:r w:rsidRPr="00982BC1">
        <w:rPr>
          <w:sz w:val="22"/>
          <w:szCs w:val="22"/>
          <w:rtl/>
        </w:rPr>
        <w:t xml:space="preserve"> </w:t>
      </w:r>
      <w:r w:rsidRPr="00982BC1">
        <w:rPr>
          <w:rFonts w:hint="eastAsia"/>
          <w:sz w:val="22"/>
          <w:szCs w:val="22"/>
          <w:rtl/>
        </w:rPr>
        <w:t>בעסקים</w:t>
      </w:r>
      <w:r w:rsidRPr="00982BC1">
        <w:rPr>
          <w:sz w:val="22"/>
          <w:szCs w:val="22"/>
          <w:rtl/>
        </w:rPr>
        <w:t xml:space="preserve"> </w:t>
      </w:r>
      <w:r w:rsidRPr="00982BC1">
        <w:rPr>
          <w:rFonts w:hint="eastAsia"/>
          <w:sz w:val="22"/>
          <w:szCs w:val="22"/>
          <w:rtl/>
        </w:rPr>
        <w:t>קטנים</w:t>
      </w:r>
      <w:r w:rsidRPr="00982BC1">
        <w:rPr>
          <w:sz w:val="22"/>
          <w:szCs w:val="22"/>
          <w:rtl/>
        </w:rPr>
        <w:t>.</w:t>
      </w:r>
    </w:p>
    <w:p w:rsidR="00253C38" w:rsidRPr="00982BC1" w:rsidP="00982BC1" w14:paraId="377DC44D" w14:textId="77777777">
      <w:pPr>
        <w:spacing w:line="269" w:lineRule="auto"/>
        <w:rPr>
          <w:sz w:val="22"/>
          <w:szCs w:val="22"/>
          <w:rtl/>
        </w:rPr>
      </w:pPr>
      <w:r w:rsidRPr="00982BC1">
        <w:rPr>
          <w:sz w:val="22"/>
          <w:szCs w:val="22"/>
          <w:rtl/>
        </w:rPr>
        <w:t xml:space="preserve">*** </w:t>
      </w:r>
      <w:r w:rsidRPr="00982BC1">
        <w:rPr>
          <w:sz w:val="22"/>
          <w:szCs w:val="28"/>
        </w:rPr>
        <w:t>PPP</w:t>
      </w:r>
      <w:r w:rsidRPr="00982BC1">
        <w:rPr>
          <w:sz w:val="22"/>
          <w:szCs w:val="22"/>
          <w:rtl/>
        </w:rPr>
        <w:t xml:space="preserve"> - </w:t>
      </w:r>
      <w:r w:rsidRPr="00982BC1">
        <w:rPr>
          <w:sz w:val="22"/>
          <w:szCs w:val="28"/>
        </w:rPr>
        <w:t>Paycheck Protection Program</w:t>
      </w:r>
      <w:r w:rsidRPr="00982BC1">
        <w:rPr>
          <w:sz w:val="22"/>
          <w:szCs w:val="22"/>
          <w:rtl/>
        </w:rPr>
        <w:t xml:space="preserve">, </w:t>
      </w:r>
      <w:r w:rsidRPr="00982BC1">
        <w:rPr>
          <w:rFonts w:hint="eastAsia"/>
          <w:sz w:val="22"/>
          <w:szCs w:val="22"/>
          <w:rtl/>
        </w:rPr>
        <w:t>הלוואות</w:t>
      </w:r>
      <w:r w:rsidRPr="00982BC1">
        <w:rPr>
          <w:sz w:val="22"/>
          <w:szCs w:val="22"/>
          <w:rtl/>
        </w:rPr>
        <w:t xml:space="preserve"> </w:t>
      </w:r>
      <w:r w:rsidRPr="00982BC1">
        <w:rPr>
          <w:rFonts w:hint="eastAsia"/>
          <w:sz w:val="22"/>
          <w:szCs w:val="22"/>
          <w:rtl/>
        </w:rPr>
        <w:t>בערבות</w:t>
      </w:r>
      <w:r w:rsidRPr="00982BC1">
        <w:rPr>
          <w:sz w:val="22"/>
          <w:szCs w:val="22"/>
          <w:rtl/>
        </w:rPr>
        <w:t xml:space="preserve"> </w:t>
      </w:r>
      <w:r w:rsidRPr="00982BC1">
        <w:rPr>
          <w:rFonts w:hint="eastAsia"/>
          <w:sz w:val="22"/>
          <w:szCs w:val="22"/>
          <w:rtl/>
        </w:rPr>
        <w:t>מדינה</w:t>
      </w:r>
      <w:r w:rsidRPr="00982BC1">
        <w:rPr>
          <w:sz w:val="22"/>
          <w:szCs w:val="22"/>
          <w:rtl/>
        </w:rPr>
        <w:t xml:space="preserve"> </w:t>
      </w:r>
      <w:r w:rsidRPr="00982BC1">
        <w:rPr>
          <w:rFonts w:hint="eastAsia"/>
          <w:sz w:val="22"/>
          <w:szCs w:val="22"/>
          <w:rtl/>
        </w:rPr>
        <w:t>שנועדו</w:t>
      </w:r>
      <w:r w:rsidRPr="00982BC1">
        <w:rPr>
          <w:sz w:val="22"/>
          <w:szCs w:val="22"/>
          <w:rtl/>
        </w:rPr>
        <w:t xml:space="preserve"> </w:t>
      </w:r>
      <w:r w:rsidRPr="00982BC1">
        <w:rPr>
          <w:rFonts w:hint="eastAsia"/>
          <w:sz w:val="22"/>
          <w:szCs w:val="22"/>
          <w:rtl/>
        </w:rPr>
        <w:t>לתמוך</w:t>
      </w:r>
      <w:r w:rsidRPr="00982BC1">
        <w:rPr>
          <w:sz w:val="22"/>
          <w:szCs w:val="22"/>
          <w:rtl/>
        </w:rPr>
        <w:t xml:space="preserve"> </w:t>
      </w:r>
      <w:r w:rsidRPr="00982BC1">
        <w:rPr>
          <w:rFonts w:hint="eastAsia"/>
          <w:sz w:val="22"/>
          <w:szCs w:val="22"/>
          <w:rtl/>
        </w:rPr>
        <w:t>בעסקים</w:t>
      </w:r>
      <w:r w:rsidRPr="00982BC1">
        <w:rPr>
          <w:sz w:val="22"/>
          <w:szCs w:val="22"/>
          <w:rtl/>
        </w:rPr>
        <w:t xml:space="preserve"> </w:t>
      </w:r>
      <w:r w:rsidRPr="00982BC1">
        <w:rPr>
          <w:rFonts w:hint="eastAsia"/>
          <w:sz w:val="22"/>
          <w:szCs w:val="22"/>
          <w:rtl/>
        </w:rPr>
        <w:t>קטנים</w:t>
      </w:r>
      <w:r w:rsidRPr="00982BC1">
        <w:rPr>
          <w:sz w:val="22"/>
          <w:szCs w:val="22"/>
          <w:rtl/>
        </w:rPr>
        <w:t xml:space="preserve"> </w:t>
      </w:r>
      <w:r w:rsidRPr="00982BC1">
        <w:rPr>
          <w:rFonts w:hint="eastAsia"/>
          <w:sz w:val="22"/>
          <w:szCs w:val="22"/>
          <w:rtl/>
        </w:rPr>
        <w:t>באמצעות</w:t>
      </w:r>
      <w:r w:rsidRPr="00982BC1">
        <w:rPr>
          <w:sz w:val="22"/>
          <w:szCs w:val="22"/>
          <w:rtl/>
        </w:rPr>
        <w:t xml:space="preserve"> </w:t>
      </w:r>
      <w:r w:rsidRPr="00982BC1">
        <w:rPr>
          <w:rFonts w:hint="eastAsia"/>
          <w:sz w:val="22"/>
          <w:szCs w:val="22"/>
          <w:rtl/>
        </w:rPr>
        <w:t>סיוע</w:t>
      </w:r>
      <w:r w:rsidRPr="00982BC1">
        <w:rPr>
          <w:sz w:val="22"/>
          <w:szCs w:val="22"/>
          <w:rtl/>
        </w:rPr>
        <w:t xml:space="preserve"> </w:t>
      </w:r>
      <w:r w:rsidRPr="00982BC1">
        <w:rPr>
          <w:rFonts w:hint="eastAsia"/>
          <w:sz w:val="22"/>
          <w:szCs w:val="22"/>
          <w:rtl/>
        </w:rPr>
        <w:t>בהעסקת</w:t>
      </w:r>
      <w:r w:rsidRPr="00982BC1">
        <w:rPr>
          <w:sz w:val="22"/>
          <w:szCs w:val="22"/>
          <w:rtl/>
        </w:rPr>
        <w:t xml:space="preserve"> </w:t>
      </w:r>
      <w:r w:rsidRPr="00982BC1">
        <w:rPr>
          <w:rFonts w:hint="eastAsia"/>
          <w:sz w:val="22"/>
          <w:szCs w:val="22"/>
          <w:rtl/>
        </w:rPr>
        <w:t>עובדים</w:t>
      </w:r>
      <w:r w:rsidRPr="00982BC1">
        <w:rPr>
          <w:sz w:val="22"/>
          <w:szCs w:val="22"/>
          <w:rtl/>
        </w:rPr>
        <w:t xml:space="preserve"> </w:t>
      </w:r>
      <w:r w:rsidRPr="00982BC1">
        <w:rPr>
          <w:rFonts w:hint="eastAsia"/>
          <w:sz w:val="22"/>
          <w:szCs w:val="22"/>
          <w:rtl/>
        </w:rPr>
        <w:t>במהלך</w:t>
      </w:r>
      <w:r w:rsidRPr="00982BC1">
        <w:rPr>
          <w:sz w:val="22"/>
          <w:szCs w:val="22"/>
          <w:rtl/>
        </w:rPr>
        <w:t xml:space="preserve"> </w:t>
      </w:r>
      <w:r w:rsidRPr="00982BC1">
        <w:rPr>
          <w:rFonts w:hint="eastAsia"/>
          <w:sz w:val="22"/>
          <w:szCs w:val="22"/>
          <w:rtl/>
        </w:rPr>
        <w:t>המשבר</w:t>
      </w:r>
      <w:r w:rsidRPr="00982BC1">
        <w:rPr>
          <w:sz w:val="22"/>
          <w:szCs w:val="22"/>
          <w:rtl/>
        </w:rPr>
        <w:t>.</w:t>
      </w:r>
    </w:p>
    <w:p w:rsidR="00253C38" w:rsidP="00982BC1" w14:paraId="6EE09C75" w14:textId="5CA8DED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4E4D2A" w:rsidP="00982BC1" w14:paraId="39DF2738" w14:textId="77777777">
      <w:pPr>
        <w:spacing w:line="269" w:lineRule="auto"/>
        <w:rPr>
          <w:b/>
          <w:bCs/>
          <w:rtl/>
        </w:rPr>
      </w:pPr>
      <w:r w:rsidRPr="004E4D2A">
        <w:rPr>
          <w:rFonts w:hint="cs"/>
          <w:b/>
          <w:bCs/>
          <w:rtl/>
        </w:rPr>
        <w:t xml:space="preserve">מתרשימים 11 ו-12 עולה כי היקף ההטבות שהוצעו בקרנות </w:t>
      </w:r>
      <w:r w:rsidRPr="00AD47FF">
        <w:rPr>
          <w:rFonts w:hint="cs"/>
          <w:b/>
          <w:bCs/>
          <w:rtl/>
        </w:rPr>
        <w:t>הייעודיות בישראל גדול</w:t>
      </w:r>
      <w:r w:rsidRPr="004E4D2A">
        <w:rPr>
          <w:rFonts w:hint="cs"/>
          <w:b/>
          <w:bCs/>
          <w:rtl/>
        </w:rPr>
        <w:t xml:space="preserve"> בהשוואה למדינות מפותחות.</w:t>
      </w:r>
    </w:p>
    <w:p w:rsidR="00253C38" w:rsidP="00982BC1" w14:paraId="40F06CC8" w14:textId="7677669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289FB89" w14:textId="77777777">
      <w:pPr>
        <w:spacing w:line="269" w:lineRule="auto"/>
        <w:rPr>
          <w:rtl/>
        </w:rPr>
      </w:pPr>
      <w:r>
        <w:rPr>
          <w:rFonts w:hint="cs"/>
          <w:rtl/>
        </w:rPr>
        <w:t xml:space="preserve">מניתוח שערך משרד האוצר </w:t>
      </w:r>
      <w:r w:rsidRPr="00E53887">
        <w:rPr>
          <w:rFonts w:hint="cs"/>
          <w:rtl/>
        </w:rPr>
        <w:t xml:space="preserve">לבקשות שהוגשו לקרן הייעודית לעסקים קטנים ובינוניים נמצאו עסקים שלא קיבלו מענה באמצעותה, לנוכח רמת הסיכון הגבוהה שאפיינה את פעילותם והקשיים שליוו את החזרתם לפעילות שוטפת. משכך, משרד האוצר פנה ביום </w:t>
      </w:r>
      <w:r w:rsidRPr="00E53887">
        <w:rPr>
          <w:rtl/>
        </w:rPr>
        <w:t>2.6.20</w:t>
      </w:r>
      <w:r w:rsidRPr="00E53887">
        <w:rPr>
          <w:rFonts w:hint="cs"/>
          <w:rtl/>
        </w:rPr>
        <w:t xml:space="preserve"> לוועדת הכספים בבקשה להקצות ערבויות מדינה נוספות לטובת הקמת </w:t>
      </w:r>
      <w:r w:rsidRPr="00E53887">
        <w:rPr>
          <w:rFonts w:hint="eastAsia"/>
          <w:rtl/>
        </w:rPr>
        <w:t>מסלול</w:t>
      </w:r>
      <w:r w:rsidRPr="00E53887">
        <w:rPr>
          <w:rtl/>
        </w:rPr>
        <w:t xml:space="preserve"> </w:t>
      </w:r>
      <w:r w:rsidRPr="00E53887">
        <w:rPr>
          <w:rFonts w:hint="eastAsia"/>
          <w:rtl/>
        </w:rPr>
        <w:t>הלוואות</w:t>
      </w:r>
      <w:r w:rsidRPr="00E53887">
        <w:rPr>
          <w:rtl/>
        </w:rPr>
        <w:t xml:space="preserve"> </w:t>
      </w:r>
      <w:r w:rsidRPr="00E53887">
        <w:rPr>
          <w:rFonts w:hint="eastAsia"/>
          <w:rtl/>
        </w:rPr>
        <w:t>לעסקים</w:t>
      </w:r>
      <w:r w:rsidRPr="00E53887">
        <w:rPr>
          <w:rtl/>
        </w:rPr>
        <w:t xml:space="preserve"> </w:t>
      </w:r>
      <w:r w:rsidRPr="00E53887">
        <w:rPr>
          <w:rFonts w:hint="eastAsia"/>
          <w:rtl/>
        </w:rPr>
        <w:t>בסיכון</w:t>
      </w:r>
      <w:r w:rsidRPr="00E53887">
        <w:rPr>
          <w:rtl/>
        </w:rPr>
        <w:t xml:space="preserve"> </w:t>
      </w:r>
      <w:r w:rsidRPr="00E53887">
        <w:rPr>
          <w:rFonts w:hint="eastAsia"/>
          <w:rtl/>
        </w:rPr>
        <w:t>מוגבר</w:t>
      </w:r>
      <w:r w:rsidRPr="00E53887">
        <w:rPr>
          <w:rtl/>
        </w:rPr>
        <w:t xml:space="preserve"> </w:t>
      </w:r>
      <w:r w:rsidRPr="00E53887">
        <w:rPr>
          <w:rFonts w:hint="eastAsia"/>
          <w:rtl/>
        </w:rPr>
        <w:t>בתוך</w:t>
      </w:r>
      <w:r w:rsidRPr="00E53887">
        <w:rPr>
          <w:rtl/>
        </w:rPr>
        <w:t xml:space="preserve"> </w:t>
      </w:r>
      <w:r w:rsidRPr="00E53887">
        <w:rPr>
          <w:rFonts w:hint="eastAsia"/>
          <w:rtl/>
        </w:rPr>
        <w:t>הקרן</w:t>
      </w:r>
      <w:r w:rsidRPr="00E53887">
        <w:rPr>
          <w:rtl/>
        </w:rPr>
        <w:t xml:space="preserve"> </w:t>
      </w:r>
      <w:r w:rsidRPr="00E53887">
        <w:rPr>
          <w:rFonts w:hint="eastAsia"/>
          <w:rtl/>
        </w:rPr>
        <w:t>הייעודית</w:t>
      </w:r>
      <w:r w:rsidRPr="00E53887">
        <w:rPr>
          <w:rtl/>
        </w:rPr>
        <w:t xml:space="preserve"> </w:t>
      </w:r>
      <w:r w:rsidRPr="00E53887">
        <w:rPr>
          <w:rFonts w:hint="eastAsia"/>
          <w:rtl/>
        </w:rPr>
        <w:t>לעסקים</w:t>
      </w:r>
      <w:r w:rsidRPr="00E53887">
        <w:rPr>
          <w:rtl/>
        </w:rPr>
        <w:t xml:space="preserve"> </w:t>
      </w:r>
      <w:r w:rsidRPr="00E53887">
        <w:rPr>
          <w:rFonts w:hint="eastAsia"/>
          <w:rtl/>
        </w:rPr>
        <w:t>קטנים</w:t>
      </w:r>
      <w:r w:rsidRPr="00E53887">
        <w:rPr>
          <w:rtl/>
        </w:rPr>
        <w:t xml:space="preserve"> </w:t>
      </w:r>
      <w:r w:rsidRPr="00E53887">
        <w:rPr>
          <w:rFonts w:hint="eastAsia"/>
          <w:rtl/>
        </w:rPr>
        <w:t>ובינוניים</w:t>
      </w:r>
      <w:r w:rsidRPr="00E53887">
        <w:rPr>
          <w:rtl/>
        </w:rPr>
        <w:t xml:space="preserve"> (המסלול </w:t>
      </w:r>
      <w:r w:rsidRPr="00E53887">
        <w:rPr>
          <w:rFonts w:hint="eastAsia"/>
          <w:rtl/>
        </w:rPr>
        <w:t>המוגבר</w:t>
      </w:r>
      <w:r w:rsidRPr="00E53887">
        <w:rPr>
          <w:rtl/>
        </w:rPr>
        <w:t>)</w:t>
      </w:r>
      <w:r w:rsidRPr="00E53887">
        <w:rPr>
          <w:rFonts w:hint="cs"/>
          <w:rtl/>
        </w:rPr>
        <w:t xml:space="preserve">. </w:t>
      </w:r>
      <w:r w:rsidRPr="00E53887">
        <w:rPr>
          <w:rFonts w:hint="cs"/>
          <w:sz w:val="24"/>
          <w:rtl/>
        </w:rPr>
        <w:t xml:space="preserve">ביום </w:t>
      </w:r>
      <w:r w:rsidRPr="00E53887">
        <w:rPr>
          <w:sz w:val="24"/>
          <w:rtl/>
        </w:rPr>
        <w:t>17.6.20</w:t>
      </w:r>
      <w:r w:rsidRPr="00E53887">
        <w:rPr>
          <w:rFonts w:hint="cs"/>
          <w:sz w:val="24"/>
          <w:rtl/>
        </w:rPr>
        <w:t xml:space="preserve"> ניתן אישור ועדת הכספים להקצאת ערבות מדינה בסך של 2.4 מיליארד ש"ח לטובת הקמת המסלול המוגבר בשיעור ערבות של 60% מסך התיק </w:t>
      </w:r>
      <w:r w:rsidRPr="00E53887">
        <w:rPr>
          <w:rFonts w:hint="cs"/>
          <w:rtl/>
        </w:rPr>
        <w:t>ובהיקף הלוואות בסך 4 מיליארד ש"ח. העמדת הלוואה במסלול זה הותנתה בהוכחת פגיעה במחז</w:t>
      </w:r>
      <w:r>
        <w:rPr>
          <w:rFonts w:hint="cs"/>
          <w:rtl/>
        </w:rPr>
        <w:t xml:space="preserve">ור הפעילות של 50% לפחות בתקופת המשבר בהשוואה לתקופה המקבילה בשנה הקודמת. </w:t>
      </w:r>
    </w:p>
    <w:p w:rsidR="00253C38" w:rsidP="00982BC1" w14:paraId="6283B087" w14:textId="75955B4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A426A7" w:rsidP="00982BC1" w14:paraId="71180B40" w14:textId="77777777">
      <w:pPr>
        <w:spacing w:line="269" w:lineRule="auto"/>
        <w:rPr>
          <w:rtl/>
        </w:rPr>
      </w:pPr>
      <w:r>
        <w:rPr>
          <w:rFonts w:hint="cs"/>
          <w:rtl/>
        </w:rPr>
        <w:t>תרשים 13 להלן מציג את לוח הזמנים שבמסגרתו התקבלו ההחלטות על הקמת הקרנות הייעודיות והשינויים שבוצעו בהן.</w:t>
      </w:r>
    </w:p>
    <w:p w:rsidR="00982BC1" w14:paraId="653B268A" w14:textId="77777777">
      <w:pPr>
        <w:bidi w:val="0"/>
        <w:spacing w:after="200" w:line="276" w:lineRule="auto"/>
        <w:rPr>
          <w:szCs w:val="20"/>
          <w:rtl/>
        </w:rPr>
      </w:pPr>
      <w:r>
        <w:rPr>
          <w:rtl/>
        </w:rPr>
        <w:br w:type="page"/>
      </w:r>
    </w:p>
    <w:p w:rsidR="00253C38" w:rsidP="00982BC1" w14:paraId="427478C8" w14:textId="58EF090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74C67365" w14:textId="77777777">
      <w:pPr>
        <w:spacing w:line="269" w:lineRule="auto"/>
        <w:jc w:val="center"/>
        <w:rPr>
          <w:b/>
          <w:bCs/>
          <w:rtl/>
        </w:rPr>
      </w:pPr>
      <w:r w:rsidRPr="00DF5110">
        <w:rPr>
          <w:rFonts w:hint="eastAsia"/>
          <w:b/>
          <w:bCs/>
          <w:rtl/>
        </w:rPr>
        <w:t>תרשים</w:t>
      </w:r>
      <w:r w:rsidRPr="00DF5110">
        <w:rPr>
          <w:b/>
          <w:bCs/>
          <w:rtl/>
        </w:rPr>
        <w:t xml:space="preserve"> 13: </w:t>
      </w:r>
      <w:r w:rsidRPr="00DF5110">
        <w:rPr>
          <w:rFonts w:hint="eastAsia"/>
          <w:b/>
          <w:bCs/>
          <w:rtl/>
        </w:rPr>
        <w:t>לוח</w:t>
      </w:r>
      <w:r w:rsidRPr="00DF5110">
        <w:rPr>
          <w:b/>
          <w:bCs/>
          <w:rtl/>
        </w:rPr>
        <w:t xml:space="preserve"> </w:t>
      </w:r>
      <w:r w:rsidRPr="00DF5110">
        <w:rPr>
          <w:rFonts w:hint="eastAsia"/>
          <w:b/>
          <w:bCs/>
          <w:rtl/>
        </w:rPr>
        <w:t>הזמנים</w:t>
      </w:r>
      <w:r w:rsidRPr="00DF5110">
        <w:rPr>
          <w:b/>
          <w:bCs/>
          <w:rtl/>
        </w:rPr>
        <w:t xml:space="preserve"> </w:t>
      </w:r>
      <w:r w:rsidRPr="00DF5110">
        <w:rPr>
          <w:rFonts w:hint="eastAsia"/>
          <w:b/>
          <w:bCs/>
          <w:rtl/>
        </w:rPr>
        <w:t>להקמת</w:t>
      </w:r>
      <w:r w:rsidRPr="00DF5110">
        <w:rPr>
          <w:b/>
          <w:bCs/>
          <w:rtl/>
        </w:rPr>
        <w:t xml:space="preserve"> </w:t>
      </w:r>
      <w:r w:rsidRPr="00DF5110">
        <w:rPr>
          <w:rFonts w:hint="eastAsia"/>
          <w:b/>
          <w:bCs/>
          <w:rtl/>
        </w:rPr>
        <w:t>הקרנות</w:t>
      </w:r>
      <w:r w:rsidRPr="00DF5110">
        <w:rPr>
          <w:b/>
          <w:bCs/>
          <w:rtl/>
        </w:rPr>
        <w:t xml:space="preserve"> </w:t>
      </w:r>
      <w:r w:rsidRPr="00DF5110">
        <w:rPr>
          <w:rFonts w:hint="eastAsia"/>
          <w:b/>
          <w:bCs/>
          <w:rtl/>
        </w:rPr>
        <w:t>הייעודיות</w:t>
      </w:r>
      <w:r w:rsidRPr="00DF5110">
        <w:rPr>
          <w:b/>
          <w:bCs/>
          <w:rtl/>
        </w:rPr>
        <w:t xml:space="preserve"> </w:t>
      </w:r>
      <w:r w:rsidRPr="00DF5110">
        <w:rPr>
          <w:rFonts w:hint="eastAsia"/>
          <w:b/>
          <w:bCs/>
          <w:rtl/>
        </w:rPr>
        <w:t>והשינויים</w:t>
      </w:r>
      <w:r w:rsidRPr="00DF5110">
        <w:rPr>
          <w:b/>
          <w:bCs/>
          <w:rtl/>
        </w:rPr>
        <w:t xml:space="preserve"> </w:t>
      </w:r>
      <w:r w:rsidRPr="00DF5110">
        <w:rPr>
          <w:rFonts w:hint="eastAsia"/>
          <w:b/>
          <w:bCs/>
          <w:rtl/>
        </w:rPr>
        <w:t>שבוצעו</w:t>
      </w:r>
      <w:r w:rsidRPr="00DF5110">
        <w:rPr>
          <w:b/>
          <w:bCs/>
          <w:rtl/>
        </w:rPr>
        <w:t xml:space="preserve"> </w:t>
      </w:r>
      <w:r w:rsidRPr="00DF5110">
        <w:rPr>
          <w:rFonts w:hint="eastAsia"/>
          <w:b/>
          <w:bCs/>
          <w:rtl/>
        </w:rPr>
        <w:t>בהן</w:t>
      </w:r>
      <w:r w:rsidRPr="00FB72AB">
        <w:rPr>
          <w:b/>
          <w:bCs/>
          <w:rtl/>
        </w:rPr>
        <w:t>, 2020</w:t>
      </w:r>
    </w:p>
    <w:p w:rsidR="00253C38" w:rsidP="00982BC1" w14:paraId="7C45E23F" w14:textId="77777777">
      <w:pPr>
        <w:spacing w:line="269" w:lineRule="auto"/>
        <w:ind w:left="-1559"/>
        <w:jc w:val="center"/>
        <w:rPr>
          <w:rtl/>
        </w:rPr>
      </w:pPr>
      <w:r>
        <w:rPr>
          <w:noProof/>
        </w:rPr>
        <w:drawing>
          <wp:inline distT="0" distB="0" distL="0" distR="0">
            <wp:extent cx="7181850" cy="4811943"/>
            <wp:effectExtent l="0" t="0" r="0" b="8255"/>
            <wp:docPr id="1743882417" name="תמונה 174388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83125" name=""/>
                    <pic:cNvPicPr/>
                  </pic:nvPicPr>
                  <pic:blipFill>
                    <a:blip xmlns:r="http://schemas.openxmlformats.org/officeDocument/2006/relationships" r:embed="rId19"/>
                    <a:stretch>
                      <a:fillRect/>
                    </a:stretch>
                  </pic:blipFill>
                  <pic:spPr>
                    <a:xfrm>
                      <a:off x="0" y="0"/>
                      <a:ext cx="7210277" cy="4830989"/>
                    </a:xfrm>
                    <a:prstGeom prst="rect">
                      <a:avLst/>
                    </a:prstGeom>
                  </pic:spPr>
                </pic:pic>
              </a:graphicData>
            </a:graphic>
          </wp:inline>
        </w:drawing>
      </w:r>
    </w:p>
    <w:p w:rsidR="00253C38" w:rsidRPr="00982BC1" w:rsidP="00982BC1" w14:paraId="20059522" w14:textId="77777777">
      <w:pPr>
        <w:spacing w:line="269" w:lineRule="auto"/>
        <w:rPr>
          <w:sz w:val="22"/>
          <w:szCs w:val="22"/>
          <w:rtl/>
        </w:rPr>
      </w:pPr>
      <w:r w:rsidRPr="00982BC1">
        <w:rPr>
          <w:rFonts w:hint="cs"/>
          <w:sz w:val="22"/>
          <w:szCs w:val="22"/>
          <w:rtl/>
        </w:rPr>
        <w:t xml:space="preserve">נתוני החשכ"ל, בעיבוד משרד מבקר המדינה. </w:t>
      </w:r>
    </w:p>
    <w:p w:rsidR="00253C38" w:rsidP="00982BC1" w14:paraId="1136F1C7" w14:textId="16C61E4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3E60A28" w14:textId="77777777">
      <w:pPr>
        <w:spacing w:line="269" w:lineRule="auto"/>
        <w:rPr>
          <w:sz w:val="24"/>
          <w:rtl/>
        </w:rPr>
      </w:pPr>
      <w:r>
        <w:rPr>
          <w:rFonts w:hint="cs"/>
          <w:sz w:val="24"/>
          <w:rtl/>
        </w:rPr>
        <w:t xml:space="preserve">משרד מבקר המדינה בחן את פעולות אגף החשכ"ל בעניין הקמת הקרנות, תפעולן והבקרה עליהן במהלך המשבר. מדובר במהלך חיוני שהוביל אגף החשכ"ל להרחבת היקף האשראי, בשיתוף המערכת הבנקאית, בעיקר, בתקופה שבה היו הפערים התזרימיים חסם לפני המגזר העסקי לצליחת המשבר. ככלל, התהליכים נעשו אגב </w:t>
      </w:r>
      <w:r w:rsidR="00002D05">
        <w:rPr>
          <w:rFonts w:hint="cs"/>
          <w:sz w:val="24"/>
          <w:rtl/>
        </w:rPr>
        <w:t>קשר</w:t>
      </w:r>
      <w:r>
        <w:rPr>
          <w:rFonts w:hint="cs"/>
          <w:sz w:val="24"/>
          <w:rtl/>
        </w:rPr>
        <w:t xml:space="preserve"> רציף בין נציגי אגף החשכ"ל למערכת הפיננסית, והתבטאו בשיח משותף לבחינת כיווני הפעולה, ובכלל זאת זיהוי חסמים והסרתם לטובת ייעול הרחבת היצע האשראי; הגדרת בקרות אפקטיביות לעמידה בתנאים שהוגדרו; וניהול אחראי של ערבויות המדינה. </w:t>
      </w:r>
      <w:r>
        <w:rPr>
          <w:rFonts w:hint="cs"/>
          <w:rtl/>
        </w:rPr>
        <w:t>אי-ודאות גבוהה בדבר עוצמת הפגיעה במגזר העסקי ובדבר משך המשבר מדגישה את חשיבות הקרנות בהפחתת הסיכון האורב למערכת הפיננסית ובכלל זאת את הוזלת עלויות המימון למגזר העסקי.</w:t>
      </w:r>
    </w:p>
    <w:p w:rsidR="00253C38" w:rsidP="00982BC1" w14:paraId="2B20501D" w14:textId="0D31BDE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D02209" w:rsidP="00982BC1" w14:paraId="11AE2920" w14:textId="77777777">
      <w:pPr>
        <w:spacing w:line="269" w:lineRule="auto"/>
        <w:rPr>
          <w:b/>
          <w:bCs/>
          <w:sz w:val="24"/>
          <w:rtl/>
        </w:rPr>
      </w:pPr>
      <w:r w:rsidRPr="00A43F29">
        <w:rPr>
          <w:rFonts w:hint="cs"/>
          <w:b/>
          <w:bCs/>
          <w:sz w:val="24"/>
          <w:rtl/>
        </w:rPr>
        <w:t xml:space="preserve">משרד מבקר המדינה מציין לחיוב את פעולות אגף </w:t>
      </w:r>
      <w:r>
        <w:rPr>
          <w:rFonts w:hint="cs"/>
          <w:b/>
          <w:bCs/>
          <w:sz w:val="24"/>
          <w:rtl/>
        </w:rPr>
        <w:t>החשכ"ל שנעשו בעת המשבר</w:t>
      </w:r>
      <w:r w:rsidRPr="005007C4">
        <w:rPr>
          <w:rFonts w:hint="cs"/>
          <w:b/>
          <w:bCs/>
          <w:sz w:val="24"/>
          <w:rtl/>
        </w:rPr>
        <w:t xml:space="preserve"> </w:t>
      </w:r>
      <w:r>
        <w:rPr>
          <w:rFonts w:hint="cs"/>
          <w:b/>
          <w:bCs/>
          <w:sz w:val="24"/>
          <w:rtl/>
        </w:rPr>
        <w:t>להרחבת היצע האשראי ולהפחתת מחירו,</w:t>
      </w:r>
      <w:r w:rsidRPr="00A43F29">
        <w:rPr>
          <w:rFonts w:hint="cs"/>
          <w:b/>
          <w:bCs/>
          <w:sz w:val="24"/>
          <w:rtl/>
        </w:rPr>
        <w:t xml:space="preserve"> </w:t>
      </w:r>
      <w:r>
        <w:rPr>
          <w:rFonts w:hint="cs"/>
          <w:b/>
          <w:bCs/>
          <w:sz w:val="24"/>
          <w:rtl/>
        </w:rPr>
        <w:t xml:space="preserve">באמצעות הקמת </w:t>
      </w:r>
      <w:r w:rsidRPr="005A5249">
        <w:rPr>
          <w:rFonts w:hint="cs"/>
          <w:b/>
          <w:bCs/>
          <w:sz w:val="24"/>
          <w:rtl/>
        </w:rPr>
        <w:t>מערך הקרנות להלוואה בערבות המדינה. עם זאת העלתה הביקורת את הליקויים המתוארים להלן</w:t>
      </w:r>
      <w:r w:rsidRPr="005A5249" w:rsidR="005549AD">
        <w:rPr>
          <w:rFonts w:hint="cs"/>
          <w:b/>
          <w:bCs/>
          <w:sz w:val="24"/>
          <w:rtl/>
        </w:rPr>
        <w:t xml:space="preserve">, </w:t>
      </w:r>
      <w:r w:rsidRPr="005A5249" w:rsidR="005549AD">
        <w:rPr>
          <w:rFonts w:hint="eastAsia"/>
          <w:b/>
          <w:bCs/>
          <w:sz w:val="24"/>
          <w:rtl/>
        </w:rPr>
        <w:t>שתיקונם</w:t>
      </w:r>
      <w:r w:rsidRPr="005A5249" w:rsidR="005549AD">
        <w:rPr>
          <w:b/>
          <w:bCs/>
          <w:sz w:val="24"/>
          <w:rtl/>
        </w:rPr>
        <w:t xml:space="preserve"> עשוי לטייב </w:t>
      </w:r>
      <w:r w:rsidRPr="005A5249" w:rsidR="005549AD">
        <w:rPr>
          <w:rFonts w:hint="eastAsia"/>
          <w:b/>
          <w:bCs/>
          <w:sz w:val="24"/>
          <w:rtl/>
        </w:rPr>
        <w:t>את</w:t>
      </w:r>
      <w:r w:rsidRPr="005A5249" w:rsidR="005549AD">
        <w:rPr>
          <w:b/>
          <w:bCs/>
          <w:sz w:val="24"/>
          <w:rtl/>
        </w:rPr>
        <w:t xml:space="preserve"> התהליך</w:t>
      </w:r>
      <w:r w:rsidRPr="005A5249">
        <w:rPr>
          <w:b/>
          <w:bCs/>
          <w:sz w:val="24"/>
          <w:rtl/>
        </w:rPr>
        <w:t>.</w:t>
      </w:r>
    </w:p>
    <w:p w:rsidR="005A5249" w:rsidRPr="00786470" w:rsidP="00982BC1" w14:paraId="616C7A21" w14:textId="77777777">
      <w:pPr>
        <w:spacing w:line="269" w:lineRule="auto"/>
        <w:rPr>
          <w:b/>
          <w:bCs/>
          <w:sz w:val="24"/>
          <w:rtl/>
        </w:rPr>
      </w:pPr>
    </w:p>
    <w:p w:rsidR="00253C38" w:rsidRPr="0046046A" w:rsidP="00982BC1" w14:paraId="19962519" w14:textId="77777777">
      <w:pPr>
        <w:pStyle w:val="Heading6"/>
        <w:spacing w:line="269" w:lineRule="auto"/>
        <w:rPr>
          <w:rtl/>
        </w:rPr>
      </w:pPr>
      <w:r>
        <w:rPr>
          <w:rFonts w:hint="cs"/>
          <w:rtl/>
        </w:rPr>
        <w:t>היבטים בתהליך הקמת הקרנות</w:t>
      </w:r>
    </w:p>
    <w:p w:rsidR="00253C38" w:rsidRPr="0049251F" w:rsidP="00982BC1" w14:paraId="3019F325" w14:textId="0413A55E">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AC046C" w:rsidP="00982BC1" w14:paraId="6E919BB8" w14:textId="77777777">
      <w:pPr>
        <w:spacing w:line="269" w:lineRule="auto"/>
        <w:rPr>
          <w:rtl/>
        </w:rPr>
      </w:pPr>
      <w:r>
        <w:rPr>
          <w:rFonts w:hint="cs"/>
          <w:rtl/>
        </w:rPr>
        <w:t xml:space="preserve">כאמור, השלכות המשבר התבטאו בהאטה חדה בפעילות המגזר העסקי שהובילה למצוקת נזילות אשר חייבה הרחבה מהירה של היקף האשראי במשק. תרשים 14 להלן מציג את היקף ההלוואות </w:t>
      </w:r>
      <w:r>
        <w:rPr>
          <w:rFonts w:hint="cs"/>
          <w:rtl/>
        </w:rPr>
        <w:t xml:space="preserve">שניתן לקבל במסגרת הקרנות מתוך הסיוע שניתן במסגרת התוכנית הכלכלית, ואת שיעור ניצולן ביחס לניצול הכולל של סעיפי </w:t>
      </w:r>
      <w:r w:rsidRPr="002949B1">
        <w:rPr>
          <w:rFonts w:hint="cs"/>
          <w:rtl/>
        </w:rPr>
        <w:t>ה</w:t>
      </w:r>
      <w:r>
        <w:rPr>
          <w:rFonts w:hint="cs"/>
          <w:rtl/>
        </w:rPr>
        <w:t>תוכנית בפריסה חודשית (כלומר את היקף האשראי שנוצל בפועל מתוך הקרנות).</w:t>
      </w:r>
    </w:p>
    <w:p w:rsidR="00253C38" w:rsidP="00982BC1" w14:paraId="630FD468" w14:textId="57D18D3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F5110" w:rsidP="00982BC1" w14:paraId="71548FA4" w14:textId="77777777">
      <w:pPr>
        <w:spacing w:line="269" w:lineRule="auto"/>
        <w:jc w:val="center"/>
        <w:rPr>
          <w:b/>
          <w:bCs/>
          <w:rtl/>
        </w:rPr>
      </w:pPr>
      <w:r w:rsidRPr="00DF5110">
        <w:rPr>
          <w:rFonts w:hint="eastAsia"/>
          <w:b/>
          <w:bCs/>
          <w:rtl/>
        </w:rPr>
        <w:t>תרשים</w:t>
      </w:r>
      <w:r w:rsidRPr="00DF5110">
        <w:rPr>
          <w:b/>
          <w:bCs/>
          <w:rtl/>
        </w:rPr>
        <w:t xml:space="preserve"> 14: היקף </w:t>
      </w:r>
      <w:r w:rsidRPr="00DF5110">
        <w:rPr>
          <w:rFonts w:hint="eastAsia"/>
          <w:b/>
          <w:bCs/>
          <w:rtl/>
        </w:rPr>
        <w:t>ההקצאה</w:t>
      </w:r>
      <w:r w:rsidRPr="00DF5110">
        <w:rPr>
          <w:b/>
          <w:bCs/>
          <w:rtl/>
        </w:rPr>
        <w:t xml:space="preserve"> והניצול של </w:t>
      </w:r>
      <w:r w:rsidRPr="00CD5900">
        <w:rPr>
          <w:rFonts w:hint="cs"/>
          <w:b/>
          <w:bCs/>
          <w:rtl/>
        </w:rPr>
        <w:t>התוכנית</w:t>
      </w:r>
      <w:r w:rsidRPr="00DF5110">
        <w:rPr>
          <w:b/>
          <w:bCs/>
          <w:rtl/>
        </w:rPr>
        <w:t xml:space="preserve"> הכלכלית והקרנות להלוואה בערבות מדינה</w:t>
      </w:r>
      <w:r>
        <w:rPr>
          <w:rFonts w:hint="cs"/>
          <w:b/>
          <w:bCs/>
          <w:rtl/>
        </w:rPr>
        <w:t>, מאי - נובמבר 2020 (במיליוני ש"ח ובאחוזים)</w:t>
      </w:r>
    </w:p>
    <w:p w:rsidR="00253C38" w:rsidP="00982BC1" w14:paraId="54177C11" w14:textId="77777777">
      <w:pPr>
        <w:spacing w:line="269" w:lineRule="auto"/>
        <w:ind w:left="-850"/>
        <w:jc w:val="right"/>
        <w:rPr>
          <w:rtl/>
        </w:rPr>
      </w:pPr>
      <w:r>
        <w:rPr>
          <w:noProof/>
        </w:rPr>
        <w:drawing>
          <wp:inline distT="0" distB="0" distL="0" distR="0">
            <wp:extent cx="6010275" cy="3635339"/>
            <wp:effectExtent l="0" t="0" r="0" b="381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5838" name=""/>
                    <pic:cNvPicPr/>
                  </pic:nvPicPr>
                  <pic:blipFill>
                    <a:blip xmlns:r="http://schemas.openxmlformats.org/officeDocument/2006/relationships" r:embed="rId20"/>
                    <a:stretch>
                      <a:fillRect/>
                    </a:stretch>
                  </pic:blipFill>
                  <pic:spPr>
                    <a:xfrm>
                      <a:off x="0" y="0"/>
                      <a:ext cx="6067275" cy="3669816"/>
                    </a:xfrm>
                    <a:prstGeom prst="rect">
                      <a:avLst/>
                    </a:prstGeom>
                  </pic:spPr>
                </pic:pic>
              </a:graphicData>
            </a:graphic>
          </wp:inline>
        </w:drawing>
      </w:r>
    </w:p>
    <w:p w:rsidR="00253C38" w:rsidRPr="00982BC1" w:rsidP="00982BC1" w14:paraId="23FF6AD3" w14:textId="77777777">
      <w:pPr>
        <w:spacing w:line="269" w:lineRule="auto"/>
        <w:rPr>
          <w:sz w:val="22"/>
          <w:szCs w:val="22"/>
          <w:rtl/>
        </w:rPr>
      </w:pPr>
      <w:r w:rsidRPr="00982BC1">
        <w:rPr>
          <w:rFonts w:hint="cs"/>
          <w:sz w:val="22"/>
          <w:szCs w:val="22"/>
          <w:rtl/>
        </w:rPr>
        <w:t>נתוני החשכ"ל, בעיבוד משרד מבקר המדינה.</w:t>
      </w:r>
    </w:p>
    <w:p w:rsidR="00253C38" w:rsidP="00982BC1" w14:paraId="18B1E18B" w14:textId="1E0FAA2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B265082" w14:textId="77777777">
      <w:pPr>
        <w:spacing w:line="269" w:lineRule="auto"/>
        <w:rPr>
          <w:rtl/>
        </w:rPr>
      </w:pPr>
      <w:r>
        <w:rPr>
          <w:rFonts w:hint="cs"/>
          <w:rtl/>
        </w:rPr>
        <w:t>מתרשים 14 עולה כי הקרנות היו חלק מהותי מתוך סעיפי התוכנית הכלכלית במהלך המשבר. שיעור ניצולן הגבוה בהשוואה ליתר סעיפי התוכנית הכלכלית, בייחוד בחודשי המשבר הראשונים, מדגיש את חשיבותן במתן מענה מהיר לגישור פערי ה</w:t>
      </w:r>
      <w:r>
        <w:rPr>
          <w:rFonts w:hint="cs"/>
          <w:sz w:val="24"/>
          <w:rtl/>
        </w:rPr>
        <w:t>תזרים בקרב המגזר העסקי.</w:t>
      </w:r>
    </w:p>
    <w:p w:rsidR="00253C38" w:rsidP="00982BC1" w14:paraId="07EB8237" w14:textId="018C2CD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575F4" w:rsidP="00982BC1" w14:paraId="70EF3C8A" w14:textId="77777777">
      <w:pPr>
        <w:spacing w:line="269" w:lineRule="auto"/>
        <w:rPr>
          <w:b/>
          <w:bCs/>
          <w:rtl/>
        </w:rPr>
      </w:pPr>
      <w:r>
        <w:rPr>
          <w:rFonts w:hint="cs"/>
          <w:b/>
          <w:bCs/>
          <w:rtl/>
        </w:rPr>
        <w:t xml:space="preserve">משרד מבקר המדינה מציין כי </w:t>
      </w:r>
      <w:r w:rsidRPr="009575F4">
        <w:rPr>
          <w:rFonts w:hint="cs"/>
          <w:b/>
          <w:bCs/>
          <w:rtl/>
        </w:rPr>
        <w:t xml:space="preserve">הקמת הקרנות </w:t>
      </w:r>
      <w:r>
        <w:rPr>
          <w:rFonts w:hint="cs"/>
          <w:b/>
          <w:bCs/>
          <w:rtl/>
        </w:rPr>
        <w:t>סייעה</w:t>
      </w:r>
      <w:r w:rsidRPr="009575F4">
        <w:rPr>
          <w:rFonts w:hint="cs"/>
          <w:b/>
          <w:bCs/>
          <w:rtl/>
        </w:rPr>
        <w:t xml:space="preserve"> ל</w:t>
      </w:r>
      <w:r>
        <w:rPr>
          <w:rFonts w:hint="cs"/>
          <w:b/>
          <w:bCs/>
          <w:rtl/>
        </w:rPr>
        <w:t xml:space="preserve">הפחתת </w:t>
      </w:r>
      <w:r w:rsidRPr="009575F4">
        <w:rPr>
          <w:rFonts w:hint="cs"/>
          <w:b/>
          <w:bCs/>
          <w:rtl/>
        </w:rPr>
        <w:t>הסיכו</w:t>
      </w:r>
      <w:r>
        <w:rPr>
          <w:rFonts w:hint="cs"/>
          <w:b/>
          <w:bCs/>
          <w:rtl/>
        </w:rPr>
        <w:t>ן של</w:t>
      </w:r>
      <w:r w:rsidRPr="009575F4">
        <w:rPr>
          <w:rFonts w:hint="cs"/>
          <w:b/>
          <w:bCs/>
          <w:rtl/>
        </w:rPr>
        <w:t xml:space="preserve"> </w:t>
      </w:r>
      <w:r>
        <w:rPr>
          <w:rFonts w:hint="cs"/>
          <w:b/>
          <w:bCs/>
          <w:rtl/>
        </w:rPr>
        <w:t>ספקי</w:t>
      </w:r>
      <w:r w:rsidRPr="009575F4">
        <w:rPr>
          <w:rFonts w:hint="cs"/>
          <w:b/>
          <w:bCs/>
          <w:rtl/>
        </w:rPr>
        <w:t xml:space="preserve"> האשראי</w:t>
      </w:r>
      <w:r>
        <w:rPr>
          <w:rFonts w:hint="cs"/>
          <w:b/>
          <w:bCs/>
          <w:rtl/>
        </w:rPr>
        <w:t xml:space="preserve"> ולהרחבת האשראי בתקופת אי-ו</w:t>
      </w:r>
      <w:r w:rsidRPr="009575F4">
        <w:rPr>
          <w:rFonts w:hint="cs"/>
          <w:b/>
          <w:bCs/>
          <w:rtl/>
        </w:rPr>
        <w:t>דאות גבוהה</w:t>
      </w:r>
      <w:r>
        <w:rPr>
          <w:rFonts w:hint="cs"/>
          <w:b/>
          <w:bCs/>
          <w:rtl/>
        </w:rPr>
        <w:t>, תוך</w:t>
      </w:r>
      <w:r w:rsidRPr="009575F4">
        <w:rPr>
          <w:rFonts w:hint="cs"/>
          <w:b/>
          <w:bCs/>
          <w:rtl/>
        </w:rPr>
        <w:t xml:space="preserve"> </w:t>
      </w:r>
      <w:r>
        <w:rPr>
          <w:rFonts w:hint="cs"/>
          <w:b/>
          <w:bCs/>
          <w:rtl/>
        </w:rPr>
        <w:t>כדי מתן</w:t>
      </w:r>
      <w:r w:rsidRPr="009575F4">
        <w:rPr>
          <w:rFonts w:hint="cs"/>
          <w:b/>
          <w:bCs/>
          <w:rtl/>
        </w:rPr>
        <w:t xml:space="preserve"> מענה מהיר וחיוני לשרידות עסקים רבים.</w:t>
      </w:r>
    </w:p>
    <w:p w:rsidR="00253C38" w:rsidP="00982BC1" w14:paraId="24F25BB1" w14:textId="593CDEC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0B45BF6" w14:textId="14B1F8BB">
      <w:pPr>
        <w:spacing w:line="269" w:lineRule="auto"/>
        <w:rPr>
          <w:rtl/>
        </w:rPr>
      </w:pPr>
      <w:r>
        <w:rPr>
          <w:rFonts w:hint="cs"/>
          <w:rtl/>
        </w:rPr>
        <w:t>הקמת הקרנות היא אירוע חריג בהיקפו וברמת סיכון האשראי המגולם בו. לפיכך הגדיר ותקצב משרד האוצר במסלול הרגיל את תוחלת הסיכון בדומה להיקף ההפסדים שתועד בתיק ההלוואות של הקרנות שפעלו בשנת 2009, בעת המשבר הקודם</w:t>
      </w:r>
      <w:r>
        <w:rPr>
          <w:rStyle w:val="FootnoteReference"/>
          <w:rtl/>
        </w:rPr>
        <w:footnoteReference w:id="32"/>
      </w:r>
      <w:r>
        <w:rPr>
          <w:rFonts w:hint="cs"/>
          <w:rtl/>
        </w:rPr>
        <w:t xml:space="preserve">, בשיעור של 13%. במסלול הרגיל תוקצבו סכומי הריבית כך שבשנת ההלוואה הראשונה היא משולמת במלואה על ידי המדינה. מנגד, בקרן לעסקים גדולים ובמסלול המוגבר, </w:t>
      </w:r>
      <w:r w:rsidRPr="00AD47FF" w:rsidR="005549AD">
        <w:rPr>
          <w:rFonts w:hint="cs"/>
          <w:rtl/>
        </w:rPr>
        <w:t>נכון ל</w:t>
      </w:r>
      <w:r w:rsidR="00F71738">
        <w:rPr>
          <w:rFonts w:hint="cs"/>
          <w:rtl/>
        </w:rPr>
        <w:t>אוקטובר 2020</w:t>
      </w:r>
      <w:r w:rsidRPr="00AD47FF" w:rsidR="005549AD">
        <w:rPr>
          <w:rFonts w:hint="cs"/>
          <w:rtl/>
        </w:rPr>
        <w:t xml:space="preserve"> לא</w:t>
      </w:r>
      <w:r w:rsidRPr="00AD47FF">
        <w:rPr>
          <w:rFonts w:hint="cs"/>
          <w:rtl/>
        </w:rPr>
        <w:t xml:space="preserve"> נקבעו שיעורי התקצוב </w:t>
      </w:r>
      <w:r w:rsidRPr="00AD47FF" w:rsidR="005549AD">
        <w:rPr>
          <w:rFonts w:hint="cs"/>
          <w:rtl/>
        </w:rPr>
        <w:t>ולא תוקצבו</w:t>
      </w:r>
      <w:r w:rsidRPr="00AD47FF">
        <w:rPr>
          <w:rFonts w:hint="cs"/>
          <w:rtl/>
        </w:rPr>
        <w:t xml:space="preserve"> כל </w:t>
      </w:r>
      <w:r w:rsidRPr="00AD47FF" w:rsidR="005549AD">
        <w:rPr>
          <w:rFonts w:hint="cs"/>
          <w:rtl/>
        </w:rPr>
        <w:t>סכומים</w:t>
      </w:r>
      <w:r w:rsidRPr="00AD47FF">
        <w:rPr>
          <w:rFonts w:hint="cs"/>
          <w:rtl/>
        </w:rPr>
        <w:t xml:space="preserve"> בגינם בתקציב המדינה (כולל הריבית</w:t>
      </w:r>
      <w:r w:rsidRPr="00AD47FF" w:rsidR="005549AD">
        <w:rPr>
          <w:rFonts w:hint="cs"/>
          <w:rtl/>
        </w:rPr>
        <w:t>). אגף החשב הכללי כתב לצוות הביקורת ביום 16.11.20 כי הסכומים בשני המסלולים לא תוקצבו נוכח העדר</w:t>
      </w:r>
      <w:r w:rsidRPr="00AD47FF">
        <w:rPr>
          <w:rFonts w:hint="cs"/>
          <w:rtl/>
        </w:rPr>
        <w:t xml:space="preserve"> היכולת</w:t>
      </w:r>
      <w:r>
        <w:rPr>
          <w:rFonts w:hint="cs"/>
          <w:rtl/>
        </w:rPr>
        <w:t xml:space="preserve"> לבסס הערכה מנומקת בדבר הסיכון שייווצר, </w:t>
      </w:r>
      <w:r w:rsidR="005549AD">
        <w:rPr>
          <w:rFonts w:hint="cs"/>
          <w:rtl/>
        </w:rPr>
        <w:t>ובפרט</w:t>
      </w:r>
      <w:r>
        <w:rPr>
          <w:rFonts w:hint="cs"/>
          <w:rtl/>
        </w:rPr>
        <w:t xml:space="preserve"> במסלול המוגבר </w:t>
      </w:r>
      <w:r w:rsidR="005549AD">
        <w:rPr>
          <w:rFonts w:hint="cs"/>
          <w:rtl/>
        </w:rPr>
        <w:t>נוכח</w:t>
      </w:r>
      <w:r>
        <w:rPr>
          <w:rFonts w:hint="cs"/>
          <w:rtl/>
        </w:rPr>
        <w:t xml:space="preserve"> העמדת ערבות בשיעור גבוה ותקדימי.</w:t>
      </w:r>
    </w:p>
    <w:p w:rsidR="0088473C" w:rsidP="00982BC1" w14:paraId="2238AADC"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549AD" w:rsidP="00982BC1" w14:paraId="72FF8021" w14:textId="77777777">
      <w:pPr>
        <w:spacing w:line="269" w:lineRule="auto"/>
        <w:rPr>
          <w:rtl/>
        </w:rPr>
      </w:pPr>
      <w:r>
        <w:rPr>
          <w:rFonts w:hint="cs"/>
          <w:rtl/>
        </w:rPr>
        <w:t xml:space="preserve">משכך הוחלט במשרד האוצר כי ההוצאה מתקציב המדינה בשנת 2020 בגין שני המסלולים האמורים תתבצע באופן יחסי לתוצאות פעילותן בסוף השנה ובתוספת עלות סבסוד הריבית בגין ההלוואות שהועמדו, בהתאם לתנאים המסחריים שנקבעו בקרנות. עוד הוחלט כי הוצאה שתיווצר </w:t>
      </w:r>
      <w:r>
        <w:rPr>
          <w:rFonts w:hint="cs"/>
          <w:rtl/>
        </w:rPr>
        <w:t xml:space="preserve">בשנים הבאות תחושב בהתאם לתוחלת הסיכון הגלומה בכל מסלול כפי שבאה לידי ביטוי בשנת 2020. </w:t>
      </w:r>
    </w:p>
    <w:p w:rsidR="00253C38" w:rsidP="00982BC1" w14:paraId="4EE35EE5" w14:textId="70532FB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3BC64D1" w14:textId="77777777">
      <w:pPr>
        <w:spacing w:line="269" w:lineRule="auto"/>
        <w:rPr>
          <w:rtl/>
        </w:rPr>
      </w:pPr>
      <w:r>
        <w:rPr>
          <w:rFonts w:hint="cs"/>
          <w:rtl/>
        </w:rPr>
        <w:t>משרד האוצר כתב למשרד מבק</w:t>
      </w:r>
      <w:r w:rsidRPr="00FB2397">
        <w:rPr>
          <w:rFonts w:hint="cs"/>
          <w:rtl/>
        </w:rPr>
        <w:t>ר המדינה ב-</w:t>
      </w:r>
      <w:r w:rsidRPr="00FB2397">
        <w:rPr>
          <w:rtl/>
        </w:rPr>
        <w:t>17.3.21</w:t>
      </w:r>
      <w:r w:rsidRPr="00FB2397">
        <w:rPr>
          <w:rFonts w:hint="cs"/>
          <w:rtl/>
        </w:rPr>
        <w:t>: "</w:t>
      </w:r>
      <w:r w:rsidRPr="00FB2397">
        <w:rPr>
          <w:rtl/>
        </w:rPr>
        <w:t>ההבנות לגבי התקציב הנדרש כנגד תוחלת הסיכון סוכמו עם הקמת הקרנות</w:t>
      </w:r>
      <w:r>
        <w:rPr>
          <w:rtl/>
        </w:rPr>
        <w:t xml:space="preserve"> אל מול הצוות המקביל באגף התקציבים ועודכנו לכל אורך הדרך בכל שלב שבו נערך שינוי או עדכון באופן הפעלת הקרנות</w:t>
      </w:r>
      <w:r>
        <w:rPr>
          <w:rFonts w:hint="cs"/>
          <w:rtl/>
        </w:rPr>
        <w:t>.</w:t>
      </w:r>
      <w:r>
        <w:rPr>
          <w:rtl/>
        </w:rPr>
        <w:t>.</w:t>
      </w:r>
      <w:r>
        <w:rPr>
          <w:rFonts w:hint="cs"/>
          <w:rtl/>
        </w:rPr>
        <w:t>.</w:t>
      </w:r>
      <w:r>
        <w:rPr>
          <w:rtl/>
        </w:rPr>
        <w:t xml:space="preserve"> הסיכום התקציבי</w:t>
      </w:r>
      <w:r>
        <w:rPr>
          <w:rFonts w:hint="cs"/>
          <w:rtl/>
        </w:rPr>
        <w:t xml:space="preserve"> </w:t>
      </w:r>
      <w:r w:rsidRPr="00FB2397">
        <w:rPr>
          <w:rFonts w:hint="eastAsia"/>
          <w:b/>
          <w:bCs/>
          <w:rtl/>
        </w:rPr>
        <w:t>נחתם</w:t>
      </w:r>
      <w:r w:rsidRPr="00FB2397">
        <w:rPr>
          <w:b/>
          <w:bCs/>
          <w:rtl/>
        </w:rPr>
        <w:t xml:space="preserve"> </w:t>
      </w:r>
      <w:r w:rsidRPr="009943AD">
        <w:rPr>
          <w:rFonts w:hint="cs"/>
          <w:rtl/>
        </w:rPr>
        <w:t xml:space="preserve">[ההדגשה במקור] </w:t>
      </w:r>
      <w:r>
        <w:rPr>
          <w:rtl/>
        </w:rPr>
        <w:t>עוד בטרם סיום שנת הכספים.</w:t>
      </w:r>
      <w:r>
        <w:rPr>
          <w:rFonts w:hint="cs"/>
          <w:rtl/>
        </w:rPr>
        <w:t xml:space="preserve">.. </w:t>
      </w:r>
      <w:r>
        <w:rPr>
          <w:rtl/>
        </w:rPr>
        <w:t xml:space="preserve">במטרה להבטיח תקצוב הולם של תוחלת הסיכון, אגף </w:t>
      </w:r>
      <w:r>
        <w:rPr>
          <w:rFonts w:hint="cs"/>
          <w:rtl/>
        </w:rPr>
        <w:t>החשכ"ל</w:t>
      </w:r>
      <w:r>
        <w:rPr>
          <w:rtl/>
        </w:rPr>
        <w:t xml:space="preserve"> פועל באופן שוטף לניטור נתוני הקרנות במטרה להפיק לקחים שוטפים על סיכון ההלוואות שהועמדו ויהיה נכון לבצע שינוי במודל התקצוב ככל שיעלה הצורך בכך</w:t>
      </w:r>
      <w:r>
        <w:rPr>
          <w:rFonts w:hint="cs"/>
          <w:rtl/>
        </w:rPr>
        <w:t>".</w:t>
      </w:r>
    </w:p>
    <w:p w:rsidR="00253C38" w:rsidP="00982BC1" w14:paraId="6D744F6F" w14:textId="1CBBA47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65729B" w:rsidP="00982BC1" w14:paraId="2218474B" w14:textId="77777777">
      <w:pPr>
        <w:spacing w:line="269" w:lineRule="auto"/>
        <w:rPr>
          <w:b/>
          <w:bCs/>
          <w:rtl/>
        </w:rPr>
      </w:pPr>
      <w:r w:rsidRPr="006808A7">
        <w:rPr>
          <w:rFonts w:hint="cs"/>
          <w:b/>
          <w:bCs/>
          <w:rtl/>
        </w:rPr>
        <w:t xml:space="preserve">לדעת </w:t>
      </w:r>
      <w:r>
        <w:rPr>
          <w:rFonts w:hint="cs"/>
          <w:b/>
          <w:bCs/>
          <w:rtl/>
        </w:rPr>
        <w:t xml:space="preserve">משרד מבקר המדינה, מומלץ לתקצב את הסיכון למימושי הערבויות שניתנו בגין הקרנות במועד ההחלטה על הקמתן, ולתקנו בהמשך במידת הצורך, </w:t>
      </w:r>
      <w:r w:rsidRPr="00AD47FF">
        <w:rPr>
          <w:rFonts w:hint="cs"/>
          <w:b/>
          <w:bCs/>
          <w:rtl/>
        </w:rPr>
        <w:t>כל זאת</w:t>
      </w:r>
      <w:r>
        <w:rPr>
          <w:rFonts w:hint="cs"/>
          <w:b/>
          <w:bCs/>
          <w:rtl/>
        </w:rPr>
        <w:t xml:space="preserve"> נוכח ההיתכנות לעלות תקציבית גבוהה והאחריות הגלומה בניהול הוצאות המדינה, בייחוד בעת המשבר ובהיעדר מסגרת תקציב מאושרת. בדרך זו יוצג מימוש התקציב הנדרש לעניין ההלוואות במועד הסמוך להתהוותו. </w:t>
      </w:r>
    </w:p>
    <w:p w:rsidR="00253C38" w:rsidP="00982BC1" w14:paraId="1873C65D" w14:textId="62F7B04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D8026E" w:rsidP="00982BC1" w14:paraId="2C8DA784" w14:textId="77777777">
      <w:pPr>
        <w:spacing w:line="269" w:lineRule="auto"/>
        <w:rPr>
          <w:rtl/>
        </w:rPr>
      </w:pPr>
      <w:r>
        <w:rPr>
          <w:rFonts w:hint="cs"/>
          <w:rtl/>
        </w:rPr>
        <w:t xml:space="preserve">מסקירה בין-לאומית שפרסם אגף הכלכלן הראשי </w:t>
      </w:r>
      <w:r w:rsidRPr="00D8026E">
        <w:rPr>
          <w:rFonts w:hint="cs"/>
          <w:rtl/>
        </w:rPr>
        <w:t xml:space="preserve">במשרד האוצר ביום </w:t>
      </w:r>
      <w:r w:rsidRPr="00D8026E">
        <w:rPr>
          <w:rtl/>
        </w:rPr>
        <w:t>14.9.20</w:t>
      </w:r>
      <w:r w:rsidRPr="00D8026E">
        <w:rPr>
          <w:rFonts w:hint="cs"/>
          <w:rtl/>
        </w:rPr>
        <w:t xml:space="preserve"> ניכר כי חבילת הסיוע הממשלתית בישראל דומה למקובל במדינות מפותחות במונחי הוצאה תקציבית, אולם נמוכה ברכיבי האשראי. בהתאם, היקף הסיוע שניתן במסגרת התוכנית להלוואות בערבות מדינה נמוך בהשוואה למדינות מפותחות במונחי תוצר.</w:t>
      </w:r>
    </w:p>
    <w:p w:rsidR="00786470" w:rsidRPr="00F656C4" w:rsidP="00982BC1" w14:paraId="5160429A" w14:textId="65ABBB17">
      <w:pPr>
        <w:pStyle w:val="a"/>
        <w:spacing w:line="269" w:lineRule="auto"/>
        <w:rPr>
          <w:rtl/>
        </w:rPr>
      </w:pPr>
      <w:r w:rsidRPr="00D8026E">
        <w:rPr>
          <w:rtl/>
        </w:rPr>
        <w:fldChar w:fldCharType="begin"/>
      </w:r>
      <w:r w:rsidRPr="00D8026E">
        <w:rPr>
          <w:rtl/>
        </w:rPr>
        <w:instrText xml:space="preserve"> </w:instrText>
      </w:r>
      <w:r w:rsidRPr="00D8026E">
        <w:instrText>AUTONUMLGL \e  \* MERGEFORMAT</w:instrText>
      </w:r>
      <w:r w:rsidRPr="00D8026E">
        <w:rPr>
          <w:rtl/>
        </w:rPr>
        <w:instrText xml:space="preserve"> </w:instrText>
      </w:r>
      <w:r w:rsidRPr="00D8026E">
        <w:rPr>
          <w:rtl/>
        </w:rPr>
        <w:fldChar w:fldCharType="end"/>
      </w:r>
    </w:p>
    <w:p w:rsidR="00253C38" w:rsidRPr="001C6911" w:rsidP="00982BC1" w14:paraId="74E7EB01" w14:textId="050187AF">
      <w:pPr>
        <w:spacing w:line="269" w:lineRule="auto"/>
        <w:jc w:val="center"/>
        <w:rPr>
          <w:b/>
          <w:bCs/>
          <w:rtl/>
        </w:rPr>
      </w:pPr>
      <w:r w:rsidRPr="001C6911">
        <w:rPr>
          <w:rFonts w:hint="eastAsia"/>
          <w:b/>
          <w:bCs/>
          <w:rtl/>
        </w:rPr>
        <w:t>תרשים</w:t>
      </w:r>
      <w:r w:rsidRPr="001C6911">
        <w:rPr>
          <w:b/>
          <w:bCs/>
          <w:rtl/>
        </w:rPr>
        <w:t xml:space="preserve"> 15: </w:t>
      </w:r>
      <w:r w:rsidRPr="001C6911">
        <w:rPr>
          <w:rFonts w:hint="eastAsia"/>
          <w:b/>
          <w:bCs/>
          <w:rtl/>
        </w:rPr>
        <w:t>ההכרזה</w:t>
      </w:r>
      <w:r w:rsidRPr="001C6911">
        <w:rPr>
          <w:b/>
          <w:bCs/>
          <w:rtl/>
        </w:rPr>
        <w:t xml:space="preserve"> </w:t>
      </w:r>
      <w:r w:rsidRPr="001C6911">
        <w:rPr>
          <w:rFonts w:hint="eastAsia"/>
          <w:b/>
          <w:bCs/>
          <w:rtl/>
        </w:rPr>
        <w:t>על</w:t>
      </w:r>
      <w:r w:rsidRPr="001C6911">
        <w:rPr>
          <w:b/>
          <w:bCs/>
          <w:rtl/>
        </w:rPr>
        <w:t xml:space="preserve"> </w:t>
      </w:r>
      <w:r w:rsidRPr="001C6911">
        <w:rPr>
          <w:rFonts w:hint="eastAsia"/>
          <w:b/>
          <w:bCs/>
          <w:rtl/>
        </w:rPr>
        <w:t>היקף</w:t>
      </w:r>
      <w:r w:rsidRPr="001C6911">
        <w:rPr>
          <w:b/>
          <w:bCs/>
          <w:rtl/>
        </w:rPr>
        <w:t xml:space="preserve"> </w:t>
      </w:r>
      <w:r w:rsidRPr="00774AEA">
        <w:rPr>
          <w:rFonts w:hint="cs"/>
          <w:b/>
          <w:bCs/>
          <w:rtl/>
        </w:rPr>
        <w:t>התוכנית</w:t>
      </w:r>
      <w:r w:rsidRPr="001C6911">
        <w:rPr>
          <w:b/>
          <w:bCs/>
          <w:rtl/>
        </w:rPr>
        <w:t xml:space="preserve"> להלוואות בערבות מדינה </w:t>
      </w:r>
      <w:r w:rsidRPr="00774AEA">
        <w:rPr>
          <w:rFonts w:hint="cs"/>
          <w:b/>
          <w:bCs/>
          <w:rtl/>
        </w:rPr>
        <w:t>בהשוואה</w:t>
      </w:r>
      <w:r w:rsidRPr="001C6911">
        <w:rPr>
          <w:b/>
          <w:bCs/>
          <w:rtl/>
        </w:rPr>
        <w:t xml:space="preserve"> למדינות מפותחות נבחרות ומיצוי</w:t>
      </w:r>
      <w:r w:rsidRPr="00774AEA">
        <w:rPr>
          <w:rFonts w:hint="cs"/>
          <w:b/>
          <w:bCs/>
          <w:rtl/>
        </w:rPr>
        <w:t>,</w:t>
      </w:r>
      <w:r w:rsidRPr="001C6911">
        <w:rPr>
          <w:b/>
          <w:bCs/>
          <w:rtl/>
        </w:rPr>
        <w:t xml:space="preserve"> 31</w:t>
      </w:r>
      <w:r w:rsidRPr="00774AEA">
        <w:rPr>
          <w:rFonts w:hint="cs"/>
          <w:b/>
          <w:bCs/>
          <w:rtl/>
        </w:rPr>
        <w:t>.8.20 (במיליארדים במטבע</w:t>
      </w:r>
      <w:r w:rsidRPr="001C6911">
        <w:rPr>
          <w:b/>
          <w:bCs/>
          <w:rtl/>
        </w:rPr>
        <w:t xml:space="preserve"> מקומי</w:t>
      </w:r>
      <w:r w:rsidRPr="00774AEA">
        <w:rPr>
          <w:rFonts w:hint="cs"/>
          <w:b/>
          <w:bCs/>
          <w:rtl/>
        </w:rPr>
        <w:t>)</w:t>
      </w:r>
    </w:p>
    <w:p w:rsidR="00253C38" w:rsidP="00982BC1" w14:paraId="002F7622" w14:textId="77777777">
      <w:pPr>
        <w:spacing w:line="269" w:lineRule="auto"/>
        <w:ind w:left="-425"/>
        <w:rPr>
          <w:rtl/>
        </w:rPr>
      </w:pPr>
      <w:r>
        <w:rPr>
          <w:noProof/>
        </w:rPr>
        <w:drawing>
          <wp:inline distT="0" distB="0" distL="0" distR="0">
            <wp:extent cx="6048535" cy="3534820"/>
            <wp:effectExtent l="0" t="0" r="0" b="889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6500" name=""/>
                    <pic:cNvPicPr/>
                  </pic:nvPicPr>
                  <pic:blipFill>
                    <a:blip xmlns:r="http://schemas.openxmlformats.org/officeDocument/2006/relationships" r:embed="rId21"/>
                    <a:stretch>
                      <a:fillRect/>
                    </a:stretch>
                  </pic:blipFill>
                  <pic:spPr>
                    <a:xfrm>
                      <a:off x="0" y="0"/>
                      <a:ext cx="6086780" cy="3557171"/>
                    </a:xfrm>
                    <a:prstGeom prst="rect">
                      <a:avLst/>
                    </a:prstGeom>
                  </pic:spPr>
                </pic:pic>
              </a:graphicData>
            </a:graphic>
          </wp:inline>
        </w:drawing>
      </w:r>
    </w:p>
    <w:p w:rsidR="00253C38" w:rsidRPr="00982BC1" w:rsidP="00982BC1" w14:paraId="37D3B811" w14:textId="77777777">
      <w:pPr>
        <w:spacing w:line="269" w:lineRule="auto"/>
        <w:rPr>
          <w:sz w:val="22"/>
          <w:szCs w:val="22"/>
          <w:rtl/>
        </w:rPr>
      </w:pPr>
      <w:r w:rsidRPr="00982BC1">
        <w:rPr>
          <w:rFonts w:hint="cs"/>
          <w:sz w:val="18"/>
          <w:szCs w:val="22"/>
          <w:rtl/>
        </w:rPr>
        <w:t>המקור:</w:t>
      </w:r>
      <w:r w:rsidRPr="00982BC1">
        <w:rPr>
          <w:rFonts w:hint="cs"/>
          <w:sz w:val="22"/>
          <w:szCs w:val="22"/>
          <w:rtl/>
        </w:rPr>
        <w:t xml:space="preserve"> משרד האוצר, אגף הכלכלן הראשי.</w:t>
      </w:r>
    </w:p>
    <w:p w:rsidR="00C22063" w:rsidRPr="00982BC1" w:rsidP="00982BC1" w14:paraId="5049231E" w14:textId="77777777">
      <w:pPr>
        <w:spacing w:line="269" w:lineRule="auto"/>
        <w:rPr>
          <w:sz w:val="22"/>
          <w:szCs w:val="22"/>
          <w:rtl/>
        </w:rPr>
      </w:pPr>
      <w:r w:rsidRPr="00982BC1">
        <w:rPr>
          <w:rFonts w:hint="cs"/>
          <w:sz w:val="22"/>
          <w:szCs w:val="22"/>
          <w:rtl/>
        </w:rPr>
        <w:t>* לא כולל תוספת הרחבת הלוואות מדינה (הבנקים ומשרד האוצר) בהיקף של 8 מיליארד ש"ח, מכיוון שהקרן לא הייתה פעילה עד חודש ספטמבר.</w:t>
      </w:r>
    </w:p>
    <w:p w:rsidR="00C22063" w:rsidRPr="00982BC1" w:rsidP="00982BC1" w14:paraId="20D50DF1" w14:textId="77777777">
      <w:pPr>
        <w:spacing w:line="269" w:lineRule="auto"/>
        <w:rPr>
          <w:sz w:val="22"/>
          <w:szCs w:val="22"/>
          <w:rtl/>
        </w:rPr>
      </w:pPr>
      <w:r w:rsidRPr="00982BC1">
        <w:rPr>
          <w:rFonts w:hint="cs"/>
          <w:sz w:val="22"/>
          <w:szCs w:val="22"/>
          <w:rtl/>
        </w:rPr>
        <w:t xml:space="preserve">** הלוואות </w:t>
      </w:r>
      <w:r w:rsidRPr="00982BC1">
        <w:rPr>
          <w:rFonts w:hint="cs"/>
          <w:sz w:val="22"/>
          <w:szCs w:val="22"/>
        </w:rPr>
        <w:t>PPP</w:t>
      </w:r>
      <w:r w:rsidRPr="00982BC1">
        <w:rPr>
          <w:rFonts w:hint="cs"/>
          <w:sz w:val="22"/>
          <w:szCs w:val="22"/>
          <w:rtl/>
        </w:rPr>
        <w:t xml:space="preserve"> בלבד (לא כולל </w:t>
      </w:r>
      <w:r w:rsidRPr="00982BC1">
        <w:rPr>
          <w:rFonts w:hint="cs"/>
          <w:sz w:val="22"/>
          <w:szCs w:val="22"/>
        </w:rPr>
        <w:t>EIDL</w:t>
      </w:r>
      <w:r w:rsidRPr="00982BC1">
        <w:rPr>
          <w:rFonts w:hint="cs"/>
          <w:sz w:val="22"/>
          <w:szCs w:val="22"/>
          <w:rtl/>
        </w:rPr>
        <w:t xml:space="preserve"> והלוואות גישור) - ניתנות להמרה במענקים (התוכנית הסתימה באוגוסט).</w:t>
      </w:r>
    </w:p>
    <w:p w:rsidR="00C22063" w:rsidP="00982BC1" w14:paraId="28849A70" w14:textId="37439D72">
      <w:pPr>
        <w:spacing w:line="269" w:lineRule="auto"/>
        <w:rPr>
          <w:sz w:val="22"/>
          <w:szCs w:val="22"/>
          <w:rtl/>
        </w:rPr>
      </w:pPr>
      <w:r w:rsidRPr="00982BC1">
        <w:rPr>
          <w:rFonts w:hint="cs"/>
          <w:sz w:val="22"/>
          <w:szCs w:val="22"/>
          <w:rtl/>
        </w:rPr>
        <w:t xml:space="preserve">*** מעודכן ל-16.8.2020. </w:t>
      </w:r>
    </w:p>
    <w:p w:rsidR="00982BC1" w:rsidP="00982BC1" w14:paraId="37FBF9D4" w14:textId="2AB3951D">
      <w:pPr>
        <w:spacing w:line="269" w:lineRule="auto"/>
        <w:rPr>
          <w:sz w:val="22"/>
          <w:szCs w:val="22"/>
          <w:rtl/>
        </w:rPr>
      </w:pPr>
    </w:p>
    <w:p w:rsidR="00982BC1" w:rsidRPr="00982BC1" w:rsidP="00982BC1" w14:paraId="466C3BC6" w14:textId="77777777">
      <w:pPr>
        <w:spacing w:line="269" w:lineRule="auto"/>
        <w:rPr>
          <w:sz w:val="22"/>
          <w:szCs w:val="22"/>
          <w:rtl/>
        </w:rPr>
      </w:pPr>
    </w:p>
    <w:p w:rsidR="00253C38" w:rsidP="00982BC1" w14:paraId="022583E6" w14:textId="56C88DB6">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677C99" w:rsidP="00982BC1" w14:paraId="7441AD6C" w14:textId="77777777">
      <w:pPr>
        <w:spacing w:line="269" w:lineRule="auto"/>
        <w:rPr>
          <w:b/>
          <w:bCs/>
          <w:rtl/>
        </w:rPr>
      </w:pPr>
      <w:r>
        <w:rPr>
          <w:rFonts w:hint="cs"/>
          <w:b/>
          <w:bCs/>
          <w:rtl/>
        </w:rPr>
        <w:t>תרשים 15</w:t>
      </w:r>
      <w:r w:rsidRPr="00677C99">
        <w:rPr>
          <w:b/>
          <w:bCs/>
          <w:rtl/>
        </w:rPr>
        <w:t xml:space="preserve"> </w:t>
      </w:r>
      <w:r w:rsidRPr="00AD47FF">
        <w:rPr>
          <w:rFonts w:hint="eastAsia"/>
          <w:b/>
          <w:bCs/>
          <w:rtl/>
        </w:rPr>
        <w:t>ממחיש</w:t>
      </w:r>
      <w:r w:rsidRPr="00AD47FF">
        <w:rPr>
          <w:b/>
          <w:bCs/>
          <w:rtl/>
        </w:rPr>
        <w:t xml:space="preserve"> </w:t>
      </w:r>
      <w:r w:rsidRPr="00AD47FF">
        <w:rPr>
          <w:rFonts w:hint="eastAsia"/>
          <w:b/>
          <w:bCs/>
          <w:rtl/>
        </w:rPr>
        <w:t>כי</w:t>
      </w:r>
      <w:r w:rsidRPr="00AD47FF">
        <w:rPr>
          <w:b/>
          <w:bCs/>
          <w:rtl/>
        </w:rPr>
        <w:t xml:space="preserve"> </w:t>
      </w:r>
      <w:r w:rsidRPr="00AD47FF">
        <w:rPr>
          <w:rFonts w:hint="eastAsia"/>
          <w:b/>
          <w:bCs/>
          <w:rtl/>
        </w:rPr>
        <w:t>היקף</w:t>
      </w:r>
      <w:r w:rsidRPr="00AD47FF">
        <w:rPr>
          <w:b/>
          <w:bCs/>
          <w:rtl/>
        </w:rPr>
        <w:t xml:space="preserve"> </w:t>
      </w:r>
      <w:r w:rsidRPr="00AD47FF">
        <w:rPr>
          <w:rFonts w:hint="eastAsia"/>
          <w:b/>
          <w:bCs/>
          <w:rtl/>
        </w:rPr>
        <w:t>הסיוע</w:t>
      </w:r>
      <w:r w:rsidRPr="00AD47FF">
        <w:rPr>
          <w:b/>
          <w:bCs/>
          <w:rtl/>
        </w:rPr>
        <w:t xml:space="preserve"> </w:t>
      </w:r>
      <w:r w:rsidRPr="00AD47FF">
        <w:rPr>
          <w:rFonts w:hint="eastAsia"/>
          <w:b/>
          <w:bCs/>
          <w:rtl/>
        </w:rPr>
        <w:t>המוצהר</w:t>
      </w:r>
      <w:r w:rsidRPr="00AD47FF">
        <w:rPr>
          <w:b/>
          <w:bCs/>
          <w:rtl/>
        </w:rPr>
        <w:t xml:space="preserve"> </w:t>
      </w:r>
      <w:r w:rsidRPr="00AD47FF">
        <w:rPr>
          <w:rFonts w:hint="eastAsia"/>
          <w:b/>
          <w:bCs/>
          <w:rtl/>
        </w:rPr>
        <w:t>בישראל</w:t>
      </w:r>
      <w:r w:rsidRPr="00AD47FF">
        <w:rPr>
          <w:b/>
          <w:bCs/>
          <w:rtl/>
        </w:rPr>
        <w:t xml:space="preserve"> במונחי תוצר נמוך</w:t>
      </w:r>
      <w:r w:rsidRPr="00AD47FF">
        <w:rPr>
          <w:rFonts w:hint="cs"/>
          <w:b/>
          <w:bCs/>
          <w:rtl/>
        </w:rPr>
        <w:t xml:space="preserve"> </w:t>
      </w:r>
      <w:r w:rsidRPr="00AD47FF">
        <w:rPr>
          <w:b/>
          <w:bCs/>
          <w:rtl/>
        </w:rPr>
        <w:t>משמעותית בהשוואה בי</w:t>
      </w:r>
      <w:r w:rsidRPr="00AD47FF">
        <w:rPr>
          <w:rFonts w:hint="cs"/>
          <w:b/>
          <w:bCs/>
          <w:rtl/>
        </w:rPr>
        <w:t>ן-</w:t>
      </w:r>
      <w:r w:rsidRPr="00AD47FF">
        <w:rPr>
          <w:b/>
          <w:bCs/>
          <w:rtl/>
        </w:rPr>
        <w:t>לאומית</w:t>
      </w:r>
      <w:r w:rsidRPr="00AD47FF">
        <w:rPr>
          <w:rFonts w:hint="cs"/>
          <w:b/>
          <w:bCs/>
          <w:rtl/>
        </w:rPr>
        <w:t xml:space="preserve"> (הפער של ההכרזה על התוכנית במונחי תוצר נע בין 1% - 15.4%).</w:t>
      </w:r>
      <w:r w:rsidRPr="00AD47FF">
        <w:rPr>
          <w:b/>
          <w:bCs/>
          <w:rtl/>
        </w:rPr>
        <w:t xml:space="preserve"> עם זאת הפער מצטמצם בבחינת היקף </w:t>
      </w:r>
      <w:r w:rsidRPr="00AD47FF">
        <w:rPr>
          <w:rFonts w:hint="eastAsia"/>
          <w:b/>
          <w:bCs/>
          <w:rtl/>
        </w:rPr>
        <w:t>האשראי</w:t>
      </w:r>
      <w:r w:rsidRPr="00AD47FF">
        <w:rPr>
          <w:b/>
          <w:bCs/>
          <w:rtl/>
        </w:rPr>
        <w:t xml:space="preserve"> </w:t>
      </w:r>
      <w:r w:rsidRPr="00AD47FF">
        <w:rPr>
          <w:rFonts w:hint="eastAsia"/>
          <w:b/>
          <w:bCs/>
          <w:rtl/>
        </w:rPr>
        <w:t>שניתן</w:t>
      </w:r>
      <w:r w:rsidRPr="00AD47FF">
        <w:rPr>
          <w:b/>
          <w:bCs/>
          <w:rtl/>
        </w:rPr>
        <w:t xml:space="preserve"> בפועל</w:t>
      </w:r>
      <w:r w:rsidRPr="00AD47FF">
        <w:rPr>
          <w:rFonts w:hint="cs"/>
          <w:b/>
          <w:bCs/>
          <w:rtl/>
        </w:rPr>
        <w:t xml:space="preserve"> (הפער של מיצוי התוכנית במונחי תוצר נע בין 0.6% - 4.6%)</w:t>
      </w:r>
      <w:r w:rsidRPr="00AD47FF">
        <w:rPr>
          <w:b/>
          <w:bCs/>
          <w:rtl/>
        </w:rPr>
        <w:t>. ההסבר</w:t>
      </w:r>
      <w:r w:rsidRPr="00677C99">
        <w:rPr>
          <w:b/>
          <w:bCs/>
          <w:rtl/>
        </w:rPr>
        <w:t xml:space="preserve"> </w:t>
      </w:r>
      <w:r>
        <w:rPr>
          <w:rFonts w:hint="cs"/>
          <w:b/>
          <w:bCs/>
          <w:rtl/>
        </w:rPr>
        <w:t xml:space="preserve">למצב זה </w:t>
      </w:r>
      <w:r w:rsidRPr="00677C99">
        <w:rPr>
          <w:b/>
          <w:bCs/>
          <w:rtl/>
        </w:rPr>
        <w:t>טמון בכך שהיקף התמיכה בישראל הורחב בהתאם לקצב מימוש הקרנות, בניגוד למדינות רבות שהצהירו על הקמת קרנות בהיקפים גדולים מבעוד מועד.</w:t>
      </w:r>
    </w:p>
    <w:p w:rsidR="00253C38" w:rsidP="00982BC1" w14:paraId="16A70226" w14:textId="26C9A34C">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00A243A" w14:textId="77777777">
      <w:pPr>
        <w:spacing w:line="269" w:lineRule="auto"/>
        <w:rPr>
          <w:rtl/>
        </w:rPr>
      </w:pPr>
      <w:r w:rsidRPr="002B49CF">
        <w:rPr>
          <w:rFonts w:hint="cs"/>
          <w:rtl/>
        </w:rPr>
        <w:t xml:space="preserve">במהלך המשבר העביר שר האוצר לוועדת הכספים ארבע בקשות להגדלת היקפו של המסלול הרגיל בסכום מצטבר של 32 מיליארד ש"ח (פי 8 מהסכום שהוקצה במועד פתיחתה). ביום </w:t>
      </w:r>
      <w:r w:rsidRPr="002B49CF">
        <w:rPr>
          <w:rtl/>
        </w:rPr>
        <w:t>6.4.20</w:t>
      </w:r>
      <w:r w:rsidRPr="002B49CF">
        <w:rPr>
          <w:rFonts w:hint="cs"/>
          <w:rtl/>
        </w:rPr>
        <w:t xml:space="preserve">, עת הוגשה הבקשה הראשונה להגדלת הקרן מ-4 מיליארד ש"ח ל-8 מיליארד ש"ח, נאמד הביקוש בקרן ב-21.9 מיליארד ש"ח. אישור ועדת הכספים שניתן באותו היום התיר מענה ל-36.6% בלבד מהביקוש שתועד בקרן. ביום </w:t>
      </w:r>
      <w:r w:rsidRPr="002B49CF">
        <w:rPr>
          <w:rtl/>
        </w:rPr>
        <w:t>27.4.20</w:t>
      </w:r>
      <w:r w:rsidRPr="002B49CF">
        <w:rPr>
          <w:rFonts w:hint="cs"/>
          <w:rtl/>
        </w:rPr>
        <w:t xml:space="preserve"> הוגשה הבקשה השנייה להגדלת הקרן מ-8 מיליארד ש"ח ל-14 מיליארד ש"ח. בעת הגשת הבקשה נאמד הביקוש בקרן ב-35.3 מיליארד ש"ח, ובמועד מתן אישור ועדת הכספים ביום </w:t>
      </w:r>
      <w:r w:rsidRPr="002B49CF">
        <w:rPr>
          <w:rtl/>
        </w:rPr>
        <w:t>4.5.20</w:t>
      </w:r>
      <w:r w:rsidRPr="002B49CF">
        <w:rPr>
          <w:rFonts w:hint="cs"/>
          <w:rtl/>
        </w:rPr>
        <w:t xml:space="preserve"> האמיר הביקוש ל-38.1 מיליארד ש"ח. משכך, היקף הקרן ביחס לביקוש בה נאמד ב-39.6%</w:t>
      </w:r>
      <w:r w:rsidR="001218A7">
        <w:rPr>
          <w:rFonts w:hint="cs"/>
          <w:rtl/>
        </w:rPr>
        <w:t xml:space="preserve"> ביום הגשת הבקשה</w:t>
      </w:r>
      <w:r w:rsidRPr="002B49CF">
        <w:rPr>
          <w:rFonts w:hint="cs"/>
          <w:rtl/>
        </w:rPr>
        <w:t xml:space="preserve"> ו</w:t>
      </w:r>
      <w:r w:rsidR="001218A7">
        <w:rPr>
          <w:rFonts w:hint="cs"/>
          <w:rtl/>
        </w:rPr>
        <w:t>ב</w:t>
      </w:r>
      <w:r w:rsidRPr="002B49CF">
        <w:rPr>
          <w:rFonts w:hint="cs"/>
          <w:rtl/>
        </w:rPr>
        <w:t>-36.7% בלבד</w:t>
      </w:r>
      <w:r w:rsidR="001218A7">
        <w:rPr>
          <w:rFonts w:hint="cs"/>
          <w:rtl/>
        </w:rPr>
        <w:t xml:space="preserve"> במועד מתן האישור</w:t>
      </w:r>
      <w:r w:rsidRPr="002B49CF">
        <w:rPr>
          <w:rFonts w:hint="cs"/>
          <w:rtl/>
        </w:rPr>
        <w:t xml:space="preserve">. ביום </w:t>
      </w:r>
      <w:r w:rsidRPr="002B49CF">
        <w:rPr>
          <w:rtl/>
        </w:rPr>
        <w:t>2.6.20</w:t>
      </w:r>
      <w:r w:rsidRPr="002B49CF">
        <w:rPr>
          <w:rFonts w:hint="cs"/>
          <w:rtl/>
        </w:rPr>
        <w:t xml:space="preserve"> הוגשה הבקשה השלישית להגדלת הקרן מ-14 מיליארד ש"ח ל-18 מיליארד ש"ח. בעת הגשת הבקשה נאמד הביקוש בקרן ב-47.3 מיליארד ש"ח, ובמועד מתן אישור ועדת הכספים ביום </w:t>
      </w:r>
      <w:r w:rsidRPr="002B49CF">
        <w:rPr>
          <w:rtl/>
        </w:rPr>
        <w:t>17.6.20</w:t>
      </w:r>
      <w:r w:rsidRPr="002B49CF">
        <w:rPr>
          <w:rFonts w:hint="cs"/>
          <w:rtl/>
        </w:rPr>
        <w:t xml:space="preserve"> האמיר הביקוש לכדי 49 מיליארד ש"ח. משכך, היקף הקרן ביחס לביקוש בה נאמד ב-38.1%</w:t>
      </w:r>
      <w:r w:rsidR="001218A7">
        <w:rPr>
          <w:rFonts w:hint="cs"/>
          <w:rtl/>
        </w:rPr>
        <w:t xml:space="preserve"> ביום הגשת הבקשה</w:t>
      </w:r>
      <w:r w:rsidRPr="002B49CF">
        <w:rPr>
          <w:rFonts w:hint="cs"/>
          <w:rtl/>
        </w:rPr>
        <w:t xml:space="preserve"> ו</w:t>
      </w:r>
      <w:r w:rsidR="001218A7">
        <w:rPr>
          <w:rFonts w:hint="cs"/>
          <w:rtl/>
        </w:rPr>
        <w:t>ב</w:t>
      </w:r>
      <w:r w:rsidRPr="002B49CF">
        <w:rPr>
          <w:rFonts w:hint="cs"/>
          <w:rtl/>
        </w:rPr>
        <w:t>-36.7% בלבד</w:t>
      </w:r>
      <w:r w:rsidR="001218A7">
        <w:rPr>
          <w:rFonts w:hint="cs"/>
          <w:rtl/>
        </w:rPr>
        <w:t xml:space="preserve"> במועד מתן האישור.</w:t>
      </w:r>
      <w:r w:rsidRPr="002B49CF">
        <w:rPr>
          <w:rStyle w:val="FootnoteReference"/>
          <w:rFonts w:hint="cs"/>
          <w:rtl/>
        </w:rPr>
        <w:t>.</w:t>
      </w:r>
    </w:p>
    <w:p w:rsidR="00253C38" w:rsidP="00982BC1" w14:paraId="401C964B" w14:textId="035BE68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2B49CF" w:rsidP="00982BC1" w14:paraId="23BE9131" w14:textId="77777777">
      <w:pPr>
        <w:spacing w:line="269" w:lineRule="auto"/>
        <w:rPr>
          <w:szCs w:val="20"/>
          <w:rtl/>
        </w:rPr>
      </w:pPr>
      <w:r w:rsidRPr="002B49CF">
        <w:rPr>
          <w:rFonts w:hint="cs"/>
          <w:rtl/>
        </w:rPr>
        <w:t xml:space="preserve">ביום </w:t>
      </w:r>
      <w:r w:rsidRPr="002B49CF">
        <w:rPr>
          <w:rtl/>
        </w:rPr>
        <w:t>6.9.20</w:t>
      </w:r>
      <w:r w:rsidRPr="002B49CF">
        <w:rPr>
          <w:rFonts w:hint="cs"/>
          <w:rtl/>
        </w:rPr>
        <w:t xml:space="preserve"> הוגשה הבקשה הרביעית להגדלת הקרן מ-18 מיליארד ש"ח ל-36 מיליארד ש"ח. בעת הגשת הבקשה נאמד הביקוש בקרן ב-56 מיליארד ש"ח, כך שהיקף הקרן המבוקש היה כ-64.3% מהביקוש. ואולם, אישור ועדת הכספים ניתן רק ביום </w:t>
      </w:r>
      <w:r w:rsidRPr="002B49CF">
        <w:rPr>
          <w:rtl/>
        </w:rPr>
        <w:t>13.10.20</w:t>
      </w:r>
      <w:r w:rsidRPr="002B49CF">
        <w:rPr>
          <w:rFonts w:hint="cs"/>
          <w:rtl/>
        </w:rPr>
        <w:t>, שבו נאמד הביקוש לקרן ב-58.2 מיליארד ש"ח, ולכן היה 61.9%.</w:t>
      </w:r>
      <w:r w:rsidRPr="002B49CF">
        <w:rPr>
          <w:rFonts w:hint="cs"/>
          <w:b/>
          <w:bCs/>
          <w:rtl/>
        </w:rPr>
        <w:t xml:space="preserve"> </w:t>
      </w:r>
      <w:r w:rsidRPr="002B49CF">
        <w:rPr>
          <w:rFonts w:hint="cs"/>
          <w:rtl/>
        </w:rPr>
        <w:t>קצב הגדלת הקרן בהתאם לבקשות שר האוצר לוועדת הכספים היה איטי והוביל לעיכוב במענה למגזר העסקי בתקופת אי-ודאות גבוהה.</w:t>
      </w:r>
      <w:r w:rsidRPr="002B49CF">
        <w:rPr>
          <w:rFonts w:hint="cs"/>
          <w:b/>
          <w:bCs/>
          <w:rtl/>
        </w:rPr>
        <w:t xml:space="preserve"> </w:t>
      </w:r>
    </w:p>
    <w:p w:rsidR="00253C38" w:rsidRPr="002B49CF" w:rsidP="00982BC1" w14:paraId="60D4C563" w14:textId="4EAC4928">
      <w:pPr>
        <w:pStyle w:val="a"/>
        <w:spacing w:line="269" w:lineRule="auto"/>
        <w:rPr>
          <w:rtl/>
        </w:rPr>
      </w:pPr>
      <w:r w:rsidRPr="002B49CF">
        <w:rPr>
          <w:rtl/>
        </w:rPr>
        <w:fldChar w:fldCharType="begin"/>
      </w:r>
      <w:r w:rsidRPr="002B49CF">
        <w:rPr>
          <w:rtl/>
        </w:rPr>
        <w:instrText xml:space="preserve"> </w:instrText>
      </w:r>
      <w:r w:rsidRPr="002B49CF">
        <w:instrText>AUTONUMLGL \e  \* MERGEFORMAT</w:instrText>
      </w:r>
      <w:r w:rsidRPr="002B49CF">
        <w:rPr>
          <w:rtl/>
        </w:rPr>
        <w:instrText xml:space="preserve"> </w:instrText>
      </w:r>
      <w:r w:rsidRPr="002B49CF">
        <w:rPr>
          <w:rtl/>
        </w:rPr>
        <w:fldChar w:fldCharType="end"/>
      </w:r>
    </w:p>
    <w:p w:rsidR="00253C38" w:rsidP="00982BC1" w14:paraId="5DA556D5" w14:textId="77777777">
      <w:pPr>
        <w:spacing w:line="269" w:lineRule="auto"/>
        <w:rPr>
          <w:rtl/>
        </w:rPr>
      </w:pPr>
      <w:r w:rsidRPr="002B49CF">
        <w:rPr>
          <w:rFonts w:hint="cs"/>
          <w:rtl/>
        </w:rPr>
        <w:t>תרשים 16 להלן מציג את היקף הקרן ביחס לביקושים שתועדו במועדי הגשת הבקשות להגדלתה ובמועדי מתן איש</w:t>
      </w:r>
      <w:r>
        <w:rPr>
          <w:rFonts w:hint="cs"/>
          <w:rtl/>
        </w:rPr>
        <w:t>ורי ועדת הכספים.</w:t>
      </w:r>
    </w:p>
    <w:p w:rsidR="005F62A7" w:rsidRPr="00786470" w:rsidP="00982BC1" w14:paraId="2B010A7D" w14:textId="4A612A8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61FC2078" w14:textId="77777777">
      <w:pPr>
        <w:spacing w:line="269" w:lineRule="auto"/>
        <w:ind w:left="720"/>
        <w:jc w:val="center"/>
        <w:rPr>
          <w:b/>
          <w:bCs/>
          <w:rtl/>
        </w:rPr>
      </w:pPr>
      <w:r w:rsidRPr="001C6911">
        <w:rPr>
          <w:rFonts w:hint="eastAsia"/>
          <w:b/>
          <w:bCs/>
          <w:rtl/>
        </w:rPr>
        <w:t>תרשים</w:t>
      </w:r>
      <w:r w:rsidRPr="001C6911">
        <w:rPr>
          <w:b/>
          <w:bCs/>
          <w:rtl/>
        </w:rPr>
        <w:t xml:space="preserve"> 16: היקף הקרן לעסקים קטנים ובינוניים ביחס </w:t>
      </w:r>
      <w:r w:rsidRPr="001C6911">
        <w:rPr>
          <w:rFonts w:hint="eastAsia"/>
          <w:b/>
          <w:bCs/>
          <w:rtl/>
        </w:rPr>
        <w:t>לביקוש</w:t>
      </w:r>
      <w:r w:rsidRPr="001C6911">
        <w:rPr>
          <w:b/>
          <w:bCs/>
          <w:rtl/>
        </w:rPr>
        <w:t xml:space="preserve"> המצטבר להלוואות </w:t>
      </w:r>
      <w:r w:rsidRPr="001C6911">
        <w:rPr>
          <w:rFonts w:hint="eastAsia"/>
          <w:b/>
          <w:bCs/>
          <w:rtl/>
        </w:rPr>
        <w:t>במועדי</w:t>
      </w:r>
      <w:r w:rsidRPr="001C6911">
        <w:rPr>
          <w:b/>
          <w:bCs/>
          <w:rtl/>
        </w:rPr>
        <w:t xml:space="preserve"> </w:t>
      </w:r>
      <w:r w:rsidRPr="001C6911">
        <w:rPr>
          <w:rFonts w:hint="eastAsia"/>
          <w:b/>
          <w:bCs/>
          <w:rtl/>
        </w:rPr>
        <w:t>הגשת</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להגדלתה</w:t>
      </w:r>
      <w:r w:rsidRPr="001C6911">
        <w:rPr>
          <w:b/>
          <w:bCs/>
          <w:rtl/>
        </w:rPr>
        <w:t xml:space="preserve"> </w:t>
      </w:r>
      <w:r w:rsidRPr="001C6911">
        <w:rPr>
          <w:rFonts w:hint="eastAsia"/>
          <w:b/>
          <w:bCs/>
          <w:rtl/>
        </w:rPr>
        <w:t>ומתן</w:t>
      </w:r>
      <w:r w:rsidRPr="001C6911">
        <w:rPr>
          <w:b/>
          <w:bCs/>
          <w:rtl/>
        </w:rPr>
        <w:t xml:space="preserve"> </w:t>
      </w:r>
      <w:r w:rsidRPr="001C6911">
        <w:rPr>
          <w:rFonts w:hint="eastAsia"/>
          <w:b/>
          <w:bCs/>
          <w:rtl/>
        </w:rPr>
        <w:t>האישור</w:t>
      </w:r>
      <w:r w:rsidRPr="001C6911">
        <w:rPr>
          <w:b/>
          <w:bCs/>
          <w:rtl/>
        </w:rPr>
        <w:t xml:space="preserve"> </w:t>
      </w:r>
      <w:r w:rsidRPr="001C6911">
        <w:rPr>
          <w:rFonts w:hint="eastAsia"/>
          <w:b/>
          <w:bCs/>
          <w:rtl/>
        </w:rPr>
        <w:t>מוועדת</w:t>
      </w:r>
      <w:r w:rsidRPr="001C6911">
        <w:rPr>
          <w:b/>
          <w:bCs/>
          <w:rtl/>
        </w:rPr>
        <w:t xml:space="preserve"> </w:t>
      </w:r>
      <w:r w:rsidRPr="001C6911">
        <w:rPr>
          <w:rFonts w:hint="eastAsia"/>
          <w:b/>
          <w:bCs/>
          <w:rtl/>
        </w:rPr>
        <w:t>הכספים</w:t>
      </w:r>
      <w:r w:rsidRPr="001C6911">
        <w:rPr>
          <w:b/>
          <w:bCs/>
          <w:rtl/>
        </w:rPr>
        <w:t xml:space="preserve">, </w:t>
      </w:r>
      <w:r>
        <w:rPr>
          <w:rFonts w:hint="cs"/>
          <w:b/>
          <w:bCs/>
          <w:rtl/>
        </w:rPr>
        <w:t>2020</w:t>
      </w:r>
      <w:r w:rsidRPr="00774AEA">
        <w:rPr>
          <w:rFonts w:hint="cs"/>
          <w:b/>
          <w:bCs/>
          <w:rtl/>
        </w:rPr>
        <w:t xml:space="preserve"> </w:t>
      </w:r>
      <w:r>
        <w:rPr>
          <w:rFonts w:hint="cs"/>
          <w:b/>
          <w:bCs/>
          <w:rtl/>
        </w:rPr>
        <w:t>(</w:t>
      </w:r>
      <w:r w:rsidRPr="001C6911">
        <w:rPr>
          <w:rFonts w:hint="eastAsia"/>
          <w:b/>
          <w:bCs/>
          <w:rtl/>
        </w:rPr>
        <w:t>במיליארדי</w:t>
      </w:r>
      <w:r w:rsidRPr="001C6911">
        <w:rPr>
          <w:b/>
          <w:bCs/>
          <w:rtl/>
        </w:rPr>
        <w:t xml:space="preserve"> </w:t>
      </w:r>
      <w:r w:rsidRPr="001C6911">
        <w:rPr>
          <w:rFonts w:hint="eastAsia"/>
          <w:b/>
          <w:bCs/>
          <w:rtl/>
        </w:rPr>
        <w:t>ש</w:t>
      </w:r>
      <w:r w:rsidRPr="001C6911">
        <w:rPr>
          <w:b/>
          <w:bCs/>
          <w:rtl/>
        </w:rPr>
        <w:t>"ח</w:t>
      </w:r>
      <w:r>
        <w:rPr>
          <w:rFonts w:hint="cs"/>
          <w:b/>
          <w:bCs/>
          <w:rtl/>
        </w:rPr>
        <w:t>)</w:t>
      </w:r>
    </w:p>
    <w:p w:rsidR="00253C38" w:rsidP="00982BC1" w14:paraId="20768B3D" w14:textId="77777777">
      <w:pPr>
        <w:spacing w:line="269" w:lineRule="auto"/>
        <w:ind w:left="-567"/>
        <w:jc w:val="center"/>
        <w:rPr>
          <w:b/>
          <w:bCs/>
          <w:rtl/>
        </w:rPr>
      </w:pPr>
      <w:r>
        <w:rPr>
          <w:noProof/>
        </w:rPr>
        <w:drawing>
          <wp:inline distT="0" distB="0" distL="0" distR="0">
            <wp:extent cx="6082665" cy="2810069"/>
            <wp:effectExtent l="0" t="0" r="0" b="9525"/>
            <wp:docPr id="1743882422" name="תמונה 174388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09266" name=""/>
                    <pic:cNvPicPr/>
                  </pic:nvPicPr>
                  <pic:blipFill>
                    <a:blip xmlns:r="http://schemas.openxmlformats.org/officeDocument/2006/relationships" r:embed="rId22"/>
                    <a:stretch>
                      <a:fillRect/>
                    </a:stretch>
                  </pic:blipFill>
                  <pic:spPr>
                    <a:xfrm>
                      <a:off x="0" y="0"/>
                      <a:ext cx="6103384" cy="2819641"/>
                    </a:xfrm>
                    <a:prstGeom prst="rect">
                      <a:avLst/>
                    </a:prstGeom>
                  </pic:spPr>
                </pic:pic>
              </a:graphicData>
            </a:graphic>
          </wp:inline>
        </w:drawing>
      </w:r>
    </w:p>
    <w:p w:rsidR="00253C38" w:rsidP="00982BC1" w14:paraId="7EC86F5C" w14:textId="647033CB">
      <w:pPr>
        <w:spacing w:line="269" w:lineRule="auto"/>
        <w:rPr>
          <w:sz w:val="18"/>
          <w:szCs w:val="22"/>
          <w:rtl/>
        </w:rPr>
      </w:pPr>
      <w:r w:rsidRPr="00982BC1">
        <w:rPr>
          <w:rFonts w:hint="cs"/>
          <w:sz w:val="18"/>
          <w:szCs w:val="22"/>
          <w:rtl/>
        </w:rPr>
        <w:t>נתוני החשכ"ל, בעיבוד משרד מבקר המדינה.</w:t>
      </w:r>
    </w:p>
    <w:p w:rsidR="00982BC1" w:rsidP="00982BC1" w14:paraId="3F7FEEE7" w14:textId="6C21C26F">
      <w:pPr>
        <w:spacing w:line="269" w:lineRule="auto"/>
        <w:rPr>
          <w:sz w:val="18"/>
          <w:szCs w:val="22"/>
          <w:rtl/>
        </w:rPr>
      </w:pPr>
    </w:p>
    <w:p w:rsidR="00982BC1" w:rsidP="00982BC1" w14:paraId="73DCD8F9" w14:textId="77777777">
      <w:pPr>
        <w:pStyle w:val="a"/>
        <w:spacing w:line="269" w:lineRule="auto"/>
        <w:rPr>
          <w:rtl/>
        </w:rPr>
      </w:pPr>
    </w:p>
    <w:p w:rsidR="00253C38" w:rsidP="00982BC1" w14:paraId="6A651235" w14:textId="2924625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26608" w:rsidP="00982BC1" w14:paraId="427869C6" w14:textId="77777777">
      <w:pPr>
        <w:spacing w:line="269" w:lineRule="auto"/>
        <w:rPr>
          <w:rtl/>
        </w:rPr>
      </w:pPr>
      <w:r>
        <w:rPr>
          <w:rFonts w:hint="cs"/>
          <w:b/>
          <w:bCs/>
          <w:rtl/>
        </w:rPr>
        <w:t xml:space="preserve">מתרשים 16 עולה כי </w:t>
      </w:r>
      <w:r w:rsidRPr="00CE2A8A">
        <w:rPr>
          <w:rFonts w:hint="cs"/>
          <w:b/>
          <w:bCs/>
          <w:rtl/>
        </w:rPr>
        <w:t xml:space="preserve">מדיניות </w:t>
      </w:r>
      <w:r>
        <w:rPr>
          <w:rFonts w:hint="cs"/>
          <w:b/>
          <w:bCs/>
          <w:rtl/>
        </w:rPr>
        <w:t>משרד האוצר</w:t>
      </w:r>
      <w:r w:rsidRPr="00CE2A8A">
        <w:rPr>
          <w:rFonts w:hint="cs"/>
          <w:b/>
          <w:bCs/>
          <w:rtl/>
        </w:rPr>
        <w:t xml:space="preserve"> הובילה לפערי עיתוי ב</w:t>
      </w:r>
      <w:r>
        <w:rPr>
          <w:rFonts w:hint="cs"/>
          <w:b/>
          <w:bCs/>
          <w:rtl/>
        </w:rPr>
        <w:t>ין ה</w:t>
      </w:r>
      <w:r w:rsidRPr="00CE2A8A">
        <w:rPr>
          <w:rFonts w:hint="cs"/>
          <w:b/>
          <w:bCs/>
          <w:rtl/>
        </w:rPr>
        <w:t xml:space="preserve">ביקוש הגדול </w:t>
      </w:r>
      <w:r>
        <w:rPr>
          <w:rFonts w:hint="cs"/>
          <w:b/>
          <w:bCs/>
          <w:rtl/>
        </w:rPr>
        <w:t xml:space="preserve">לקבלת הלוואות </w:t>
      </w:r>
      <w:r w:rsidRPr="00CE2A8A">
        <w:rPr>
          <w:rFonts w:hint="cs"/>
          <w:b/>
          <w:bCs/>
          <w:rtl/>
        </w:rPr>
        <w:t>ב</w:t>
      </w:r>
      <w:r>
        <w:rPr>
          <w:rFonts w:hint="cs"/>
          <w:b/>
          <w:bCs/>
          <w:rtl/>
        </w:rPr>
        <w:t>מסלול הרגיל ב</w:t>
      </w:r>
      <w:r w:rsidRPr="00CE2A8A">
        <w:rPr>
          <w:rFonts w:hint="cs"/>
          <w:b/>
          <w:bCs/>
          <w:rtl/>
        </w:rPr>
        <w:t xml:space="preserve">קרן לעסקים קטנים ובינוניים לבין היצע </w:t>
      </w:r>
      <w:r>
        <w:rPr>
          <w:rFonts w:hint="cs"/>
          <w:b/>
          <w:bCs/>
          <w:rtl/>
        </w:rPr>
        <w:t xml:space="preserve">האשראי </w:t>
      </w:r>
      <w:r w:rsidRPr="00CE2A8A">
        <w:rPr>
          <w:rFonts w:hint="cs"/>
          <w:b/>
          <w:bCs/>
          <w:rtl/>
        </w:rPr>
        <w:t>המוגבל בה.</w:t>
      </w:r>
      <w:r>
        <w:rPr>
          <w:rFonts w:hint="cs"/>
          <w:b/>
          <w:bCs/>
          <w:rtl/>
        </w:rPr>
        <w:t xml:space="preserve"> ה</w:t>
      </w:r>
      <w:r w:rsidRPr="00CE2A8A">
        <w:rPr>
          <w:rFonts w:hint="cs"/>
          <w:b/>
          <w:bCs/>
          <w:rtl/>
        </w:rPr>
        <w:t>בקשות</w:t>
      </w:r>
      <w:r>
        <w:rPr>
          <w:rFonts w:hint="cs"/>
          <w:b/>
          <w:bCs/>
          <w:rtl/>
        </w:rPr>
        <w:t xml:space="preserve"> להגדלת הקרן שה</w:t>
      </w:r>
      <w:r w:rsidRPr="00CE2A8A">
        <w:rPr>
          <w:rFonts w:hint="cs"/>
          <w:b/>
          <w:bCs/>
          <w:rtl/>
        </w:rPr>
        <w:t>ג</w:t>
      </w:r>
      <w:r>
        <w:rPr>
          <w:rFonts w:hint="cs"/>
          <w:b/>
          <w:bCs/>
          <w:rtl/>
        </w:rPr>
        <w:t>יש שר האוצר</w:t>
      </w:r>
      <w:r w:rsidRPr="00CE2A8A">
        <w:rPr>
          <w:rFonts w:hint="cs"/>
          <w:b/>
          <w:bCs/>
          <w:rtl/>
        </w:rPr>
        <w:t xml:space="preserve"> ל</w:t>
      </w:r>
      <w:r>
        <w:rPr>
          <w:rFonts w:hint="cs"/>
          <w:b/>
          <w:bCs/>
          <w:rtl/>
        </w:rPr>
        <w:t>ו</w:t>
      </w:r>
      <w:r w:rsidRPr="00CE2A8A">
        <w:rPr>
          <w:rFonts w:hint="cs"/>
          <w:b/>
          <w:bCs/>
          <w:rtl/>
        </w:rPr>
        <w:t xml:space="preserve">ועדת הכספים לא הלמו </w:t>
      </w:r>
      <w:r>
        <w:rPr>
          <w:rFonts w:hint="cs"/>
          <w:b/>
          <w:bCs/>
          <w:rtl/>
        </w:rPr>
        <w:t xml:space="preserve">את </w:t>
      </w:r>
      <w:r w:rsidRPr="00AD47FF">
        <w:rPr>
          <w:rFonts w:hint="cs"/>
          <w:b/>
          <w:bCs/>
          <w:rtl/>
        </w:rPr>
        <w:t>רמת הביקוש, ובכך לא</w:t>
      </w:r>
      <w:r>
        <w:rPr>
          <w:rFonts w:hint="cs"/>
          <w:b/>
          <w:bCs/>
          <w:rtl/>
        </w:rPr>
        <w:t xml:space="preserve"> תרמו בצורה מיטבית למימוש </w:t>
      </w:r>
      <w:r w:rsidRPr="00CE2A8A">
        <w:rPr>
          <w:rFonts w:hint="cs"/>
          <w:b/>
          <w:bCs/>
          <w:rtl/>
        </w:rPr>
        <w:t>יעדי</w:t>
      </w:r>
      <w:r>
        <w:rPr>
          <w:rFonts w:hint="cs"/>
          <w:b/>
          <w:bCs/>
          <w:rtl/>
        </w:rPr>
        <w:t xml:space="preserve"> הקרן</w:t>
      </w:r>
      <w:r w:rsidRPr="00CE2A8A">
        <w:rPr>
          <w:rFonts w:hint="cs"/>
          <w:b/>
          <w:bCs/>
          <w:rtl/>
        </w:rPr>
        <w:t xml:space="preserve"> בהענקת סיוע נרחב לעסקים </w:t>
      </w:r>
      <w:r>
        <w:rPr>
          <w:rFonts w:hint="cs"/>
          <w:b/>
          <w:bCs/>
          <w:rtl/>
        </w:rPr>
        <w:t>ב</w:t>
      </w:r>
      <w:r w:rsidRPr="00CE2A8A">
        <w:rPr>
          <w:rFonts w:hint="cs"/>
          <w:b/>
          <w:bCs/>
          <w:rtl/>
        </w:rPr>
        <w:t>משבר</w:t>
      </w:r>
      <w:r>
        <w:rPr>
          <w:rFonts w:hint="cs"/>
          <w:b/>
          <w:bCs/>
          <w:rtl/>
        </w:rPr>
        <w:t xml:space="preserve"> וליצירת ודאות בקרב בעלי העסקים</w:t>
      </w:r>
      <w:r w:rsidRPr="00CE2A8A">
        <w:rPr>
          <w:rFonts w:hint="cs"/>
          <w:b/>
          <w:bCs/>
          <w:rtl/>
        </w:rPr>
        <w:t>.</w:t>
      </w:r>
      <w:r>
        <w:rPr>
          <w:rFonts w:hint="cs"/>
          <w:rtl/>
        </w:rPr>
        <w:t xml:space="preserve"> </w:t>
      </w:r>
    </w:p>
    <w:p w:rsidR="00253C38" w:rsidP="00982BC1" w14:paraId="207EA7B3" w14:textId="1811A0F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5F43E8B" w14:textId="77777777">
      <w:pPr>
        <w:spacing w:line="269" w:lineRule="auto"/>
        <w:rPr>
          <w:rtl/>
        </w:rPr>
      </w:pPr>
      <w:r>
        <w:rPr>
          <w:rFonts w:hint="cs"/>
          <w:rtl/>
        </w:rPr>
        <w:t xml:space="preserve">אגף החשכ"ל כתב למשרד מבקר </w:t>
      </w:r>
      <w:r w:rsidRPr="001218A7">
        <w:rPr>
          <w:rFonts w:hint="cs"/>
          <w:rtl/>
        </w:rPr>
        <w:t>המדינה ב-</w:t>
      </w:r>
      <w:r w:rsidRPr="001218A7">
        <w:rPr>
          <w:rtl/>
        </w:rPr>
        <w:t>16.11.20</w:t>
      </w:r>
      <w:r w:rsidRPr="001218A7">
        <w:rPr>
          <w:rFonts w:hint="cs"/>
          <w:rtl/>
        </w:rPr>
        <w:t xml:space="preserve">: "היקף הבקשות הוא נתון שמגיע מאוחר על ציר הזמן ביחס למועד הגשת הבקשה של השר לוועדת הכספים בכנסת... יתרה מזאת, האינטרס הציבורי הוא להניח מנגנון רציף, ומשכך בכל עת שבה החלטת המדיניות היא להמשיך את הסיוע בקרן, הרי שנדרש להגדיל את הקרן </w:t>
      </w:r>
      <w:r w:rsidRPr="001C6911">
        <w:rPr>
          <w:rFonts w:hint="eastAsia"/>
          <w:b/>
          <w:bCs/>
          <w:rtl/>
        </w:rPr>
        <w:t>בטרם</w:t>
      </w:r>
      <w:r w:rsidRPr="001C6911">
        <w:rPr>
          <w:b/>
          <w:bCs/>
          <w:rtl/>
        </w:rPr>
        <w:t xml:space="preserve"> </w:t>
      </w:r>
      <w:r w:rsidRPr="001218A7">
        <w:rPr>
          <w:rFonts w:hint="cs"/>
          <w:rtl/>
        </w:rPr>
        <w:t>[ההדגשה במקור] תגיע למיצוי מוחלט שיגרור את הפסקתה בפועל עד לקבלת אישור נוסף מהווע</w:t>
      </w:r>
      <w:r>
        <w:rPr>
          <w:rFonts w:hint="cs"/>
          <w:rtl/>
        </w:rPr>
        <w:t>דה. מאחר ומדובר בקרן הלוואות שהביצועים שלה נגזרים בין היתר מהביקוש של העסקים עצמם, הרי שהבקשה שמוגשת לוועדת הכספים מתייחסת להערכות לגבי צפי סכומי ההלוואות שיתבקשו ושיאושרו על ידי הגופים המממנים בסופו של תהליך".</w:t>
      </w:r>
    </w:p>
    <w:p w:rsidR="00253C38" w:rsidP="00982BC1" w14:paraId="76101D08"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6F79" w:rsidRPr="00BE6532" w:rsidP="00982BC1" w14:paraId="41D07E7A" w14:textId="7D879C2E">
      <w:pPr>
        <w:spacing w:line="269" w:lineRule="auto"/>
        <w:rPr>
          <w:sz w:val="24"/>
          <w:rtl/>
        </w:rPr>
      </w:pPr>
      <w:r>
        <w:rPr>
          <w:rFonts w:hint="cs"/>
          <w:rtl/>
        </w:rPr>
        <w:t xml:space="preserve">עוד כתב אגף החשכ"ל למשרד </w:t>
      </w:r>
      <w:r w:rsidRPr="001218A7">
        <w:rPr>
          <w:rFonts w:hint="cs"/>
          <w:rtl/>
        </w:rPr>
        <w:t xml:space="preserve">מבקר המדינה </w:t>
      </w:r>
      <w:r w:rsidRPr="001218A7">
        <w:rPr>
          <w:rFonts w:hint="eastAsia"/>
          <w:rtl/>
        </w:rPr>
        <w:t>ב</w:t>
      </w:r>
      <w:r w:rsidRPr="001218A7">
        <w:rPr>
          <w:rtl/>
        </w:rPr>
        <w:t>-17.3.21</w:t>
      </w:r>
      <w:r w:rsidRPr="001218A7">
        <w:rPr>
          <w:rFonts w:hint="cs"/>
          <w:rtl/>
        </w:rPr>
        <w:t xml:space="preserve"> כי יש לבחון אם קצב הגדלת הקרן יצר חסם מפני העמדת הלוואות ופגע בסיוע שניתן לעסקים דרכה,</w:t>
      </w:r>
      <w:r w:rsidR="005537CA">
        <w:rPr>
          <w:rFonts w:hint="cs"/>
          <w:rtl/>
        </w:rPr>
        <w:t xml:space="preserve"> </w:t>
      </w:r>
      <w:r w:rsidRPr="001218A7">
        <w:rPr>
          <w:rFonts w:hint="cs"/>
          <w:rtl/>
        </w:rPr>
        <w:t>על ידי השוואה בין היצע האשראי המאושר לבין היקף ההלוואות המאושרות. השוואה שכזו תראה כי "</w:t>
      </w:r>
      <w:r w:rsidRPr="001218A7">
        <w:rPr>
          <w:rtl/>
        </w:rPr>
        <w:t>בכל עת שבה התברר כי היקפי ההלוואות שאושרו מתקרב להיצע האשראי המאושר, נעשתה פניה מיידית לוועדת הכספים כך שההיצע לעולם</w:t>
      </w:r>
      <w:r>
        <w:rPr>
          <w:rtl/>
        </w:rPr>
        <w:t xml:space="preserve"> </w:t>
      </w:r>
      <w:r w:rsidRPr="00BE6532">
        <w:rPr>
          <w:rtl/>
        </w:rPr>
        <w:t>יהיה גבוה מהיקף ההלוואות המאושרות</w:t>
      </w:r>
      <w:r w:rsidRPr="00BE6532">
        <w:rPr>
          <w:sz w:val="24"/>
          <w:rtl/>
        </w:rPr>
        <w:t xml:space="preserve">... </w:t>
      </w:r>
      <w:r w:rsidRPr="00BE6532">
        <w:rPr>
          <w:rStyle w:val="Bodytext2Bold"/>
          <w:sz w:val="24"/>
          <w:szCs w:val="24"/>
          <w:rtl/>
        </w:rPr>
        <w:t>מעולם לא היה פע</w:t>
      </w:r>
      <w:r w:rsidRPr="00BE6532">
        <w:rPr>
          <w:rStyle w:val="Bodytext2Bold"/>
          <w:rFonts w:hint="eastAsia"/>
          <w:sz w:val="24"/>
          <w:szCs w:val="24"/>
          <w:rtl/>
        </w:rPr>
        <w:t>ר</w:t>
      </w:r>
      <w:r w:rsidRPr="00BE6532">
        <w:rPr>
          <w:rStyle w:val="Bodytext2Bold"/>
          <w:sz w:val="24"/>
          <w:szCs w:val="24"/>
          <w:rtl/>
        </w:rPr>
        <w:t xml:space="preserve"> כאמו</w:t>
      </w:r>
      <w:r w:rsidRPr="00BE6532">
        <w:rPr>
          <w:rStyle w:val="Bodytext2Bold"/>
          <w:rFonts w:hint="cs"/>
          <w:sz w:val="24"/>
          <w:szCs w:val="24"/>
          <w:rtl/>
        </w:rPr>
        <w:t>ר</w:t>
      </w:r>
      <w:r w:rsidRPr="00BE6532">
        <w:rPr>
          <w:rStyle w:val="Bodytext2Bold"/>
          <w:sz w:val="24"/>
          <w:szCs w:val="24"/>
          <w:rtl/>
        </w:rPr>
        <w:t xml:space="preserve"> שהשפיע על יכולת העמדת ההלוואות על ידי</w:t>
      </w:r>
      <w:r w:rsidRPr="00BE6532">
        <w:rPr>
          <w:rStyle w:val="Bodytext2Bold"/>
          <w:rFonts w:hint="cs"/>
          <w:sz w:val="24"/>
          <w:szCs w:val="24"/>
          <w:rtl/>
        </w:rPr>
        <w:t xml:space="preserve"> </w:t>
      </w:r>
      <w:r w:rsidRPr="00BE6532">
        <w:rPr>
          <w:rStyle w:val="Bodytext2Bold"/>
          <w:sz w:val="24"/>
          <w:szCs w:val="24"/>
          <w:rtl/>
        </w:rPr>
        <w:t>הקרנות</w:t>
      </w:r>
      <w:r w:rsidRPr="00BE6532">
        <w:rPr>
          <w:rStyle w:val="Bodytext2Bold"/>
          <w:b w:val="0"/>
          <w:bCs w:val="0"/>
          <w:sz w:val="24"/>
          <w:szCs w:val="24"/>
          <w:rtl/>
        </w:rPr>
        <w:t>"</w:t>
      </w:r>
      <w:r w:rsidRPr="00BE6532">
        <w:rPr>
          <w:rFonts w:hint="cs"/>
          <w:sz w:val="24"/>
          <w:rtl/>
        </w:rPr>
        <w:t xml:space="preserve"> (ההדגשה במקור).</w:t>
      </w:r>
    </w:p>
    <w:p w:rsidR="00253C38" w:rsidRPr="00BE6532" w:rsidP="00982BC1" w14:paraId="2F3E690B" w14:textId="3C43F2B1">
      <w:pPr>
        <w:pStyle w:val="a"/>
        <w:spacing w:line="269" w:lineRule="auto"/>
        <w:rPr>
          <w:rtl/>
        </w:rPr>
      </w:pPr>
      <w:r w:rsidRPr="00BE6532">
        <w:rPr>
          <w:rtl/>
        </w:rPr>
        <w:fldChar w:fldCharType="begin"/>
      </w:r>
      <w:r w:rsidRPr="00BE6532">
        <w:rPr>
          <w:rtl/>
        </w:rPr>
        <w:instrText xml:space="preserve"> </w:instrText>
      </w:r>
      <w:r w:rsidRPr="00BE6532">
        <w:instrText>AUTONUMLGL \e  \* MERGEFORMAT</w:instrText>
      </w:r>
      <w:r w:rsidRPr="00BE6532">
        <w:rPr>
          <w:rtl/>
        </w:rPr>
        <w:instrText xml:space="preserve"> </w:instrText>
      </w:r>
      <w:r w:rsidRPr="00BE6532">
        <w:rPr>
          <w:rtl/>
        </w:rPr>
        <w:fldChar w:fldCharType="end"/>
      </w:r>
    </w:p>
    <w:p w:rsidR="00256F79" w:rsidP="00982BC1" w14:paraId="08509900" w14:textId="08A7EDDC">
      <w:pPr>
        <w:spacing w:line="269" w:lineRule="auto"/>
        <w:rPr>
          <w:b/>
          <w:bCs/>
          <w:rtl/>
        </w:rPr>
      </w:pPr>
      <w:r w:rsidRPr="00BE6532">
        <w:rPr>
          <w:rFonts w:hint="cs"/>
          <w:b/>
          <w:bCs/>
          <w:rtl/>
        </w:rPr>
        <w:t>משרד מבקר המדינה מדגיש כי היקף הקרנות ביחס לסכומים המבוקשים היה נמוך מהותית משיעור הבקשות שאושרו בקרן (כ-47% בממוצע) במהלך רוב חודשי פעילותה</w:t>
      </w:r>
      <w:r w:rsidR="00BE6532">
        <w:rPr>
          <w:rFonts w:hint="cs"/>
          <w:b/>
          <w:bCs/>
          <w:rtl/>
        </w:rPr>
        <w:t>.</w:t>
      </w:r>
      <w:r w:rsidRPr="00BE6532" w:rsidR="00A31FBE">
        <w:rPr>
          <w:b/>
          <w:bCs/>
          <w:rtl/>
        </w:rPr>
        <w:t xml:space="preserve"> </w:t>
      </w:r>
      <w:r w:rsidRPr="00BE6532" w:rsidR="00A31FBE">
        <w:rPr>
          <w:rFonts w:hint="eastAsia"/>
          <w:b/>
          <w:bCs/>
          <w:rtl/>
        </w:rPr>
        <w:t>היצע</w:t>
      </w:r>
      <w:r w:rsidRPr="00BE6532" w:rsidR="00A31FBE">
        <w:rPr>
          <w:b/>
          <w:bCs/>
          <w:rtl/>
        </w:rPr>
        <w:t xml:space="preserve"> </w:t>
      </w:r>
      <w:r w:rsidRPr="00BE6532" w:rsidR="00A31FBE">
        <w:rPr>
          <w:rFonts w:hint="eastAsia"/>
          <w:b/>
          <w:bCs/>
          <w:rtl/>
        </w:rPr>
        <w:t>נמוך</w:t>
      </w:r>
      <w:r w:rsidRPr="00BE6532" w:rsidR="00A31FBE">
        <w:rPr>
          <w:b/>
          <w:bCs/>
          <w:rtl/>
        </w:rPr>
        <w:t xml:space="preserve"> זה </w:t>
      </w:r>
      <w:r w:rsidRPr="00BE6532" w:rsidR="00A31FBE">
        <w:rPr>
          <w:rFonts w:hint="eastAsia"/>
          <w:b/>
          <w:bCs/>
          <w:rtl/>
        </w:rPr>
        <w:t>הביא</w:t>
      </w:r>
      <w:r w:rsidRPr="00BE6532" w:rsidR="00A31FBE">
        <w:rPr>
          <w:b/>
          <w:bCs/>
          <w:rtl/>
        </w:rPr>
        <w:t xml:space="preserve"> </w:t>
      </w:r>
      <w:r w:rsidRPr="00BE6532" w:rsidR="00A31FBE">
        <w:rPr>
          <w:rFonts w:hint="eastAsia"/>
          <w:b/>
          <w:bCs/>
          <w:rtl/>
        </w:rPr>
        <w:t>לצמצום</w:t>
      </w:r>
      <w:r w:rsidRPr="00BE6532" w:rsidR="00654A1D">
        <w:rPr>
          <w:b/>
          <w:bCs/>
          <w:rtl/>
        </w:rPr>
        <w:t xml:space="preserve"> </w:t>
      </w:r>
      <w:r w:rsidRPr="00BE6532" w:rsidR="003A5A81">
        <w:rPr>
          <w:b/>
          <w:bCs/>
          <w:rtl/>
        </w:rPr>
        <w:t>במספר ההלוואות המאושרות</w:t>
      </w:r>
      <w:r w:rsidRPr="00BE6532" w:rsidR="003A5A81">
        <w:rPr>
          <w:rFonts w:hint="cs"/>
          <w:b/>
          <w:bCs/>
          <w:rtl/>
        </w:rPr>
        <w:t xml:space="preserve">, </w:t>
      </w:r>
      <w:r w:rsidRPr="00BE6532" w:rsidR="00A31FBE">
        <w:rPr>
          <w:b/>
          <w:bCs/>
          <w:rtl/>
        </w:rPr>
        <w:t>להפחתת הסכומים ש</w:t>
      </w:r>
      <w:r w:rsidRPr="00BE6532" w:rsidR="00654A1D">
        <w:rPr>
          <w:rFonts w:hint="eastAsia"/>
          <w:b/>
          <w:bCs/>
          <w:rtl/>
        </w:rPr>
        <w:t>הועמדו</w:t>
      </w:r>
      <w:r w:rsidRPr="00BE6532" w:rsidR="00A31FBE">
        <w:rPr>
          <w:b/>
          <w:bCs/>
          <w:rtl/>
        </w:rPr>
        <w:t xml:space="preserve"> בהשוואה לסכומים המבוקשים</w:t>
      </w:r>
      <w:r w:rsidRPr="00BE6532" w:rsidR="003A5A81">
        <w:rPr>
          <w:b/>
          <w:bCs/>
          <w:rtl/>
        </w:rPr>
        <w:t xml:space="preserve"> ולהגברת יכולות </w:t>
      </w:r>
      <w:r w:rsidRPr="00BE6532" w:rsidR="003A5A81">
        <w:rPr>
          <w:rFonts w:hint="eastAsia"/>
          <w:b/>
          <w:bCs/>
          <w:rtl/>
        </w:rPr>
        <w:t>ת</w:t>
      </w:r>
      <w:r w:rsidR="00BE6532">
        <w:rPr>
          <w:rFonts w:hint="cs"/>
          <w:b/>
          <w:bCs/>
          <w:rtl/>
        </w:rPr>
        <w:t>י</w:t>
      </w:r>
      <w:r w:rsidRPr="00BE6532" w:rsidR="003A5A81">
        <w:rPr>
          <w:rFonts w:hint="eastAsia"/>
          <w:b/>
          <w:bCs/>
          <w:rtl/>
        </w:rPr>
        <w:t>עדוף</w:t>
      </w:r>
      <w:r w:rsidRPr="00BE6532" w:rsidR="003A5A81">
        <w:rPr>
          <w:rFonts w:hint="cs"/>
          <w:b/>
          <w:bCs/>
          <w:rtl/>
        </w:rPr>
        <w:t xml:space="preserve"> הלווים</w:t>
      </w:r>
      <w:r w:rsidRPr="00BE6532" w:rsidR="003A5A81">
        <w:rPr>
          <w:b/>
          <w:bCs/>
          <w:rtl/>
        </w:rPr>
        <w:t xml:space="preserve"> </w:t>
      </w:r>
      <w:r w:rsidRPr="00BE6532" w:rsidR="003A5A81">
        <w:rPr>
          <w:rFonts w:hint="cs"/>
          <w:b/>
          <w:bCs/>
          <w:rtl/>
        </w:rPr>
        <w:t>מצד</w:t>
      </w:r>
      <w:r w:rsidRPr="00BE6532" w:rsidR="003A5A81">
        <w:rPr>
          <w:b/>
          <w:bCs/>
          <w:rtl/>
        </w:rPr>
        <w:t xml:space="preserve"> ה</w:t>
      </w:r>
      <w:r w:rsidRPr="00BE6532" w:rsidR="00BE6532">
        <w:rPr>
          <w:rFonts w:hint="cs"/>
          <w:b/>
          <w:bCs/>
          <w:rtl/>
        </w:rPr>
        <w:t>גופים המממנים</w:t>
      </w:r>
      <w:r w:rsidRPr="00BE6532">
        <w:rPr>
          <w:rFonts w:hint="cs"/>
          <w:b/>
          <w:bCs/>
          <w:rtl/>
        </w:rPr>
        <w:t xml:space="preserve"> ולכן פגעו ביכולת השרידות של עסקים רבים.</w:t>
      </w:r>
    </w:p>
    <w:p w:rsidR="00256F79" w:rsidP="00982BC1" w14:paraId="170A4BDA" w14:textId="28F5A7D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6F79" w:rsidP="00982BC1" w14:paraId="5BD023BE" w14:textId="5205EAE5">
      <w:pPr>
        <w:spacing w:line="269" w:lineRule="auto"/>
        <w:rPr>
          <w:b/>
          <w:bCs/>
          <w:rtl/>
        </w:rPr>
      </w:pPr>
      <w:r>
        <w:rPr>
          <w:rFonts w:hint="cs"/>
          <w:b/>
          <w:bCs/>
          <w:rtl/>
        </w:rPr>
        <w:t xml:space="preserve">משרד מבקר המדינה ממליץ לבחון את המשך מגמת הרחבת הקרן בדומה </w:t>
      </w:r>
      <w:r w:rsidRPr="00EA62BC">
        <w:rPr>
          <w:rFonts w:hint="eastAsia"/>
          <w:b/>
          <w:bCs/>
          <w:rtl/>
        </w:rPr>
        <w:t>לפעימה</w:t>
      </w:r>
      <w:r w:rsidRPr="00EA62BC">
        <w:rPr>
          <w:b/>
          <w:bCs/>
          <w:rtl/>
        </w:rPr>
        <w:t xml:space="preserve"> </w:t>
      </w:r>
      <w:r w:rsidRPr="00EA62BC">
        <w:rPr>
          <w:rFonts w:hint="eastAsia"/>
          <w:b/>
          <w:bCs/>
          <w:rtl/>
        </w:rPr>
        <w:t>הרביעית</w:t>
      </w:r>
      <w:r w:rsidR="00BE6532">
        <w:rPr>
          <w:rFonts w:hint="cs"/>
          <w:b/>
          <w:bCs/>
          <w:rtl/>
        </w:rPr>
        <w:t xml:space="preserve"> כך שתתמוך בהגשמת יעדיה.</w:t>
      </w:r>
    </w:p>
    <w:p w:rsidR="00253C38" w:rsidP="00982BC1" w14:paraId="30D44C62" w14:textId="05D9658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B8319FA" w14:textId="77777777">
      <w:pPr>
        <w:spacing w:line="269" w:lineRule="auto"/>
        <w:rPr>
          <w:rtl/>
        </w:rPr>
      </w:pPr>
      <w:r>
        <w:rPr>
          <w:rFonts w:hint="cs"/>
          <w:rtl/>
        </w:rPr>
        <w:t>במהלך המשבר תועדו ביקושים שונים לקרנות. בעוד שבמסלול הרגיל בקרן לעסקים קטנים ובינוניים תועד ביקוש גבוה, שהתבטא הן בהיקף הבקשות והן בסכום המבוקש, בקרן לעסקים גדולים ובמסלול המוגבר תועד ביקוש נמוך. תרשים 17 להלן מציג את התפלגות הבקשות בשלושת המסלולים.</w:t>
      </w:r>
    </w:p>
    <w:p w:rsidR="00982BC1" w14:paraId="267023B4" w14:textId="77777777">
      <w:pPr>
        <w:bidi w:val="0"/>
        <w:spacing w:after="200" w:line="276" w:lineRule="auto"/>
        <w:rPr>
          <w:szCs w:val="20"/>
        </w:rPr>
      </w:pPr>
      <w:r>
        <w:rPr>
          <w:rtl/>
        </w:rPr>
        <w:br w:type="page"/>
      </w:r>
    </w:p>
    <w:p w:rsidR="001218A7" w:rsidRPr="005A0D13" w:rsidP="00982BC1" w14:paraId="4F886582" w14:textId="00FDDF6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EAB1653" w14:textId="77777777">
      <w:pPr>
        <w:spacing w:line="269" w:lineRule="auto"/>
        <w:jc w:val="center"/>
        <w:rPr>
          <w:rtl/>
        </w:rPr>
      </w:pPr>
      <w:r w:rsidRPr="001C6911">
        <w:rPr>
          <w:rFonts w:hint="eastAsia"/>
          <w:b/>
          <w:bCs/>
          <w:rtl/>
        </w:rPr>
        <w:t>תרשים</w:t>
      </w:r>
      <w:r w:rsidRPr="001C6911">
        <w:rPr>
          <w:b/>
          <w:bCs/>
          <w:rtl/>
        </w:rPr>
        <w:t xml:space="preserve"> 17: </w:t>
      </w:r>
      <w:r w:rsidRPr="001C6911">
        <w:rPr>
          <w:rFonts w:hint="eastAsia"/>
          <w:b/>
          <w:bCs/>
          <w:rtl/>
        </w:rPr>
        <w:t>התפלגות</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בקרנות</w:t>
      </w:r>
      <w:r w:rsidRPr="001C6911">
        <w:rPr>
          <w:b/>
          <w:bCs/>
          <w:rtl/>
        </w:rPr>
        <w:t xml:space="preserve"> </w:t>
      </w:r>
      <w:r w:rsidRPr="001C6911">
        <w:rPr>
          <w:rFonts w:hint="eastAsia"/>
          <w:b/>
          <w:bCs/>
          <w:rtl/>
        </w:rPr>
        <w:t>ובמסלולים</w:t>
      </w:r>
      <w:r w:rsidRPr="001C6911">
        <w:rPr>
          <w:b/>
          <w:bCs/>
          <w:rtl/>
        </w:rPr>
        <w:t xml:space="preserve"> </w:t>
      </w:r>
      <w:r w:rsidRPr="001C6911">
        <w:rPr>
          <w:rFonts w:hint="eastAsia"/>
          <w:b/>
          <w:bCs/>
          <w:rtl/>
        </w:rPr>
        <w:t>השונים</w:t>
      </w:r>
      <w:r>
        <w:rPr>
          <w:rFonts w:hint="cs"/>
          <w:b/>
          <w:bCs/>
          <w:rtl/>
        </w:rPr>
        <w:t>, 19.10.20</w:t>
      </w:r>
      <w:r w:rsidR="00BA0E91">
        <w:rPr>
          <w:rFonts w:hint="cs"/>
          <w:b/>
          <w:bCs/>
          <w:rtl/>
        </w:rPr>
        <w:t>*</w:t>
      </w:r>
    </w:p>
    <w:p w:rsidR="00253C38" w:rsidRPr="009A796B" w:rsidP="00982BC1" w14:paraId="44844FC9" w14:textId="77777777">
      <w:pPr>
        <w:spacing w:line="269" w:lineRule="auto"/>
        <w:ind w:left="-850"/>
        <w:jc w:val="center"/>
        <w:rPr>
          <w:rtl/>
        </w:rPr>
      </w:pPr>
      <w:r>
        <w:rPr>
          <w:noProof/>
        </w:rPr>
        <w:drawing>
          <wp:inline distT="0" distB="0" distL="0" distR="0">
            <wp:extent cx="6484531" cy="2667000"/>
            <wp:effectExtent l="0" t="0" r="0" b="0"/>
            <wp:docPr id="1743882423" name="תמונה 174388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70638" name=""/>
                    <pic:cNvPicPr/>
                  </pic:nvPicPr>
                  <pic:blipFill>
                    <a:blip xmlns:r="http://schemas.openxmlformats.org/officeDocument/2006/relationships" r:embed="rId23"/>
                    <a:stretch>
                      <a:fillRect/>
                    </a:stretch>
                  </pic:blipFill>
                  <pic:spPr>
                    <a:xfrm>
                      <a:off x="0" y="0"/>
                      <a:ext cx="6496313" cy="2671846"/>
                    </a:xfrm>
                    <a:prstGeom prst="rect">
                      <a:avLst/>
                    </a:prstGeom>
                  </pic:spPr>
                </pic:pic>
              </a:graphicData>
            </a:graphic>
          </wp:inline>
        </w:drawing>
      </w:r>
    </w:p>
    <w:p w:rsidR="00253C38" w:rsidRPr="00982BC1" w:rsidP="00982BC1" w14:paraId="22F59F7F" w14:textId="77777777">
      <w:pPr>
        <w:spacing w:line="269" w:lineRule="auto"/>
        <w:rPr>
          <w:sz w:val="22"/>
          <w:szCs w:val="22"/>
          <w:rtl/>
        </w:rPr>
      </w:pPr>
      <w:r w:rsidRPr="00982BC1">
        <w:rPr>
          <w:rFonts w:hint="cs"/>
          <w:sz w:val="22"/>
          <w:szCs w:val="22"/>
          <w:rtl/>
        </w:rPr>
        <w:t>נתוני החשכ"ל, בעיבוד משרד מבקר המדינה.</w:t>
      </w:r>
    </w:p>
    <w:p w:rsidR="00253C38" w:rsidRPr="00982BC1" w:rsidP="00982BC1" w14:paraId="43F49DEF" w14:textId="782C0410">
      <w:pPr>
        <w:spacing w:line="269" w:lineRule="auto"/>
        <w:rPr>
          <w:sz w:val="22"/>
          <w:szCs w:val="22"/>
          <w:rtl/>
        </w:rPr>
      </w:pPr>
      <w:r w:rsidRPr="00982BC1">
        <w:rPr>
          <w:rFonts w:hint="cs"/>
          <w:sz w:val="22"/>
          <w:szCs w:val="22"/>
          <w:rtl/>
        </w:rPr>
        <w:t>*הבקשות שאושרו כוללות גם בקשות שאושר בהן רק חלק מהסכום המבוקש.</w:t>
      </w:r>
      <w:r w:rsidRPr="00982BC1" w:rsidR="005537CA">
        <w:rPr>
          <w:rFonts w:hint="cs"/>
          <w:sz w:val="22"/>
          <w:szCs w:val="22"/>
          <w:rtl/>
        </w:rPr>
        <w:t xml:space="preserve"> </w:t>
      </w:r>
    </w:p>
    <w:p w:rsidR="00253C38" w:rsidP="00982BC1" w14:paraId="1A5BA8A7" w14:textId="73CDF7D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961C571" w14:textId="68CB4F71">
      <w:pPr>
        <w:spacing w:line="269" w:lineRule="auto"/>
        <w:rPr>
          <w:rtl/>
        </w:rPr>
      </w:pPr>
      <w:r>
        <w:rPr>
          <w:rFonts w:hint="cs"/>
          <w:rtl/>
        </w:rPr>
        <w:t>מתרשים 17 ניכר הבדל הן ברמת הביקוש, המשתקפת במספר הבקשות ובהיקפן הכספי, והן בשיעור הבקשות שאושרו במסלולים השונים. ניתן לראות כי היקף הבקשות שהוגשו לקרן לעסקים גדולים עמד על 99 בקשות והוא נמוך במיוחד בהשוואה להיקף הבקשות שהוגשו בשני מסלולי הקרן לעסקים קטנים ובינוניים: 109,536 בקשות במסלול הרגיל ו-3,954 בקשות במסלול המוגבר</w:t>
      </w:r>
      <w:r w:rsidR="001E2DEB">
        <w:rPr>
          <w:rFonts w:hint="cs"/>
          <w:rtl/>
        </w:rPr>
        <w:t xml:space="preserve"> (נכון ל-19.10.20</w:t>
      </w:r>
      <w:r w:rsidR="007E23C5">
        <w:rPr>
          <w:rFonts w:hint="cs"/>
          <w:rtl/>
        </w:rPr>
        <w:t xml:space="preserve"> הוגשו במצטבר בכל הקרנות</w:t>
      </w:r>
      <w:r w:rsidR="001E2DEB">
        <w:rPr>
          <w:rFonts w:hint="cs"/>
          <w:rtl/>
        </w:rPr>
        <w:t xml:space="preserve"> </w:t>
      </w:r>
      <w:r w:rsidR="007E23C5">
        <w:rPr>
          <w:rFonts w:hint="cs"/>
          <w:rtl/>
        </w:rPr>
        <w:t>113,589 בקשות בהיקף של 73.6 מיליארד ש"ח)</w:t>
      </w:r>
      <w:r>
        <w:rPr>
          <w:rFonts w:hint="cs"/>
          <w:rtl/>
        </w:rPr>
        <w:t>. מנתונים שפרסמה רשות המיסים בדבר מספר העוסקים שנקלטו במערכת לפי קובץ דיווחי מע"ם החודשיים, שיעור העוסקים בעלי מחזור מכירות מעל ל-100 מיליון ש"ח מהווה כ-0.8% מסך העוסקים</w:t>
      </w:r>
      <w:r>
        <w:rPr>
          <w:rStyle w:val="FootnoteReference"/>
          <w:rtl/>
        </w:rPr>
        <w:footnoteReference w:id="33"/>
      </w:r>
      <w:r>
        <w:rPr>
          <w:rFonts w:hint="cs"/>
          <w:rtl/>
        </w:rPr>
        <w:t>. שיעור הבקשות של קבוצה זו מתוך כל הבקשות שהוגשו בקרנות הוא כ-1.1%. כ-87% מהבקשות שהגישה הקבוצה היו למסלול הרגיל, כ-8% לקרן לעסקים גדולים וכ-5% למסלול המוגבר. הביקורת העלתה כי נוכח התנאים המסחריים המיטיבים שהוצעו בקרן הרגילה ובמסלול המוגבר, רק 10% ממבקשי ההלוואות הנכללים בקבוצת העסקים הגדולים שמחזור מכירותיהם נע בין 200 ל-400 מיליוני ש"ח, ולכן יכלו לבחור בין שתי הקרנות, בחרו להגיש בקשה לקבלת הלוואה מן הקרן לעסקים גדולים. כמו כן עולה מתרשים 17 כי בוטלו</w:t>
      </w:r>
      <w:r w:rsidR="009318E4">
        <w:rPr>
          <w:rFonts w:hint="cs"/>
          <w:rtl/>
        </w:rPr>
        <w:t xml:space="preserve"> על ידי המבקשים</w:t>
      </w:r>
      <w:r>
        <w:rPr>
          <w:rFonts w:hint="cs"/>
          <w:rtl/>
        </w:rPr>
        <w:t xml:space="preserve"> כ-40.4% מהבקשות שהוגשו לקרן לעסקים גדולים וכ-18.1% מהבקשות שהוגשו למסלול הרגיל</w:t>
      </w:r>
      <w:r w:rsidR="009318E4">
        <w:rPr>
          <w:rFonts w:hint="cs"/>
          <w:rtl/>
        </w:rPr>
        <w:t>.</w:t>
      </w:r>
    </w:p>
    <w:p w:rsidR="00253C38" w:rsidP="00982BC1" w14:paraId="46E0516C" w14:textId="7E1A362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0628E" w:rsidP="00982BC1" w14:paraId="26A0801E" w14:textId="77777777">
      <w:pPr>
        <w:spacing w:line="269" w:lineRule="auto"/>
        <w:rPr>
          <w:rtl/>
        </w:rPr>
      </w:pPr>
      <w:r>
        <w:rPr>
          <w:rFonts w:hint="cs"/>
          <w:rtl/>
        </w:rPr>
        <w:t>תרשים 18 להלן מציג את התפלגות ביטולי הבקשות בשלושת המסלולים בחודשים אפריל עד אוקטובר 2020.</w:t>
      </w:r>
    </w:p>
    <w:p w:rsidR="00982BC1" w14:paraId="5C80EBEF" w14:textId="77777777">
      <w:pPr>
        <w:bidi w:val="0"/>
        <w:spacing w:after="200" w:line="276" w:lineRule="auto"/>
        <w:rPr>
          <w:szCs w:val="20"/>
          <w:rtl/>
        </w:rPr>
      </w:pPr>
      <w:r>
        <w:rPr>
          <w:rtl/>
        </w:rPr>
        <w:br w:type="page"/>
      </w:r>
    </w:p>
    <w:p w:rsidR="009318E4" w:rsidP="00982BC1" w14:paraId="765FB73E" w14:textId="02178CCB">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5105B624" w14:textId="77777777">
      <w:pPr>
        <w:spacing w:line="269" w:lineRule="auto"/>
        <w:jc w:val="center"/>
        <w:rPr>
          <w:b/>
          <w:bCs/>
          <w:rtl/>
        </w:rPr>
      </w:pPr>
      <w:r w:rsidRPr="001C6911">
        <w:rPr>
          <w:rFonts w:hint="eastAsia"/>
          <w:b/>
          <w:bCs/>
          <w:rtl/>
        </w:rPr>
        <w:t>תרשים</w:t>
      </w:r>
      <w:r w:rsidRPr="001C6911">
        <w:rPr>
          <w:b/>
          <w:bCs/>
          <w:rtl/>
        </w:rPr>
        <w:t xml:space="preserve"> 18: </w:t>
      </w:r>
      <w:r w:rsidRPr="002C75CF">
        <w:rPr>
          <w:rFonts w:hint="cs"/>
          <w:b/>
          <w:bCs/>
          <w:rtl/>
        </w:rPr>
        <w:t>שיעור</w:t>
      </w:r>
      <w:r w:rsidRPr="001C6911">
        <w:rPr>
          <w:b/>
          <w:bCs/>
          <w:rtl/>
        </w:rPr>
        <w:t xml:space="preserve"> </w:t>
      </w:r>
      <w:r w:rsidRPr="001C6911">
        <w:rPr>
          <w:rFonts w:hint="eastAsia"/>
          <w:b/>
          <w:bCs/>
          <w:rtl/>
        </w:rPr>
        <w:t>הבקשות</w:t>
      </w:r>
      <w:r w:rsidRPr="001C6911">
        <w:rPr>
          <w:b/>
          <w:bCs/>
          <w:rtl/>
        </w:rPr>
        <w:t xml:space="preserve"> </w:t>
      </w:r>
      <w:r w:rsidRPr="002C75CF">
        <w:rPr>
          <w:rFonts w:hint="cs"/>
          <w:b/>
          <w:bCs/>
          <w:rtl/>
        </w:rPr>
        <w:t>שבוטלו בשלושת</w:t>
      </w:r>
      <w:r w:rsidRPr="009318E4">
        <w:rPr>
          <w:b/>
          <w:bCs/>
          <w:rtl/>
        </w:rPr>
        <w:t xml:space="preserve"> ה</w:t>
      </w:r>
      <w:r w:rsidRPr="009318E4">
        <w:rPr>
          <w:rFonts w:hint="eastAsia"/>
          <w:b/>
          <w:bCs/>
          <w:rtl/>
        </w:rPr>
        <w:t>מסלולים</w:t>
      </w:r>
      <w:r w:rsidRPr="002C75CF">
        <w:rPr>
          <w:rFonts w:hint="cs"/>
          <w:b/>
          <w:bCs/>
          <w:rtl/>
        </w:rPr>
        <w:t>,</w:t>
      </w:r>
      <w:r w:rsidRPr="009318E4">
        <w:rPr>
          <w:b/>
          <w:bCs/>
          <w:rtl/>
        </w:rPr>
        <w:t xml:space="preserve"> </w:t>
      </w:r>
      <w:r w:rsidRPr="009318E4">
        <w:rPr>
          <w:rFonts w:hint="eastAsia"/>
          <w:b/>
          <w:bCs/>
          <w:rtl/>
        </w:rPr>
        <w:t>אפריל</w:t>
      </w:r>
      <w:r w:rsidRPr="009318E4">
        <w:rPr>
          <w:b/>
          <w:bCs/>
          <w:rtl/>
        </w:rPr>
        <w:t xml:space="preserve"> </w:t>
      </w:r>
      <w:r w:rsidRPr="002C75CF">
        <w:rPr>
          <w:rFonts w:hint="cs"/>
          <w:b/>
          <w:bCs/>
          <w:rtl/>
        </w:rPr>
        <w:t>-</w:t>
      </w:r>
      <w:r w:rsidRPr="009318E4">
        <w:rPr>
          <w:b/>
          <w:bCs/>
          <w:rtl/>
        </w:rPr>
        <w:t xml:space="preserve"> אוקטובר 2020 </w:t>
      </w:r>
    </w:p>
    <w:p w:rsidR="00253C38" w:rsidP="00982BC1" w14:paraId="63295D37" w14:textId="77777777">
      <w:pPr>
        <w:spacing w:line="269" w:lineRule="auto"/>
        <w:rPr>
          <w:rtl/>
        </w:rPr>
      </w:pPr>
      <w:r>
        <w:rPr>
          <w:noProof/>
        </w:rPr>
        <w:drawing>
          <wp:inline distT="0" distB="0" distL="0" distR="0">
            <wp:extent cx="5644515" cy="3610492"/>
            <wp:effectExtent l="0" t="0" r="0" b="9525"/>
            <wp:docPr id="1743882424" name="תמונה 174388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51180" name=""/>
                    <pic:cNvPicPr/>
                  </pic:nvPicPr>
                  <pic:blipFill>
                    <a:blip xmlns:r="http://schemas.openxmlformats.org/officeDocument/2006/relationships" r:embed="rId24"/>
                    <a:stretch>
                      <a:fillRect/>
                    </a:stretch>
                  </pic:blipFill>
                  <pic:spPr>
                    <a:xfrm>
                      <a:off x="0" y="0"/>
                      <a:ext cx="5650310" cy="3614199"/>
                    </a:xfrm>
                    <a:prstGeom prst="rect">
                      <a:avLst/>
                    </a:prstGeom>
                  </pic:spPr>
                </pic:pic>
              </a:graphicData>
            </a:graphic>
          </wp:inline>
        </w:drawing>
      </w:r>
    </w:p>
    <w:p w:rsidR="00253C38" w:rsidRPr="00982BC1" w:rsidP="00982BC1" w14:paraId="44E9F487" w14:textId="77777777">
      <w:pPr>
        <w:spacing w:line="269" w:lineRule="auto"/>
        <w:rPr>
          <w:sz w:val="22"/>
          <w:szCs w:val="22"/>
          <w:rtl/>
        </w:rPr>
      </w:pPr>
      <w:r w:rsidRPr="00982BC1">
        <w:rPr>
          <w:rFonts w:hint="cs"/>
          <w:sz w:val="22"/>
          <w:szCs w:val="22"/>
          <w:rtl/>
        </w:rPr>
        <w:t>נתוני החשכ"ל, בעיבוד משרד מבקר המדינה.</w:t>
      </w:r>
    </w:p>
    <w:p w:rsidR="00253C38" w:rsidRPr="00982BC1" w:rsidP="00982BC1" w14:paraId="5E56A7F2" w14:textId="77777777">
      <w:pPr>
        <w:spacing w:line="269" w:lineRule="auto"/>
        <w:rPr>
          <w:sz w:val="22"/>
          <w:szCs w:val="22"/>
          <w:rtl/>
        </w:rPr>
      </w:pPr>
      <w:r w:rsidRPr="00982BC1">
        <w:rPr>
          <w:sz w:val="22"/>
          <w:szCs w:val="22"/>
          <w:rtl/>
        </w:rPr>
        <w:t xml:space="preserve">* </w:t>
      </w:r>
      <w:r w:rsidRPr="00982BC1">
        <w:rPr>
          <w:rFonts w:hint="eastAsia"/>
          <w:sz w:val="22"/>
          <w:szCs w:val="22"/>
          <w:rtl/>
        </w:rPr>
        <w:t>נכון</w:t>
      </w:r>
      <w:r w:rsidRPr="00982BC1">
        <w:rPr>
          <w:sz w:val="22"/>
          <w:szCs w:val="22"/>
          <w:rtl/>
        </w:rPr>
        <w:t xml:space="preserve"> </w:t>
      </w:r>
      <w:r w:rsidRPr="00982BC1">
        <w:rPr>
          <w:rFonts w:hint="eastAsia"/>
          <w:sz w:val="22"/>
          <w:szCs w:val="22"/>
          <w:rtl/>
        </w:rPr>
        <w:t>ליום</w:t>
      </w:r>
      <w:r w:rsidRPr="00982BC1">
        <w:rPr>
          <w:sz w:val="22"/>
          <w:szCs w:val="22"/>
          <w:rtl/>
        </w:rPr>
        <w:t xml:space="preserve"> 19.10.20.</w:t>
      </w:r>
    </w:p>
    <w:p w:rsidR="00253C38" w:rsidRPr="008F263B" w:rsidP="00982BC1" w14:paraId="3D75E500" w14:textId="5CEA6AC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B4219C" w:rsidP="00982BC1" w14:paraId="6EDF1507" w14:textId="77777777">
      <w:pPr>
        <w:spacing w:line="269" w:lineRule="auto"/>
        <w:rPr>
          <w:rtl/>
        </w:rPr>
      </w:pPr>
      <w:r>
        <w:rPr>
          <w:rFonts w:hint="cs"/>
          <w:rtl/>
        </w:rPr>
        <w:t>מתרשים 18 עולה כי שיעור הבקשות שבוטלו מתוך הבקשות שהוגשו הוא הגבוה ביותר בחודש אפריל 2020, הן במסלול הרגיל והן בקרן לעסקים גדולים. מנגד, במסלול המוגבר תועד שיעור חריג של בקשות מבוטלות בחודש ספטמבר, שלושה חודשים לאחר מועד פתיחת המסלול</w:t>
      </w:r>
      <w:r>
        <w:rPr>
          <w:rStyle w:val="FootnoteReference"/>
          <w:rtl/>
        </w:rPr>
        <w:footnoteReference w:id="34"/>
      </w:r>
      <w:r>
        <w:rPr>
          <w:rFonts w:hint="cs"/>
          <w:rtl/>
        </w:rPr>
        <w:t>. יתרה מזו, ניכר שיעור חריג של בקשות מבוטלות במהלך כל חודשי הפעילות בקרן לעסקים גדולים.</w:t>
      </w:r>
    </w:p>
    <w:p w:rsidR="00253C38" w:rsidRPr="00B4219C" w:rsidP="00982BC1" w14:paraId="7F369A2F" w14:textId="1BB10C80">
      <w:pPr>
        <w:pStyle w:val="a"/>
        <w:spacing w:line="269" w:lineRule="auto"/>
        <w:rPr>
          <w:rtl/>
        </w:rPr>
      </w:pPr>
      <w:r w:rsidRPr="00B4219C">
        <w:rPr>
          <w:rtl/>
        </w:rPr>
        <w:fldChar w:fldCharType="begin"/>
      </w:r>
      <w:r w:rsidRPr="00B4219C">
        <w:rPr>
          <w:rtl/>
        </w:rPr>
        <w:instrText xml:space="preserve"> </w:instrText>
      </w:r>
      <w:r w:rsidRPr="00B4219C">
        <w:rPr>
          <w:rFonts w:hint="cs"/>
        </w:rPr>
        <w:instrText>AUTONUMLGL \e  \* MERGEFORMAT</w:instrText>
      </w:r>
      <w:r w:rsidRPr="00B4219C">
        <w:rPr>
          <w:rtl/>
        </w:rPr>
        <w:instrText xml:space="preserve"> </w:instrText>
      </w:r>
      <w:r w:rsidRPr="00B4219C">
        <w:rPr>
          <w:rtl/>
        </w:rPr>
        <w:fldChar w:fldCharType="end"/>
      </w:r>
    </w:p>
    <w:p w:rsidR="00253C38" w:rsidRPr="00976B11" w:rsidP="00982BC1" w14:paraId="6CC60BF6" w14:textId="77777777">
      <w:pPr>
        <w:spacing w:line="269" w:lineRule="auto"/>
        <w:rPr>
          <w:b/>
          <w:bCs/>
          <w:rtl/>
        </w:rPr>
      </w:pPr>
      <w:r w:rsidRPr="00B4219C">
        <w:rPr>
          <w:rFonts w:hint="cs"/>
          <w:b/>
          <w:bCs/>
          <w:rtl/>
        </w:rPr>
        <w:t xml:space="preserve">נמצא כי קבוצת העסקים שמחזור מכירותיהם נע בין 200 - 400 מיליוני </w:t>
      </w:r>
      <w:r w:rsidRPr="00CC023C">
        <w:rPr>
          <w:rFonts w:hint="cs"/>
          <w:b/>
          <w:bCs/>
          <w:rtl/>
        </w:rPr>
        <w:t>ש"ח</w:t>
      </w:r>
      <w:r w:rsidRPr="00B4219C">
        <w:rPr>
          <w:rFonts w:hint="cs"/>
          <w:b/>
          <w:bCs/>
          <w:rtl/>
        </w:rPr>
        <w:t xml:space="preserve"> העדיפה להגיש בקשות לקבלת הלוואה מהמסלול הרגיל, </w:t>
      </w:r>
      <w:r>
        <w:rPr>
          <w:rFonts w:hint="cs"/>
          <w:b/>
          <w:bCs/>
          <w:rtl/>
        </w:rPr>
        <w:t xml:space="preserve">במסגרת </w:t>
      </w:r>
      <w:r w:rsidRPr="00B4219C">
        <w:rPr>
          <w:rFonts w:hint="cs"/>
          <w:b/>
          <w:bCs/>
          <w:rtl/>
        </w:rPr>
        <w:t>הקרן לעסקים קטנים ובינוניים, על פני הגשת בקשות לקרן לעסקים גדולים. נמצא</w:t>
      </w:r>
      <w:r>
        <w:rPr>
          <w:rFonts w:hint="cs"/>
          <w:b/>
          <w:bCs/>
          <w:rtl/>
        </w:rPr>
        <w:t xml:space="preserve"> גם</w:t>
      </w:r>
      <w:r w:rsidRPr="00B4219C">
        <w:rPr>
          <w:rFonts w:hint="cs"/>
          <w:b/>
          <w:bCs/>
          <w:rtl/>
        </w:rPr>
        <w:t xml:space="preserve"> כי שיעור גבוה של בקשות בוטלו בשתי הקרנות, </w:t>
      </w:r>
      <w:r>
        <w:rPr>
          <w:rFonts w:hint="cs"/>
          <w:b/>
          <w:bCs/>
          <w:rtl/>
        </w:rPr>
        <w:t xml:space="preserve">בייחוד </w:t>
      </w:r>
      <w:r w:rsidRPr="00B4219C">
        <w:rPr>
          <w:rFonts w:hint="cs"/>
          <w:b/>
          <w:bCs/>
          <w:rtl/>
        </w:rPr>
        <w:t xml:space="preserve">בקרן לעסקים גדולים </w:t>
      </w:r>
      <w:r>
        <w:rPr>
          <w:rFonts w:hint="cs"/>
          <w:b/>
          <w:bCs/>
          <w:rtl/>
        </w:rPr>
        <w:t>ש</w:t>
      </w:r>
      <w:r w:rsidRPr="00B4219C">
        <w:rPr>
          <w:rFonts w:hint="cs"/>
          <w:b/>
          <w:bCs/>
          <w:rtl/>
        </w:rPr>
        <w:t xml:space="preserve">בה בוטלו כ-33% </w:t>
      </w:r>
      <w:r>
        <w:rPr>
          <w:rFonts w:hint="cs"/>
          <w:b/>
          <w:bCs/>
          <w:rtl/>
        </w:rPr>
        <w:t xml:space="preserve">לפחות </w:t>
      </w:r>
      <w:r w:rsidRPr="00B4219C">
        <w:rPr>
          <w:rFonts w:hint="cs"/>
          <w:b/>
          <w:bCs/>
          <w:rtl/>
        </w:rPr>
        <w:t>מ</w:t>
      </w:r>
      <w:r>
        <w:rPr>
          <w:rFonts w:hint="cs"/>
          <w:b/>
          <w:bCs/>
          <w:rtl/>
        </w:rPr>
        <w:t xml:space="preserve">ן </w:t>
      </w:r>
      <w:r w:rsidRPr="00B4219C">
        <w:rPr>
          <w:rFonts w:hint="cs"/>
          <w:b/>
          <w:bCs/>
          <w:rtl/>
        </w:rPr>
        <w:t>הבקשות במרבית חודשי פעילותה.</w:t>
      </w:r>
    </w:p>
    <w:p w:rsidR="00253C38" w:rsidP="00982BC1" w14:paraId="04C5C532" w14:textId="27A5241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22AC723" w14:textId="77777777">
      <w:pPr>
        <w:spacing w:line="269" w:lineRule="auto"/>
        <w:rPr>
          <w:rtl/>
        </w:rPr>
      </w:pPr>
      <w:r>
        <w:rPr>
          <w:rFonts w:hint="cs"/>
          <w:rtl/>
        </w:rPr>
        <w:t>בסוף נובמבר 2020 העבירו אגף החשכ"ל והסוכנות לעסקים קטנים ובינוניים תבנית</w:t>
      </w:r>
      <w:r w:rsidR="009318E4">
        <w:rPr>
          <w:rFonts w:hint="cs"/>
          <w:rtl/>
        </w:rPr>
        <w:t xml:space="preserve"> ליצירת שאלון אלקטרוני</w:t>
      </w:r>
      <w:r w:rsidR="00112332">
        <w:rPr>
          <w:rFonts w:hint="cs"/>
          <w:rtl/>
        </w:rPr>
        <w:t xml:space="preserve"> רב-ברירתי</w:t>
      </w:r>
      <w:r w:rsidR="009318E4">
        <w:rPr>
          <w:rFonts w:hint="cs"/>
          <w:rtl/>
        </w:rPr>
        <w:t xml:space="preserve"> באמצעות </w:t>
      </w:r>
      <w:r>
        <w:rPr>
          <w:rFonts w:hint="cs"/>
          <w:rtl/>
        </w:rPr>
        <w:t>חברת סקרים במטרה לעמוד על הסיבות לביטול בקשות מצד מבקשי הלוואות רבים. ה</w:t>
      </w:r>
      <w:r w:rsidR="009318E4">
        <w:rPr>
          <w:rFonts w:hint="cs"/>
          <w:rtl/>
        </w:rPr>
        <w:t>הנחות</w:t>
      </w:r>
      <w:r>
        <w:rPr>
          <w:rFonts w:hint="cs"/>
          <w:rtl/>
        </w:rPr>
        <w:t xml:space="preserve"> העומדות בבסיס היקף הביטולים הנרחב כפי שמשתקפות מפרטי השאלון</w:t>
      </w:r>
      <w:r w:rsidR="009318E4">
        <w:rPr>
          <w:rFonts w:hint="cs"/>
          <w:rtl/>
        </w:rPr>
        <w:t xml:space="preserve"> שיצר אגף החשכ"ל</w:t>
      </w:r>
      <w:r>
        <w:rPr>
          <w:rFonts w:hint="cs"/>
          <w:rtl/>
        </w:rPr>
        <w:t xml:space="preserve"> כוללות, בין היתר, קיומן של דרישות חריגות בקשר לבקשות, חשש מפגיעה בדירוג האשראי בשל סירוב להעמדת האשראי, שגיאות בהזנת פרטי הבקשות והיעדר חשבון בגוף המממן.</w:t>
      </w:r>
    </w:p>
    <w:p w:rsidR="00253C38" w:rsidRPr="00D43F11" w:rsidP="00982BC1" w14:paraId="2E26577E" w14:textId="3E7BED6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112332" w:rsidP="00982BC1" w14:paraId="0FF74515" w14:textId="77777777">
      <w:pPr>
        <w:spacing w:line="269" w:lineRule="auto"/>
        <w:rPr>
          <w:rtl/>
        </w:rPr>
      </w:pPr>
      <w:r>
        <w:rPr>
          <w:rFonts w:hint="cs"/>
          <w:b/>
          <w:bCs/>
          <w:rtl/>
        </w:rPr>
        <w:t xml:space="preserve">משרד מבקר המדינה ממליץ </w:t>
      </w:r>
      <w:r w:rsidRPr="00471A46">
        <w:rPr>
          <w:rFonts w:hint="cs"/>
          <w:b/>
          <w:bCs/>
          <w:rtl/>
        </w:rPr>
        <w:t>ל</w:t>
      </w:r>
      <w:r w:rsidR="00253C38">
        <w:rPr>
          <w:rFonts w:hint="cs"/>
          <w:b/>
          <w:bCs/>
          <w:rtl/>
        </w:rPr>
        <w:t>חשכ"ל לבחון את מתכונת פעילות הקרן לעסקים גדולים ולהשלים את בחינת שיעור הביטולים הגבוה בקרנות כדי לטייב את פעילותן ולהעניק את הסיוע למגזר העסקי.</w:t>
      </w:r>
    </w:p>
    <w:p w:rsidR="00982BC1" w14:paraId="109B547B" w14:textId="77777777">
      <w:pPr>
        <w:bidi w:val="0"/>
        <w:spacing w:after="200" w:line="276" w:lineRule="auto"/>
        <w:rPr>
          <w:rFonts w:eastAsiaTheme="majorEastAsia"/>
          <w:spacing w:val="40"/>
          <w:rtl/>
        </w:rPr>
      </w:pPr>
      <w:r>
        <w:rPr>
          <w:rtl/>
        </w:rPr>
        <w:br w:type="page"/>
      </w:r>
    </w:p>
    <w:p w:rsidR="00253C38" w:rsidRPr="008103AD" w:rsidP="00982BC1" w14:paraId="1C21F4F9" w14:textId="58A36D0C">
      <w:pPr>
        <w:pStyle w:val="Heading6"/>
        <w:spacing w:line="269" w:lineRule="auto"/>
        <w:rPr>
          <w:rtl/>
        </w:rPr>
      </w:pPr>
      <w:r>
        <w:rPr>
          <w:rFonts w:hint="cs"/>
          <w:rtl/>
        </w:rPr>
        <w:t>גובה הערבות</w:t>
      </w:r>
    </w:p>
    <w:p w:rsidR="00253C38" w:rsidP="00982BC1" w14:paraId="5DBFACBA" w14:textId="6CBE7A9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D524539" w14:textId="77777777">
      <w:pPr>
        <w:spacing w:line="269" w:lineRule="auto"/>
        <w:rPr>
          <w:rtl/>
        </w:rPr>
      </w:pPr>
      <w:r>
        <w:rPr>
          <w:rFonts w:hint="cs"/>
          <w:rtl/>
        </w:rPr>
        <w:t>מנגנון העמדת הלוואות בערבות מדינה שיישמו מדינות מפותחות נבדל זה מזה בנושא גובה הערבות שניתנה, הן ברמת ההלוואה הבודדת והן ברמת החשיפה על כל תיק ההלוואות. ערבות להלוואה בודדת נועדה לתמוך בהחלטת הגורמים המממנים להעמיד הלוואות לעסקים שנפגעו קשות מן המשבר. ערבות לתיק הכולל נועדה להפחית את הסיכון המוטל על הגורמים המממנים, בעקבות אי-יכולת פירעון חובות של לווים רבים, באמצעות כיסוי הפסדיהם, ובכך פועלת להגברת הנכונות להרחבת היצע האשראי במשק. אומנם מתן ערבות בשיעור גבוה מתמרץ את הגופים המממנים להרחיב את היצע האשראי, אך בד בבד עלול ל</w:t>
      </w:r>
      <w:r w:rsidR="00112332">
        <w:rPr>
          <w:rFonts w:hint="cs"/>
          <w:rtl/>
        </w:rPr>
        <w:t xml:space="preserve">הביא להסרת </w:t>
      </w:r>
      <w:r>
        <w:rPr>
          <w:rFonts w:hint="cs"/>
          <w:rtl/>
        </w:rPr>
        <w:t xml:space="preserve">אחריות </w:t>
      </w:r>
      <w:r w:rsidR="00112332">
        <w:rPr>
          <w:rFonts w:hint="cs"/>
          <w:rtl/>
        </w:rPr>
        <w:t>מ</w:t>
      </w:r>
      <w:r>
        <w:rPr>
          <w:rFonts w:hint="cs"/>
          <w:rtl/>
        </w:rPr>
        <w:t>הגופים המממנים ולניתוק הקשר בין הסיכון המוטל עליהם לבין תועלתם. תרשים 19 להלן מציג את היקפי הערבות שניתנו במדינות מפותחות נבחרות במסגרת תוכניות הסיוע.</w:t>
      </w:r>
    </w:p>
    <w:p w:rsidR="00786470" w:rsidRPr="00630442" w:rsidP="00982BC1" w14:paraId="78365387" w14:textId="735AA32C">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1C6911" w:rsidP="00982BC1" w14:paraId="572F483E" w14:textId="7CA56DB8">
      <w:pPr>
        <w:spacing w:line="269" w:lineRule="auto"/>
        <w:jc w:val="center"/>
        <w:rPr>
          <w:b/>
          <w:bCs/>
          <w:rtl/>
        </w:rPr>
      </w:pPr>
      <w:r w:rsidRPr="001C6911">
        <w:rPr>
          <w:rFonts w:hint="eastAsia"/>
          <w:b/>
          <w:bCs/>
          <w:rtl/>
        </w:rPr>
        <w:t>תרשים</w:t>
      </w:r>
      <w:r w:rsidRPr="001C6911">
        <w:rPr>
          <w:b/>
          <w:bCs/>
          <w:rtl/>
        </w:rPr>
        <w:t xml:space="preserve"> 19: </w:t>
      </w:r>
      <w:r w:rsidRPr="001C6911">
        <w:rPr>
          <w:rFonts w:hint="eastAsia"/>
          <w:b/>
          <w:bCs/>
          <w:rtl/>
        </w:rPr>
        <w:t>שיעורי</w:t>
      </w:r>
      <w:r w:rsidRPr="001C6911">
        <w:rPr>
          <w:b/>
          <w:bCs/>
          <w:rtl/>
        </w:rPr>
        <w:t xml:space="preserve"> </w:t>
      </w:r>
      <w:r w:rsidRPr="001C6911">
        <w:rPr>
          <w:rFonts w:hint="eastAsia"/>
          <w:b/>
          <w:bCs/>
          <w:rtl/>
        </w:rPr>
        <w:t>הערבויות</w:t>
      </w:r>
      <w:r w:rsidRPr="001C6911">
        <w:rPr>
          <w:b/>
          <w:bCs/>
          <w:rtl/>
        </w:rPr>
        <w:t xml:space="preserve"> </w:t>
      </w:r>
      <w:r w:rsidRPr="001C6911">
        <w:rPr>
          <w:rFonts w:hint="eastAsia"/>
          <w:b/>
          <w:bCs/>
          <w:rtl/>
        </w:rPr>
        <w:t>שניתנו</w:t>
      </w:r>
      <w:r w:rsidRPr="001C6911">
        <w:rPr>
          <w:b/>
          <w:bCs/>
          <w:rtl/>
        </w:rPr>
        <w:t xml:space="preserve"> במסגרת </w:t>
      </w:r>
      <w:r w:rsidRPr="009B2EF0">
        <w:rPr>
          <w:rFonts w:hint="cs"/>
          <w:b/>
          <w:bCs/>
          <w:rtl/>
        </w:rPr>
        <w:t>תוכניות</w:t>
      </w:r>
      <w:r w:rsidRPr="001C6911">
        <w:rPr>
          <w:b/>
          <w:bCs/>
          <w:rtl/>
        </w:rPr>
        <w:t xml:space="preserve"> הסיוע של מדינות מפותחות </w:t>
      </w:r>
    </w:p>
    <w:p w:rsidR="00253C38" w:rsidP="00982BC1" w14:paraId="4BF3696F" w14:textId="77777777">
      <w:pPr>
        <w:spacing w:line="269" w:lineRule="auto"/>
        <w:ind w:left="-1559"/>
        <w:rPr>
          <w:rtl/>
        </w:rPr>
      </w:pPr>
      <w:r>
        <w:rPr>
          <w:noProof/>
        </w:rPr>
        <w:drawing>
          <wp:inline distT="0" distB="0" distL="0" distR="0">
            <wp:extent cx="7289255" cy="4143375"/>
            <wp:effectExtent l="0" t="0" r="6985" b="0"/>
            <wp:docPr id="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68255" name="תמונה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7320397" cy="4161077"/>
                    </a:xfrm>
                    <a:prstGeom prst="rect">
                      <a:avLst/>
                    </a:prstGeom>
                    <a:noFill/>
                  </pic:spPr>
                </pic:pic>
              </a:graphicData>
            </a:graphic>
          </wp:inline>
        </w:drawing>
      </w:r>
    </w:p>
    <w:p w:rsidR="00253C38" w:rsidRPr="00982BC1" w:rsidP="00982BC1" w14:paraId="5420AB47" w14:textId="77777777">
      <w:pPr>
        <w:spacing w:line="269" w:lineRule="auto"/>
        <w:rPr>
          <w:sz w:val="18"/>
          <w:szCs w:val="22"/>
          <w:rtl/>
        </w:rPr>
      </w:pPr>
      <w:r w:rsidRPr="00982BC1">
        <w:rPr>
          <w:rFonts w:hint="cs"/>
          <w:sz w:val="18"/>
          <w:szCs w:val="22"/>
          <w:rtl/>
        </w:rPr>
        <w:t>המקור: הכלכלן הראשי.</w:t>
      </w:r>
    </w:p>
    <w:p w:rsidR="00253C38" w:rsidP="00982BC1" w14:paraId="0457A87A" w14:textId="305D075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1E6F017" w14:textId="7CC7B359">
      <w:pPr>
        <w:spacing w:line="269" w:lineRule="auto"/>
        <w:rPr>
          <w:rtl/>
        </w:rPr>
      </w:pPr>
      <w:r>
        <w:rPr>
          <w:rFonts w:hint="cs"/>
          <w:rtl/>
        </w:rPr>
        <w:t xml:space="preserve">מתרשים 19 עולה כי רוב המדינות הציעו שיעורי ערבות גבוהים ביחס להלוואה הבודדת (70% - </w:t>
      </w:r>
      <w:r w:rsidR="00405845">
        <w:rPr>
          <w:rFonts w:hint="cs"/>
          <w:rtl/>
        </w:rPr>
        <w:t xml:space="preserve">100%). גם </w:t>
      </w:r>
      <w:r>
        <w:rPr>
          <w:rFonts w:hint="cs"/>
          <w:rtl/>
        </w:rPr>
        <w:t xml:space="preserve">במדינת ישראל ניתנו שיעורי ערבות גבוהים ביחס להלוואה הבודדת בשלושת המסלולים: עסקים גדולים - 75%; עסקים קטנים ובינוניים - 85%; ובמסלול המוגבר - 95%. גובה הערבות נקבע לפי גודל העסק ומידת הסיכון שנוצר למממן בהעמדת האשראי. עם זאת, ניכרת שונות גבוהה בין מדינות בנושא גובה הערבות שניתנה לכל תיק ההלוואות: חלקן הגדול הציע ערבות מלאה לכיסוי כל התיק או חלק ניכר מתוכו, וחלקן בחרו להשתמש נוסף על כך גם בערבות דיפרנציאלית לפי טווחי הפסד. עם זאת, שיעור הערבות שניתן במדינת ישראל </w:t>
      </w:r>
      <w:r w:rsidR="00667353">
        <w:rPr>
          <w:rFonts w:hint="cs"/>
          <w:rtl/>
        </w:rPr>
        <w:t>לגבי</w:t>
      </w:r>
      <w:r>
        <w:rPr>
          <w:rFonts w:hint="cs"/>
          <w:rtl/>
        </w:rPr>
        <w:t xml:space="preserve"> לכל התיק (12% לעסקים גדולים, 15% לעסקים קטנים ובינוניים ו-60% במסלול המוגבר) נמוך בהשוואה לשיעור הערבויות שניתן במסגרת תוכניות סיוע ממשלתיות ברוב המדינות המפותחות.</w:t>
      </w:r>
    </w:p>
    <w:p w:rsidR="00982BC1" w:rsidP="00982BC1" w14:paraId="143852F9" w14:textId="11854313">
      <w:pPr>
        <w:spacing w:line="269" w:lineRule="auto"/>
        <w:rPr>
          <w:rtl/>
        </w:rPr>
      </w:pPr>
    </w:p>
    <w:p w:rsidR="00982BC1" w:rsidP="00982BC1" w14:paraId="406AF3DD" w14:textId="77777777">
      <w:pPr>
        <w:spacing w:line="269" w:lineRule="auto"/>
        <w:rPr>
          <w:rtl/>
        </w:rPr>
      </w:pPr>
    </w:p>
    <w:p w:rsidR="00253C38" w:rsidP="00982BC1" w14:paraId="03957CCC" w14:textId="2733BB86">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18E15ACE" w14:textId="77777777">
      <w:pPr>
        <w:spacing w:line="269" w:lineRule="auto"/>
        <w:rPr>
          <w:sz w:val="24"/>
          <w:rtl/>
        </w:rPr>
      </w:pPr>
      <w:r>
        <w:rPr>
          <w:rFonts w:hint="cs"/>
          <w:rtl/>
        </w:rPr>
        <w:t xml:space="preserve">ערבות הניתנת על כל התיק מעידה על מידת מעורבות המדינה ונועדה להפחית את היקף החשיפה של הגורם המממן לכל הלוואותיו במסגרת הקרן. לפיכך, גובהה מהווה מדד עיקרי בשיקולי העמדת האשראי והגדרת </w:t>
      </w:r>
      <w:r w:rsidRPr="003500B8">
        <w:rPr>
          <w:rFonts w:hint="eastAsia"/>
          <w:rtl/>
        </w:rPr>
        <w:t>תיאבון</w:t>
      </w:r>
      <w:r w:rsidRPr="003500B8">
        <w:rPr>
          <w:rtl/>
        </w:rPr>
        <w:t xml:space="preserve"> </w:t>
      </w:r>
      <w:r w:rsidRPr="003500B8">
        <w:rPr>
          <w:rFonts w:hint="eastAsia"/>
          <w:rtl/>
        </w:rPr>
        <w:t>ה</w:t>
      </w:r>
      <w:r>
        <w:rPr>
          <w:rFonts w:hint="cs"/>
          <w:rtl/>
        </w:rPr>
        <w:t xml:space="preserve">סיכון של הגורם המממן. בפגישות שערך צוות הביקורת עם נציגי אגף החשכ"ל נמסר כי ההחלטה על גובה הערבות התקבלה בתיאום עם התאגידים הבנקאיים והפיקוח על הבנקים, ונועדה להגדיל את </w:t>
      </w:r>
      <w:r w:rsidRPr="003500B8">
        <w:rPr>
          <w:rFonts w:hint="eastAsia"/>
          <w:rtl/>
        </w:rPr>
        <w:t>תיאבון</w:t>
      </w:r>
      <w:r>
        <w:rPr>
          <w:rFonts w:hint="cs"/>
          <w:rtl/>
        </w:rPr>
        <w:t xml:space="preserve"> הסיכון של הגופים המממנים. ואולם, בפגישות שערך צוות הביקורת עם נציגי התאגידים הבנקאיים והפיקוח על הבנקים הודגש כי שיעור הערבות על התיק היה נמוך בהשוואה לנהוג בעולם, ולטענת התאגידים הבנקאיים </w:t>
      </w:r>
      <w:r>
        <w:rPr>
          <w:rFonts w:hint="cs"/>
          <w:sz w:val="24"/>
          <w:rtl/>
        </w:rPr>
        <w:t xml:space="preserve">העיד גם על חוסר נכונותה של המדינה להשתתף בסיכונים שנוצרו בתקופת המשבר. </w:t>
      </w:r>
    </w:p>
    <w:p w:rsidR="00253C38" w:rsidP="00982BC1" w14:paraId="18654942" w14:textId="5756B0F4">
      <w:pPr>
        <w:pStyle w:val="a"/>
        <w:spacing w:line="269" w:lineRule="auto"/>
        <w:rPr>
          <w:rtl/>
        </w:rPr>
      </w:pPr>
      <w:r w:rsidRPr="0042026A">
        <w:rPr>
          <w:rtl/>
        </w:rPr>
        <w:fldChar w:fldCharType="begin"/>
      </w:r>
      <w:r w:rsidRPr="002A7F39">
        <w:rPr>
          <w:rtl/>
        </w:rPr>
        <w:instrText xml:space="preserve"> </w:instrText>
      </w:r>
      <w:r w:rsidRPr="002A7F39">
        <w:instrText>AUTONUMLGL \e  \* MERGEFORMAT</w:instrText>
      </w:r>
      <w:r w:rsidRPr="002A7F39">
        <w:rPr>
          <w:rtl/>
        </w:rPr>
        <w:instrText xml:space="preserve"> </w:instrText>
      </w:r>
      <w:r w:rsidRPr="0042026A">
        <w:rPr>
          <w:rtl/>
        </w:rPr>
        <w:fldChar w:fldCharType="end"/>
      </w:r>
    </w:p>
    <w:p w:rsidR="00253C38" w:rsidP="00982BC1" w14:paraId="00B83A34" w14:textId="77777777">
      <w:pPr>
        <w:spacing w:line="269" w:lineRule="auto"/>
        <w:rPr>
          <w:b/>
          <w:bCs/>
          <w:sz w:val="24"/>
          <w:rtl/>
        </w:rPr>
      </w:pPr>
      <w:r w:rsidRPr="00195406">
        <w:rPr>
          <w:rFonts w:hint="cs"/>
          <w:b/>
          <w:bCs/>
          <w:rtl/>
        </w:rPr>
        <w:t>בדיקת משרד מבקר המדינה העלתה כי</w:t>
      </w:r>
      <w:r>
        <w:rPr>
          <w:rFonts w:hint="cs"/>
          <w:b/>
          <w:bCs/>
          <w:rtl/>
        </w:rPr>
        <w:t xml:space="preserve"> לגובה הערבות על התיק, הנמוכה משמעותית מת</w:t>
      </w:r>
      <w:r w:rsidR="00DA72D6">
        <w:rPr>
          <w:rFonts w:hint="cs"/>
          <w:b/>
          <w:bCs/>
          <w:rtl/>
        </w:rPr>
        <w:t>ו</w:t>
      </w:r>
      <w:r>
        <w:rPr>
          <w:rFonts w:hint="cs"/>
          <w:b/>
          <w:bCs/>
          <w:rtl/>
        </w:rPr>
        <w:t>כניות דומות בעולם (9 מדינות מפותחות מתוך 14 שנבדקו הציעו ערבות בשיעור של 100% על התיק), הייתה השפעה שלילית על</w:t>
      </w:r>
      <w:r w:rsidRPr="00195406">
        <w:rPr>
          <w:rFonts w:hint="cs"/>
          <w:b/>
          <w:bCs/>
          <w:rtl/>
        </w:rPr>
        <w:t xml:space="preserve"> </w:t>
      </w:r>
      <w:r>
        <w:rPr>
          <w:rFonts w:hint="cs"/>
          <w:b/>
          <w:bCs/>
          <w:rtl/>
        </w:rPr>
        <w:t xml:space="preserve">תהליך אישור ההלוואות בקרן לעסקים קטנים ובינוניים. השפעה שלילית זו התבטאה בהפחתת </w:t>
      </w:r>
      <w:r w:rsidRPr="00195406">
        <w:rPr>
          <w:rFonts w:hint="cs"/>
          <w:b/>
          <w:bCs/>
          <w:sz w:val="24"/>
          <w:rtl/>
        </w:rPr>
        <w:t xml:space="preserve">רצון הגופים המממנים </w:t>
      </w:r>
      <w:r>
        <w:rPr>
          <w:rFonts w:hint="cs"/>
          <w:b/>
          <w:bCs/>
          <w:sz w:val="24"/>
          <w:rtl/>
        </w:rPr>
        <w:t xml:space="preserve">ליטול סיכונים וביצירת תמריצים לפעולות שאינן עולות בקנה אחד </w:t>
      </w:r>
      <w:r>
        <w:rPr>
          <w:rFonts w:hint="cs"/>
          <w:b/>
          <w:bCs/>
          <w:rtl/>
        </w:rPr>
        <w:t>עם המטרה המוצהרת של הקרן ופוגעות בת</w:t>
      </w:r>
      <w:r w:rsidR="00667353">
        <w:rPr>
          <w:rFonts w:hint="cs"/>
          <w:b/>
          <w:bCs/>
          <w:rtl/>
        </w:rPr>
        <w:t>דמיתה, על אף חשיבותה הרבה בתקופת</w:t>
      </w:r>
      <w:r>
        <w:rPr>
          <w:rFonts w:hint="cs"/>
          <w:b/>
          <w:bCs/>
          <w:rtl/>
        </w:rPr>
        <w:t xml:space="preserve"> המשבר</w:t>
      </w:r>
      <w:r>
        <w:rPr>
          <w:rFonts w:hint="cs"/>
          <w:b/>
          <w:bCs/>
          <w:sz w:val="24"/>
          <w:rtl/>
        </w:rPr>
        <w:t xml:space="preserve">. </w:t>
      </w:r>
    </w:p>
    <w:p w:rsidR="00253C38" w:rsidRPr="00A02C81" w:rsidP="00982BC1" w14:paraId="369D8C79" w14:textId="5F7A431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AA52CA" w:rsidP="00982BC1" w14:paraId="5522BE8C" w14:textId="77777777">
      <w:pPr>
        <w:spacing w:line="269" w:lineRule="auto"/>
        <w:rPr>
          <w:sz w:val="24"/>
          <w:rtl/>
        </w:rPr>
      </w:pPr>
      <w:r w:rsidRPr="00195406">
        <w:rPr>
          <w:rFonts w:hint="cs"/>
          <w:sz w:val="24"/>
          <w:rtl/>
        </w:rPr>
        <w:t xml:space="preserve">על הגופים המממנים הוטלה אחריות כבדה ליטול ולנהל סיכונים גדולים באופן קפדני, </w:t>
      </w:r>
      <w:r>
        <w:rPr>
          <w:rFonts w:hint="cs"/>
          <w:sz w:val="24"/>
          <w:rtl/>
        </w:rPr>
        <w:t>מ</w:t>
      </w:r>
      <w:r w:rsidRPr="00195406">
        <w:rPr>
          <w:rFonts w:hint="cs"/>
          <w:sz w:val="24"/>
          <w:rtl/>
        </w:rPr>
        <w:t>תוך מענה לביקוש הגובר לאשראי, ו</w:t>
      </w:r>
      <w:r>
        <w:rPr>
          <w:rFonts w:hint="cs"/>
          <w:sz w:val="24"/>
          <w:rtl/>
        </w:rPr>
        <w:t>לנוכח</w:t>
      </w:r>
      <w:r w:rsidRPr="00195406">
        <w:rPr>
          <w:rFonts w:hint="cs"/>
          <w:sz w:val="24"/>
          <w:rtl/>
        </w:rPr>
        <w:t xml:space="preserve"> היצע מוגבל בקרנות, שנגזר מערבות ממשלתית ש</w:t>
      </w:r>
      <w:r>
        <w:rPr>
          <w:rFonts w:hint="cs"/>
          <w:sz w:val="24"/>
          <w:rtl/>
        </w:rPr>
        <w:t xml:space="preserve">לעמדתם </w:t>
      </w:r>
      <w:r w:rsidRPr="00195406">
        <w:rPr>
          <w:rFonts w:hint="cs"/>
          <w:sz w:val="24"/>
          <w:rtl/>
        </w:rPr>
        <w:t xml:space="preserve">אינה מספיקה. </w:t>
      </w:r>
      <w:r>
        <w:rPr>
          <w:rFonts w:hint="cs"/>
          <w:sz w:val="24"/>
          <w:rtl/>
        </w:rPr>
        <w:t>לפיכך</w:t>
      </w:r>
      <w:r w:rsidRPr="00195406">
        <w:rPr>
          <w:rFonts w:hint="cs"/>
          <w:sz w:val="24"/>
          <w:rtl/>
        </w:rPr>
        <w:t xml:space="preserve"> נקטו הגופים המממנים אמצעים שונים </w:t>
      </w:r>
      <w:r>
        <w:rPr>
          <w:rFonts w:hint="cs"/>
          <w:sz w:val="24"/>
          <w:rtl/>
        </w:rPr>
        <w:t>להפחתת הסיכון שהוטל עליהם.</w:t>
      </w:r>
    </w:p>
    <w:p w:rsidR="00982BC1" w:rsidP="00982BC1" w14:paraId="4464229C" w14:textId="77777777">
      <w:pPr>
        <w:pStyle w:val="Heading7"/>
        <w:spacing w:line="269" w:lineRule="auto"/>
        <w:rPr>
          <w:rtl/>
        </w:rPr>
      </w:pPr>
    </w:p>
    <w:p w:rsidR="00253C38" w:rsidP="00982BC1" w14:paraId="30F4D5D4" w14:textId="4E0C2E96">
      <w:pPr>
        <w:pStyle w:val="Heading7"/>
        <w:spacing w:line="269" w:lineRule="auto"/>
        <w:rPr>
          <w:rtl/>
        </w:rPr>
      </w:pPr>
      <w:r w:rsidRPr="00AD47FF">
        <w:rPr>
          <w:rFonts w:hint="cs"/>
          <w:rtl/>
        </w:rPr>
        <w:t>קביעת מועדי</w:t>
      </w:r>
      <w:r w:rsidRPr="00AD47FF">
        <w:rPr>
          <w:rFonts w:hint="cs"/>
          <w:rtl/>
        </w:rPr>
        <w:t xml:space="preserve"> </w:t>
      </w:r>
      <w:r w:rsidRPr="00AD47FF">
        <w:rPr>
          <w:rFonts w:hint="cs"/>
          <w:rtl/>
        </w:rPr>
        <w:t>הדיונים</w:t>
      </w:r>
      <w:r w:rsidRPr="00AD47FF">
        <w:rPr>
          <w:rFonts w:hint="cs"/>
          <w:rtl/>
        </w:rPr>
        <w:t xml:space="preserve"> בוועדות</w:t>
      </w:r>
      <w:r>
        <w:rPr>
          <w:rFonts w:hint="cs"/>
          <w:rtl/>
        </w:rPr>
        <w:t xml:space="preserve"> האשראי</w:t>
      </w:r>
    </w:p>
    <w:p w:rsidR="00253C38" w:rsidRPr="00AA52CA" w:rsidP="00982BC1" w14:paraId="3BBBFF1B" w14:textId="67DB596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F75087" w:rsidP="00982BC1" w14:paraId="36368786" w14:textId="77777777">
      <w:pPr>
        <w:spacing w:line="269" w:lineRule="auto"/>
        <w:rPr>
          <w:b/>
          <w:bCs/>
          <w:rtl/>
        </w:rPr>
      </w:pPr>
      <w:r w:rsidRPr="00F75087">
        <w:rPr>
          <w:rFonts w:hint="cs"/>
          <w:b/>
          <w:bCs/>
          <w:rtl/>
        </w:rPr>
        <w:t>בניתוח שערך משרד מבקר המדינה נמצא כי גובה הערבות על התיק לצד ביקושים גבוהים הוביל</w:t>
      </w:r>
      <w:r>
        <w:rPr>
          <w:rFonts w:hint="cs"/>
          <w:b/>
          <w:bCs/>
          <w:rtl/>
        </w:rPr>
        <w:t>ו</w:t>
      </w:r>
      <w:r w:rsidRPr="00F75087">
        <w:rPr>
          <w:rFonts w:hint="cs"/>
          <w:b/>
          <w:bCs/>
          <w:rtl/>
        </w:rPr>
        <w:t xml:space="preserve"> </w:t>
      </w:r>
      <w:r>
        <w:rPr>
          <w:rFonts w:hint="cs"/>
          <w:b/>
          <w:bCs/>
          <w:rtl/>
        </w:rPr>
        <w:t xml:space="preserve">לכאורה </w:t>
      </w:r>
      <w:r w:rsidRPr="00F75087">
        <w:rPr>
          <w:rFonts w:hint="cs"/>
          <w:b/>
          <w:bCs/>
          <w:rtl/>
        </w:rPr>
        <w:t>למתן קדימות בדיוני ועדות האשראי</w:t>
      </w:r>
      <w:r>
        <w:rPr>
          <w:rFonts w:hint="cs"/>
          <w:b/>
          <w:bCs/>
          <w:rtl/>
        </w:rPr>
        <w:t xml:space="preserve"> של הגופים המממנים</w:t>
      </w:r>
      <w:r w:rsidRPr="00F75087">
        <w:rPr>
          <w:rFonts w:hint="cs"/>
          <w:b/>
          <w:bCs/>
          <w:rtl/>
        </w:rPr>
        <w:t xml:space="preserve"> לבקשות בעלות סיכויי אישור גבוהים. </w:t>
      </w:r>
      <w:r>
        <w:rPr>
          <w:rFonts w:hint="cs"/>
          <w:b/>
          <w:bCs/>
          <w:rtl/>
        </w:rPr>
        <w:t>כך</w:t>
      </w:r>
      <w:r w:rsidRPr="00F75087">
        <w:rPr>
          <w:rFonts w:hint="cs"/>
          <w:b/>
          <w:bCs/>
          <w:rtl/>
        </w:rPr>
        <w:t xml:space="preserve"> נוצר עיכוב במענה שניתן לעסקים רבים בתקופת המשבר, </w:t>
      </w:r>
      <w:r>
        <w:rPr>
          <w:rFonts w:hint="cs"/>
          <w:b/>
          <w:bCs/>
          <w:rtl/>
        </w:rPr>
        <w:t>ש</w:t>
      </w:r>
      <w:r w:rsidRPr="00F75087">
        <w:rPr>
          <w:rFonts w:hint="cs"/>
          <w:b/>
          <w:bCs/>
          <w:rtl/>
        </w:rPr>
        <w:t xml:space="preserve">בה האשראי שימש כלי </w:t>
      </w:r>
      <w:r>
        <w:rPr>
          <w:rFonts w:hint="cs"/>
          <w:b/>
          <w:bCs/>
          <w:rtl/>
        </w:rPr>
        <w:t>עיקרי</w:t>
      </w:r>
      <w:r w:rsidRPr="00F75087">
        <w:rPr>
          <w:rFonts w:hint="cs"/>
          <w:b/>
          <w:bCs/>
          <w:rtl/>
        </w:rPr>
        <w:t xml:space="preserve"> לצליחתו</w:t>
      </w:r>
      <w:r>
        <w:rPr>
          <w:rFonts w:hint="cs"/>
          <w:b/>
          <w:bCs/>
          <w:rtl/>
        </w:rPr>
        <w:t>, ובייחוד לעסקים שלכאורה היו במצוקה גדולה יותר.</w:t>
      </w:r>
      <w:r w:rsidRPr="00F75087">
        <w:rPr>
          <w:rFonts w:hint="cs"/>
          <w:b/>
          <w:bCs/>
          <w:rtl/>
        </w:rPr>
        <w:t xml:space="preserve"> </w:t>
      </w:r>
    </w:p>
    <w:p w:rsidR="00253C38" w:rsidP="00982BC1" w14:paraId="64F9FBEA" w14:textId="259C721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54230D9" w14:textId="77777777">
      <w:pPr>
        <w:spacing w:line="269" w:lineRule="auto"/>
        <w:rPr>
          <w:rtl/>
        </w:rPr>
      </w:pPr>
      <w:r>
        <w:rPr>
          <w:rFonts w:hint="cs"/>
          <w:rtl/>
        </w:rPr>
        <w:t>תרשים 20 להלן מציג בחלקו הימני את שיעור הבקשות שנדחו בממוצע ביחס למספר החודשים שחלפו ממועד הגשתן, ובחלקו השמאלי מוצג שיעור הבקשות שאושרו בוועדות האשראי ביחס לחודשי פעילות הקרן.</w:t>
      </w:r>
    </w:p>
    <w:p w:rsidR="00847F7E" w:rsidP="00982BC1" w14:paraId="3758E3CD" w14:textId="35A0F854">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1C6911" w:rsidP="00982BC1" w14:paraId="682809AF" w14:textId="0D6F473C">
      <w:pPr>
        <w:spacing w:line="269" w:lineRule="auto"/>
        <w:jc w:val="center"/>
        <w:rPr>
          <w:b/>
          <w:bCs/>
          <w:rtl/>
        </w:rPr>
      </w:pPr>
      <w:r w:rsidRPr="001C6911">
        <w:rPr>
          <w:rFonts w:hint="eastAsia"/>
          <w:b/>
          <w:bCs/>
          <w:rtl/>
        </w:rPr>
        <w:t>תרשים</w:t>
      </w:r>
      <w:r w:rsidRPr="001C6911">
        <w:rPr>
          <w:b/>
          <w:bCs/>
          <w:rtl/>
        </w:rPr>
        <w:t xml:space="preserve"> 20: שיעור הבקשות שנדחו בממוצע ביחס למספר החודשים שחלפו ממועד הגשת הבקשה</w:t>
      </w:r>
      <w:r w:rsidR="005537CA">
        <w:rPr>
          <w:b/>
          <w:bCs/>
          <w:rtl/>
        </w:rPr>
        <w:t xml:space="preserve"> </w:t>
      </w:r>
      <w:r w:rsidRPr="00DA72D6">
        <w:rPr>
          <w:b/>
          <w:bCs/>
          <w:rtl/>
        </w:rPr>
        <w:t xml:space="preserve">ועד </w:t>
      </w:r>
      <w:r w:rsidRPr="007D3D35">
        <w:rPr>
          <w:rFonts w:hint="cs"/>
          <w:b/>
          <w:bCs/>
          <w:rtl/>
        </w:rPr>
        <w:t>שנ</w:t>
      </w:r>
      <w:r>
        <w:rPr>
          <w:rFonts w:hint="cs"/>
          <w:b/>
          <w:bCs/>
          <w:rtl/>
        </w:rPr>
        <w:t>י</w:t>
      </w:r>
      <w:r w:rsidRPr="007D3D35">
        <w:rPr>
          <w:rFonts w:hint="cs"/>
          <w:b/>
          <w:bCs/>
          <w:rtl/>
        </w:rPr>
        <w:t>דונה</w:t>
      </w:r>
      <w:r w:rsidRPr="00DA72D6">
        <w:rPr>
          <w:b/>
          <w:bCs/>
          <w:rtl/>
        </w:rPr>
        <w:t xml:space="preserve"> בוועדת אשראי </w:t>
      </w:r>
      <w:r w:rsidRPr="001C6911">
        <w:rPr>
          <w:rFonts w:hint="eastAsia"/>
          <w:b/>
          <w:bCs/>
          <w:rtl/>
        </w:rPr>
        <w:t>ושיעור</w:t>
      </w:r>
      <w:r w:rsidRPr="001C6911">
        <w:rPr>
          <w:b/>
          <w:bCs/>
          <w:rtl/>
        </w:rPr>
        <w:t xml:space="preserve"> </w:t>
      </w:r>
      <w:r w:rsidRPr="001C6911">
        <w:rPr>
          <w:rFonts w:hint="eastAsia"/>
          <w:b/>
          <w:bCs/>
          <w:rtl/>
        </w:rPr>
        <w:t>הבקשות</w:t>
      </w:r>
      <w:r w:rsidRPr="001C6911">
        <w:rPr>
          <w:b/>
          <w:bCs/>
          <w:rtl/>
        </w:rPr>
        <w:t xml:space="preserve"> שאושרו בוועדות האשראי </w:t>
      </w:r>
      <w:r w:rsidRPr="00DA72D6">
        <w:rPr>
          <w:b/>
          <w:bCs/>
          <w:rtl/>
        </w:rPr>
        <w:t xml:space="preserve">בכל חודש, </w:t>
      </w:r>
      <w:r w:rsidRPr="00DA72D6">
        <w:rPr>
          <w:rFonts w:hint="eastAsia"/>
          <w:b/>
          <w:bCs/>
          <w:rtl/>
        </w:rPr>
        <w:t>אפריל</w:t>
      </w:r>
      <w:r w:rsidRPr="00DA72D6">
        <w:rPr>
          <w:b/>
          <w:bCs/>
          <w:rtl/>
        </w:rPr>
        <w:t xml:space="preserve"> </w:t>
      </w:r>
      <w:r w:rsidRPr="007D3D35">
        <w:rPr>
          <w:rFonts w:hint="cs"/>
          <w:b/>
          <w:bCs/>
          <w:rtl/>
        </w:rPr>
        <w:t>- ספטמבר</w:t>
      </w:r>
      <w:r w:rsidRPr="00DA72D6">
        <w:rPr>
          <w:b/>
          <w:bCs/>
          <w:rtl/>
        </w:rPr>
        <w:t xml:space="preserve"> 2020</w:t>
      </w:r>
      <w:r w:rsidRPr="001C6911">
        <w:rPr>
          <w:b/>
          <w:bCs/>
          <w:rtl/>
        </w:rPr>
        <w:t xml:space="preserve"> </w:t>
      </w:r>
    </w:p>
    <w:p w:rsidR="00253C38" w:rsidP="00982BC1" w14:paraId="63087316" w14:textId="77777777">
      <w:pPr>
        <w:spacing w:line="269" w:lineRule="auto"/>
        <w:ind w:left="-1417" w:right="-851"/>
        <w:jc w:val="center"/>
        <w:rPr>
          <w:sz w:val="24"/>
          <w:rtl/>
        </w:rPr>
      </w:pPr>
      <w:r>
        <w:rPr>
          <w:noProof/>
        </w:rPr>
        <w:drawing>
          <wp:inline distT="0" distB="0" distL="0" distR="0">
            <wp:extent cx="6640327" cy="2631837"/>
            <wp:effectExtent l="0" t="0" r="8255" b="0"/>
            <wp:docPr id="1743882426" name="תמונה 174388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02157" name=""/>
                    <pic:cNvPicPr/>
                  </pic:nvPicPr>
                  <pic:blipFill>
                    <a:blip xmlns:r="http://schemas.openxmlformats.org/officeDocument/2006/relationships" r:embed="rId26"/>
                    <a:stretch>
                      <a:fillRect/>
                    </a:stretch>
                  </pic:blipFill>
                  <pic:spPr>
                    <a:xfrm>
                      <a:off x="0" y="0"/>
                      <a:ext cx="6673081" cy="2644819"/>
                    </a:xfrm>
                    <a:prstGeom prst="rect">
                      <a:avLst/>
                    </a:prstGeom>
                  </pic:spPr>
                </pic:pic>
              </a:graphicData>
            </a:graphic>
          </wp:inline>
        </w:drawing>
      </w:r>
    </w:p>
    <w:p w:rsidR="00253C38" w:rsidRPr="00982BC1" w:rsidP="00982BC1" w14:paraId="5633FE23" w14:textId="77777777">
      <w:pPr>
        <w:spacing w:line="269" w:lineRule="auto"/>
        <w:rPr>
          <w:sz w:val="22"/>
          <w:szCs w:val="22"/>
          <w:rtl/>
        </w:rPr>
      </w:pPr>
      <w:r w:rsidRPr="00982BC1">
        <w:rPr>
          <w:rFonts w:hint="cs"/>
          <w:sz w:val="18"/>
          <w:szCs w:val="22"/>
          <w:rtl/>
        </w:rPr>
        <w:t>נתוני החשכ"ל, בעיבוד משרד מבקר המדינה.</w:t>
      </w:r>
    </w:p>
    <w:p w:rsidR="00253C38" w:rsidP="00982BC1" w14:paraId="23A97B2E" w14:textId="672E996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7E74DDB" w14:textId="77777777">
      <w:pPr>
        <w:spacing w:line="269" w:lineRule="auto"/>
        <w:rPr>
          <w:rtl/>
        </w:rPr>
      </w:pPr>
      <w:r>
        <w:rPr>
          <w:rFonts w:hint="cs"/>
          <w:rtl/>
        </w:rPr>
        <w:t xml:space="preserve">מחלקו </w:t>
      </w:r>
      <w:r w:rsidRPr="00DA72D6">
        <w:rPr>
          <w:rFonts w:hint="cs"/>
          <w:rtl/>
        </w:rPr>
        <w:t>הימני של תרשים 20 עולה כי ככלל שחלף זמן רב יותר ממועד הגשת הבקשות עד מועד הדיון בוועדות האשראי כך חל גידול ניכר בשיעור הדחיות</w:t>
      </w:r>
      <w:r>
        <w:rPr>
          <w:rFonts w:hint="cs"/>
          <w:rtl/>
        </w:rPr>
        <w:t xml:space="preserve">. אומנם ניתן לייחס חלק </w:t>
      </w:r>
      <w:r w:rsidRPr="000335A7">
        <w:rPr>
          <w:rFonts w:hint="eastAsia"/>
          <w:rtl/>
        </w:rPr>
        <w:t>מהעיכוב</w:t>
      </w:r>
      <w:r>
        <w:rPr>
          <w:rFonts w:hint="cs"/>
          <w:rtl/>
        </w:rPr>
        <w:t xml:space="preserve"> לבחינת בקשות מורכבות, שסיכויי אישורן נמוך, בייחוד על רקע הגידול בסיכון שנוצר בעת המשבר. עם זאת, חלקו השמאלי של התרשים מלמד על הבדלים ניכרים </w:t>
      </w:r>
      <w:r w:rsidRPr="000335A7">
        <w:rPr>
          <w:rFonts w:hint="eastAsia"/>
          <w:rtl/>
        </w:rPr>
        <w:t>בשיעור</w:t>
      </w:r>
      <w:r w:rsidRPr="000335A7">
        <w:rPr>
          <w:rtl/>
        </w:rPr>
        <w:t xml:space="preserve"> </w:t>
      </w:r>
      <w:r w:rsidRPr="000335A7">
        <w:rPr>
          <w:rFonts w:hint="eastAsia"/>
          <w:rtl/>
        </w:rPr>
        <w:t>הבקשות</w:t>
      </w:r>
      <w:r w:rsidRPr="000335A7">
        <w:rPr>
          <w:rtl/>
        </w:rPr>
        <w:t xml:space="preserve"> </w:t>
      </w:r>
      <w:r w:rsidRPr="000335A7">
        <w:rPr>
          <w:rFonts w:hint="eastAsia"/>
          <w:rtl/>
        </w:rPr>
        <w:t>שאושרו</w:t>
      </w:r>
      <w:r w:rsidRPr="000335A7">
        <w:rPr>
          <w:rtl/>
        </w:rPr>
        <w:t xml:space="preserve"> </w:t>
      </w:r>
      <w:r w:rsidRPr="000335A7">
        <w:rPr>
          <w:rFonts w:hint="eastAsia"/>
          <w:rtl/>
        </w:rPr>
        <w:t>בממוצע</w:t>
      </w:r>
      <w:r>
        <w:rPr>
          <w:rFonts w:hint="cs"/>
          <w:rtl/>
        </w:rPr>
        <w:t xml:space="preserve"> בין חודשי פעילות הקרן, אף שנשמרה רציפות הגשת הבקשות לכל התקופה. בהתאם, בשלושת החודשים הראשונים תועד שיעור אישור ממוצע של 75% בעוד שבשלושת החודשים העוקבים תועד שיעור של 47% בלבד. שינויים חדים בשיעור הבקשות שאושרו בממוצע בין החודשים מלמדים, לכאורה, על מתן קדימות בדיוני ועדות האשראי לבקשות בעלות סיכויי אישור גבוהים מאחרות.</w:t>
      </w:r>
    </w:p>
    <w:p w:rsidR="00982BC1" w:rsidP="00982BC1" w14:paraId="0EE7A38C" w14:textId="77777777">
      <w:pPr>
        <w:pStyle w:val="Heading7"/>
        <w:spacing w:line="269" w:lineRule="auto"/>
        <w:rPr>
          <w:rtl/>
        </w:rPr>
      </w:pPr>
    </w:p>
    <w:p w:rsidR="00253C38" w:rsidP="00982BC1" w14:paraId="3FA2A29A" w14:textId="149E1065">
      <w:pPr>
        <w:pStyle w:val="Heading7"/>
        <w:spacing w:line="269" w:lineRule="auto"/>
        <w:rPr>
          <w:rtl/>
        </w:rPr>
      </w:pPr>
      <w:r>
        <w:rPr>
          <w:rFonts w:hint="cs"/>
          <w:rtl/>
        </w:rPr>
        <w:t>שיעור אישור נמוך לעסקים זעירים והעמדת אשראי חלקי לקבוצות העסקים הגדולים</w:t>
      </w:r>
    </w:p>
    <w:p w:rsidR="00253C38" w:rsidRPr="00D74D4E" w:rsidP="00982BC1" w14:paraId="5D44B1D4" w14:textId="54E23AEF">
      <w:pPr>
        <w:pStyle w:val="a"/>
        <w:spacing w:line="269" w:lineRule="auto"/>
        <w:rPr>
          <w:b/>
          <w:bCs/>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F670196" w14:textId="77777777">
      <w:pPr>
        <w:spacing w:line="269" w:lineRule="auto"/>
        <w:rPr>
          <w:sz w:val="24"/>
          <w:rtl/>
        </w:rPr>
      </w:pPr>
      <w:r>
        <w:rPr>
          <w:rFonts w:hint="cs"/>
          <w:sz w:val="24"/>
          <w:rtl/>
        </w:rPr>
        <w:t>אין הגדרה בין-לאומית מוסכמת למונחים עסק זעיר, קטן, בינוני וגדול. הגדרות שונות מסתמכות על מדדים שונים, וביניהם, מספר העובדים בעסק, מחזור העסק או המאזן של העסק ומסגרות האשראי. הבדלים בהגדרות בין מדינות עשויים לנבוע, בין היתר, מפערים בגודל הכלכלה ובחוזקה ומהבדלים תרבותיים וחברתיים. בעוד שבמדינות אחרות ההגדרה קבועה בחקיקה, בישראל ההגדרה נקבעת על ידי משרדי הממשלה הרלוונטיים, הגוף הלאומי הממונה על הסטטיסטיקה או הגופים העומדים עם העסקים בקשר עסקי</w:t>
      </w:r>
      <w:r>
        <w:rPr>
          <w:rStyle w:val="FootnoteReference"/>
          <w:sz w:val="24"/>
          <w:rtl/>
        </w:rPr>
        <w:footnoteReference w:id="35"/>
      </w:r>
      <w:r>
        <w:rPr>
          <w:rFonts w:hint="cs"/>
          <w:sz w:val="24"/>
          <w:rtl/>
        </w:rPr>
        <w:t xml:space="preserve">. </w:t>
      </w:r>
    </w:p>
    <w:p w:rsidR="00253C38" w:rsidP="00982BC1" w14:paraId="1DB49CBA" w14:textId="1727C3C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4ED5F1E" w14:textId="77777777">
      <w:pPr>
        <w:spacing w:line="269" w:lineRule="auto"/>
        <w:rPr>
          <w:rtl/>
        </w:rPr>
      </w:pPr>
      <w:r>
        <w:rPr>
          <w:rFonts w:hint="cs"/>
          <w:rtl/>
        </w:rPr>
        <w:t>בהחלטת הממשלה 2190 משנת 2007 (להלן - החלטת ממשלה 2190) נקבעו הגדרות בנוגע לעסקים בישראל</w:t>
      </w:r>
      <w:r>
        <w:rPr>
          <w:rStyle w:val="FootnoteReference"/>
          <w:rtl/>
        </w:rPr>
        <w:footnoteReference w:id="36"/>
      </w:r>
      <w:r>
        <w:rPr>
          <w:rFonts w:hint="cs"/>
          <w:sz w:val="24"/>
          <w:rtl/>
        </w:rPr>
        <w:t>.</w:t>
      </w:r>
      <w:r>
        <w:rPr>
          <w:rFonts w:hint="cs"/>
          <w:rtl/>
        </w:rPr>
        <w:t xml:space="preserve"> הביקורת העלתה כי רוב הבקשות שהוגשו במסלול הרגיל בפילוח על פי מחזור המכירות בהתאם להחלטת הממשלה היו מקבוצת העסקים הזעירים (כ-87%). כמו כן, נמצא כי חלקם של העסקים הזעירים בסכום המאושר הכולל (כ-46%) היה גדול מחלקם בסכום המבוקש הכולל (כ-40%), בעוד שבקבוצת העסקים הבינוניים ובקבוצת העסקים הגדולים תועדה מגמה הפוכה, כפי שניתן לראות בתרשים 21 להלן.</w:t>
      </w:r>
    </w:p>
    <w:p w:rsidR="00982BC1" w14:paraId="1BDA0FD5" w14:textId="77777777">
      <w:pPr>
        <w:bidi w:val="0"/>
        <w:spacing w:after="200" w:line="276" w:lineRule="auto"/>
        <w:rPr>
          <w:szCs w:val="20"/>
          <w:rtl/>
        </w:rPr>
      </w:pPr>
      <w:r>
        <w:rPr>
          <w:rtl/>
        </w:rPr>
        <w:br w:type="page"/>
      </w:r>
    </w:p>
    <w:p w:rsidR="001413F4" w:rsidRPr="0088473C" w:rsidP="00982BC1" w14:paraId="1166C9AF" w14:textId="117A4C9E">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1C6911" w:rsidP="00982BC1" w14:paraId="2F53F280" w14:textId="4ABFAC40">
      <w:pPr>
        <w:spacing w:line="269" w:lineRule="auto"/>
        <w:jc w:val="center"/>
        <w:rPr>
          <w:b/>
          <w:bCs/>
          <w:rtl/>
        </w:rPr>
      </w:pPr>
      <w:r w:rsidRPr="001C6911">
        <w:rPr>
          <w:rFonts w:hint="eastAsia"/>
          <w:b/>
          <w:bCs/>
          <w:rtl/>
        </w:rPr>
        <w:t>תרשים</w:t>
      </w:r>
      <w:r w:rsidRPr="001C6911">
        <w:rPr>
          <w:b/>
          <w:bCs/>
          <w:rtl/>
        </w:rPr>
        <w:t xml:space="preserve"> 21: </w:t>
      </w:r>
      <w:r w:rsidRPr="001C6911">
        <w:rPr>
          <w:rFonts w:hint="eastAsia"/>
          <w:b/>
          <w:bCs/>
          <w:rtl/>
        </w:rPr>
        <w:t>מספר</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הסכום</w:t>
      </w:r>
      <w:r w:rsidRPr="001C6911">
        <w:rPr>
          <w:b/>
          <w:bCs/>
          <w:rtl/>
        </w:rPr>
        <w:t xml:space="preserve"> </w:t>
      </w:r>
      <w:r w:rsidRPr="001C6911">
        <w:rPr>
          <w:rFonts w:hint="eastAsia"/>
          <w:b/>
          <w:bCs/>
          <w:rtl/>
        </w:rPr>
        <w:t>המבוקש</w:t>
      </w:r>
      <w:r w:rsidRPr="001C6911">
        <w:rPr>
          <w:b/>
          <w:bCs/>
          <w:rtl/>
        </w:rPr>
        <w:t xml:space="preserve"> </w:t>
      </w:r>
      <w:r w:rsidRPr="001C6911">
        <w:rPr>
          <w:rFonts w:hint="eastAsia"/>
          <w:b/>
          <w:bCs/>
          <w:rtl/>
        </w:rPr>
        <w:t>והסכום</w:t>
      </w:r>
      <w:r w:rsidRPr="001C6911">
        <w:rPr>
          <w:b/>
          <w:bCs/>
          <w:rtl/>
        </w:rPr>
        <w:t xml:space="preserve"> </w:t>
      </w:r>
      <w:r w:rsidRPr="001C6911">
        <w:rPr>
          <w:rFonts w:hint="eastAsia"/>
          <w:b/>
          <w:bCs/>
          <w:rtl/>
        </w:rPr>
        <w:t>המאושר</w:t>
      </w:r>
      <w:r w:rsidRPr="001C6911">
        <w:rPr>
          <w:b/>
          <w:bCs/>
          <w:rtl/>
        </w:rPr>
        <w:t xml:space="preserve"> </w:t>
      </w:r>
      <w:r w:rsidRPr="001C6911">
        <w:rPr>
          <w:rFonts w:hint="eastAsia"/>
          <w:b/>
          <w:bCs/>
          <w:rtl/>
        </w:rPr>
        <w:t>במסלול</w:t>
      </w:r>
      <w:r w:rsidRPr="001C6911">
        <w:rPr>
          <w:b/>
          <w:bCs/>
          <w:rtl/>
        </w:rPr>
        <w:t xml:space="preserve"> </w:t>
      </w:r>
      <w:r w:rsidRPr="001C6911">
        <w:rPr>
          <w:rFonts w:hint="eastAsia"/>
          <w:b/>
          <w:bCs/>
          <w:rtl/>
        </w:rPr>
        <w:t>הרגיל</w:t>
      </w:r>
      <w:r w:rsidRPr="001C6911">
        <w:rPr>
          <w:b/>
          <w:bCs/>
          <w:rtl/>
        </w:rPr>
        <w:t xml:space="preserve">, </w:t>
      </w:r>
      <w:r>
        <w:rPr>
          <w:rFonts w:hint="cs"/>
          <w:b/>
          <w:bCs/>
          <w:rtl/>
        </w:rPr>
        <w:t>19.10.20</w:t>
      </w:r>
      <w:r w:rsidRPr="00293136">
        <w:rPr>
          <w:rFonts w:hint="cs"/>
          <w:b/>
          <w:bCs/>
          <w:rtl/>
        </w:rPr>
        <w:t xml:space="preserve"> </w:t>
      </w:r>
    </w:p>
    <w:p w:rsidR="00253C38" w:rsidRPr="00EC7EE8" w:rsidP="00982BC1" w14:paraId="428AED9E" w14:textId="77777777">
      <w:pPr>
        <w:spacing w:line="269" w:lineRule="auto"/>
        <w:ind w:left="-425"/>
        <w:jc w:val="center"/>
        <w:rPr>
          <w:rtl/>
        </w:rPr>
      </w:pPr>
      <w:r>
        <w:rPr>
          <w:noProof/>
        </w:rPr>
        <w:drawing>
          <wp:inline distT="0" distB="0" distL="0" distR="0">
            <wp:extent cx="6065122" cy="5076749"/>
            <wp:effectExtent l="0" t="0" r="0" b="0"/>
            <wp:docPr id="68" name="תמונה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00246" name=""/>
                    <pic:cNvPicPr/>
                  </pic:nvPicPr>
                  <pic:blipFill>
                    <a:blip xmlns:r="http://schemas.openxmlformats.org/officeDocument/2006/relationships" r:embed="rId27"/>
                    <a:stretch>
                      <a:fillRect/>
                    </a:stretch>
                  </pic:blipFill>
                  <pic:spPr>
                    <a:xfrm>
                      <a:off x="0" y="0"/>
                      <a:ext cx="6196136" cy="5186413"/>
                    </a:xfrm>
                    <a:prstGeom prst="rect">
                      <a:avLst/>
                    </a:prstGeom>
                  </pic:spPr>
                </pic:pic>
              </a:graphicData>
            </a:graphic>
          </wp:inline>
        </w:drawing>
      </w:r>
    </w:p>
    <w:p w:rsidR="00253C38" w:rsidP="00982BC1" w14:paraId="66CAAD6C" w14:textId="77777777">
      <w:pPr>
        <w:spacing w:line="269" w:lineRule="auto"/>
        <w:rPr>
          <w:szCs w:val="20"/>
          <w:rtl/>
        </w:rPr>
      </w:pPr>
    </w:p>
    <w:p w:rsidR="00253C38" w:rsidRPr="00982BC1" w:rsidP="00982BC1" w14:paraId="086BFF13" w14:textId="77777777">
      <w:pPr>
        <w:spacing w:line="269" w:lineRule="auto"/>
        <w:rPr>
          <w:sz w:val="22"/>
          <w:szCs w:val="22"/>
          <w:rtl/>
        </w:rPr>
      </w:pPr>
      <w:r w:rsidRPr="00982BC1">
        <w:rPr>
          <w:rFonts w:hint="cs"/>
          <w:sz w:val="18"/>
          <w:szCs w:val="22"/>
          <w:rtl/>
        </w:rPr>
        <w:t>נתוני החשכ"ל, בעיבוד משרד מבקר המדינה.</w:t>
      </w:r>
    </w:p>
    <w:p w:rsidR="00253C38" w:rsidRPr="00982BC1" w:rsidP="00982BC1" w14:paraId="32253287" w14:textId="77777777">
      <w:pPr>
        <w:spacing w:line="269" w:lineRule="auto"/>
        <w:rPr>
          <w:sz w:val="22"/>
          <w:szCs w:val="22"/>
          <w:rtl/>
        </w:rPr>
      </w:pPr>
      <w:r w:rsidRPr="00982BC1">
        <w:rPr>
          <w:rFonts w:hint="cs"/>
          <w:sz w:val="22"/>
          <w:szCs w:val="22"/>
          <w:rtl/>
        </w:rPr>
        <w:t>* הניתוח בוצע עבור בקשות הכוללות את כל המידע הרלוונטי.</w:t>
      </w:r>
    </w:p>
    <w:p w:rsidR="00253C38" w:rsidP="00982BC1" w14:paraId="5810287A" w14:textId="25D6714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EEDBC70" w14:textId="77777777">
      <w:pPr>
        <w:spacing w:line="269" w:lineRule="auto"/>
        <w:rPr>
          <w:sz w:val="24"/>
          <w:rtl/>
        </w:rPr>
      </w:pPr>
      <w:r>
        <w:rPr>
          <w:rFonts w:hint="cs"/>
          <w:rtl/>
        </w:rPr>
        <w:t xml:space="preserve">תרשים 22 להלן מציג את שיעור הבקשות שאושרו מתוך הבקשות שנידונו בוועדות האשראי ואת שיעור הסכום המאושר </w:t>
      </w:r>
      <w:r w:rsidRPr="005409B2">
        <w:rPr>
          <w:rFonts w:hint="eastAsia"/>
          <w:rtl/>
        </w:rPr>
        <w:t>בממוצע</w:t>
      </w:r>
      <w:r>
        <w:rPr>
          <w:rFonts w:hint="cs"/>
          <w:rtl/>
        </w:rPr>
        <w:t xml:space="preserve"> לפי ההגדרה שנקבעה בהחלטת הממשלה בהתאם למחזור המכירות השנתי.</w:t>
      </w:r>
    </w:p>
    <w:p w:rsidR="00982BC1" w14:paraId="3F585BA7" w14:textId="77777777">
      <w:pPr>
        <w:bidi w:val="0"/>
        <w:spacing w:after="200" w:line="276" w:lineRule="auto"/>
        <w:rPr>
          <w:szCs w:val="20"/>
          <w:rtl/>
        </w:rPr>
      </w:pPr>
      <w:r>
        <w:rPr>
          <w:rtl/>
        </w:rPr>
        <w:br w:type="page"/>
      </w:r>
    </w:p>
    <w:p w:rsidR="00253C38" w:rsidRPr="00326CC6" w:rsidP="00982BC1" w14:paraId="01631904" w14:textId="6D71BC7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29B394A0" w14:textId="77777777">
      <w:pPr>
        <w:spacing w:line="269" w:lineRule="auto"/>
        <w:jc w:val="center"/>
        <w:rPr>
          <w:b/>
          <w:bCs/>
          <w:rtl/>
        </w:rPr>
      </w:pPr>
      <w:r w:rsidRPr="001C6911">
        <w:rPr>
          <w:rFonts w:hint="eastAsia"/>
          <w:b/>
          <w:bCs/>
          <w:rtl/>
        </w:rPr>
        <w:t>תרשים</w:t>
      </w:r>
      <w:r w:rsidRPr="001C6911">
        <w:rPr>
          <w:b/>
          <w:bCs/>
          <w:rtl/>
        </w:rPr>
        <w:t xml:space="preserve"> 22: שיעור הבקשות שאושרו </w:t>
      </w:r>
      <w:r w:rsidRPr="001C6911">
        <w:rPr>
          <w:rFonts w:hint="eastAsia"/>
          <w:b/>
          <w:bCs/>
          <w:rtl/>
        </w:rPr>
        <w:t>בוועדות</w:t>
      </w:r>
      <w:r w:rsidRPr="001C6911">
        <w:rPr>
          <w:b/>
          <w:bCs/>
          <w:rtl/>
        </w:rPr>
        <w:t xml:space="preserve"> האשראי ושיעור הסכום המאושר הממוצע </w:t>
      </w:r>
      <w:r w:rsidRPr="001C6911">
        <w:rPr>
          <w:rFonts w:hint="eastAsia"/>
          <w:b/>
          <w:bCs/>
          <w:rtl/>
        </w:rPr>
        <w:t>במסלול</w:t>
      </w:r>
      <w:r w:rsidRPr="001C6911">
        <w:rPr>
          <w:b/>
          <w:bCs/>
          <w:rtl/>
        </w:rPr>
        <w:t xml:space="preserve"> </w:t>
      </w:r>
      <w:r w:rsidRPr="001C6911">
        <w:rPr>
          <w:rFonts w:hint="eastAsia"/>
          <w:b/>
          <w:bCs/>
          <w:rtl/>
        </w:rPr>
        <w:t>הרגיל</w:t>
      </w:r>
      <w:r w:rsidRPr="001C6911">
        <w:rPr>
          <w:b/>
          <w:bCs/>
          <w:rtl/>
        </w:rPr>
        <w:t xml:space="preserve"> </w:t>
      </w:r>
      <w:r w:rsidRPr="001C6911">
        <w:rPr>
          <w:rFonts w:hint="eastAsia"/>
          <w:b/>
          <w:bCs/>
          <w:rtl/>
        </w:rPr>
        <w:t>בחלוקה</w:t>
      </w:r>
      <w:r w:rsidRPr="001C6911">
        <w:rPr>
          <w:b/>
          <w:bCs/>
          <w:rtl/>
        </w:rPr>
        <w:t xml:space="preserve"> </w:t>
      </w:r>
      <w:r w:rsidRPr="001C6911">
        <w:rPr>
          <w:rFonts w:hint="eastAsia"/>
          <w:b/>
          <w:bCs/>
          <w:rtl/>
        </w:rPr>
        <w:t>לפי</w:t>
      </w:r>
      <w:r w:rsidRPr="001C6911">
        <w:rPr>
          <w:b/>
          <w:bCs/>
          <w:rtl/>
        </w:rPr>
        <w:t xml:space="preserve"> </w:t>
      </w:r>
      <w:r w:rsidRPr="001C6911">
        <w:rPr>
          <w:rFonts w:hint="eastAsia"/>
          <w:b/>
          <w:bCs/>
          <w:rtl/>
        </w:rPr>
        <w:t>גודל</w:t>
      </w:r>
      <w:r w:rsidRPr="001C6911">
        <w:rPr>
          <w:b/>
          <w:bCs/>
          <w:rtl/>
        </w:rPr>
        <w:t xml:space="preserve"> </w:t>
      </w:r>
      <w:r w:rsidRPr="001C6911">
        <w:rPr>
          <w:rFonts w:hint="eastAsia"/>
          <w:b/>
          <w:bCs/>
          <w:rtl/>
        </w:rPr>
        <w:t>העסקים</w:t>
      </w:r>
      <w:r w:rsidRPr="001C6911">
        <w:rPr>
          <w:b/>
          <w:bCs/>
          <w:rtl/>
        </w:rPr>
        <w:t xml:space="preserve">, </w:t>
      </w:r>
      <w:r w:rsidRPr="004320C8">
        <w:rPr>
          <w:b/>
          <w:bCs/>
          <w:rtl/>
        </w:rPr>
        <w:t>19</w:t>
      </w:r>
      <w:r w:rsidRPr="00A150B1">
        <w:rPr>
          <w:rFonts w:hint="cs"/>
          <w:b/>
          <w:bCs/>
          <w:rtl/>
        </w:rPr>
        <w:t>.10.20 (</w:t>
      </w:r>
      <w:r w:rsidRPr="001C6911">
        <w:rPr>
          <w:rFonts w:hint="eastAsia"/>
          <w:b/>
          <w:bCs/>
          <w:rtl/>
        </w:rPr>
        <w:t>באחוזים</w:t>
      </w:r>
      <w:r w:rsidRPr="00A150B1">
        <w:rPr>
          <w:rFonts w:hint="cs"/>
          <w:b/>
          <w:bCs/>
          <w:rtl/>
        </w:rPr>
        <w:t>)</w:t>
      </w:r>
    </w:p>
    <w:p w:rsidR="00253C38" w:rsidRPr="00A00AA7" w:rsidP="00982BC1" w14:paraId="69599663" w14:textId="77777777">
      <w:pPr>
        <w:spacing w:line="269" w:lineRule="auto"/>
        <w:ind w:left="-425"/>
        <w:jc w:val="center"/>
        <w:rPr>
          <w:noProof/>
          <w:rtl/>
        </w:rPr>
      </w:pPr>
      <w:r>
        <w:rPr>
          <w:noProof/>
        </w:rPr>
        <w:drawing>
          <wp:inline distT="0" distB="0" distL="0" distR="0">
            <wp:extent cx="5669585" cy="2674819"/>
            <wp:effectExtent l="0" t="0" r="7620" b="0"/>
            <wp:docPr id="1743882427" name="תמונה 174388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27658" name=""/>
                    <pic:cNvPicPr/>
                  </pic:nvPicPr>
                  <pic:blipFill>
                    <a:blip xmlns:r="http://schemas.openxmlformats.org/officeDocument/2006/relationships" r:embed="rId28"/>
                    <a:stretch>
                      <a:fillRect/>
                    </a:stretch>
                  </pic:blipFill>
                  <pic:spPr>
                    <a:xfrm>
                      <a:off x="0" y="0"/>
                      <a:ext cx="5676654" cy="2678154"/>
                    </a:xfrm>
                    <a:prstGeom prst="rect">
                      <a:avLst/>
                    </a:prstGeom>
                  </pic:spPr>
                </pic:pic>
              </a:graphicData>
            </a:graphic>
          </wp:inline>
        </w:drawing>
      </w:r>
    </w:p>
    <w:p w:rsidR="00253C38" w:rsidRPr="00982BC1" w:rsidP="00982BC1" w14:paraId="2CEB531F" w14:textId="77777777">
      <w:pPr>
        <w:spacing w:line="269" w:lineRule="auto"/>
        <w:rPr>
          <w:sz w:val="22"/>
          <w:szCs w:val="22"/>
          <w:rtl/>
        </w:rPr>
      </w:pPr>
      <w:r w:rsidRPr="00982BC1">
        <w:rPr>
          <w:rFonts w:hint="cs"/>
          <w:sz w:val="18"/>
          <w:szCs w:val="22"/>
          <w:rtl/>
        </w:rPr>
        <w:t>נתוני החשכ"ל, בעיבוד משרד מבקר המדינה.</w:t>
      </w:r>
    </w:p>
    <w:p w:rsidR="00253C38" w:rsidRPr="00982BC1" w:rsidP="00982BC1" w14:paraId="5AE0891A" w14:textId="77777777">
      <w:pPr>
        <w:spacing w:line="269" w:lineRule="auto"/>
        <w:rPr>
          <w:sz w:val="22"/>
          <w:szCs w:val="22"/>
        </w:rPr>
      </w:pPr>
      <w:r w:rsidRPr="00982BC1">
        <w:rPr>
          <w:rFonts w:hint="cs"/>
          <w:sz w:val="22"/>
          <w:szCs w:val="22"/>
          <w:rtl/>
        </w:rPr>
        <w:t>* הניתוח בוצע עבור בקשות המכילות את כל המידע הרלוונטי.</w:t>
      </w:r>
    </w:p>
    <w:p w:rsidR="00253C38" w:rsidP="00982BC1" w14:paraId="72F8972A" w14:textId="38FC5CE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5CC159A" w14:textId="77777777">
      <w:pPr>
        <w:spacing w:line="269" w:lineRule="auto"/>
        <w:rPr>
          <w:rtl/>
        </w:rPr>
      </w:pPr>
      <w:r>
        <w:rPr>
          <w:rFonts w:hint="cs"/>
          <w:rtl/>
        </w:rPr>
        <w:t xml:space="preserve">מתרשים 22 עולות שתי מגמות הפוכות </w:t>
      </w:r>
      <w:r w:rsidRPr="00866E74">
        <w:rPr>
          <w:rFonts w:hint="cs"/>
          <w:rtl/>
        </w:rPr>
        <w:t>ביחס לגודל העסקים. מחד</w:t>
      </w:r>
      <w:r>
        <w:rPr>
          <w:rFonts w:hint="cs"/>
          <w:rtl/>
        </w:rPr>
        <w:t xml:space="preserve"> גיסא</w:t>
      </w:r>
      <w:r w:rsidRPr="00866E74">
        <w:rPr>
          <w:rFonts w:hint="cs"/>
          <w:rtl/>
        </w:rPr>
        <w:t xml:space="preserve">, </w:t>
      </w:r>
      <w:r w:rsidRPr="00866E74">
        <w:rPr>
          <w:rFonts w:hint="cs"/>
          <w:sz w:val="24"/>
          <w:rtl/>
        </w:rPr>
        <w:t xml:space="preserve">שיעור </w:t>
      </w:r>
      <w:r>
        <w:rPr>
          <w:rFonts w:hint="cs"/>
          <w:sz w:val="24"/>
          <w:rtl/>
        </w:rPr>
        <w:t>הבקשות שאושרו</w:t>
      </w:r>
      <w:r w:rsidRPr="00866E74">
        <w:rPr>
          <w:rFonts w:hint="cs"/>
          <w:sz w:val="24"/>
          <w:rtl/>
        </w:rPr>
        <w:t xml:space="preserve"> </w:t>
      </w:r>
      <w:r>
        <w:rPr>
          <w:rFonts w:hint="cs"/>
          <w:sz w:val="24"/>
          <w:rtl/>
        </w:rPr>
        <w:t>לקבוצ</w:t>
      </w:r>
      <w:r w:rsidRPr="00866E74">
        <w:rPr>
          <w:rFonts w:hint="cs"/>
          <w:sz w:val="24"/>
          <w:rtl/>
        </w:rPr>
        <w:t>ת העסקים ה</w:t>
      </w:r>
      <w:r>
        <w:rPr>
          <w:rFonts w:hint="cs"/>
          <w:sz w:val="24"/>
          <w:rtl/>
        </w:rPr>
        <w:t>זעירים</w:t>
      </w:r>
      <w:r w:rsidRPr="00866E74">
        <w:rPr>
          <w:rFonts w:hint="cs"/>
          <w:sz w:val="24"/>
          <w:rtl/>
        </w:rPr>
        <w:t xml:space="preserve"> נמוך ב</w:t>
      </w:r>
      <w:r>
        <w:rPr>
          <w:rFonts w:hint="cs"/>
          <w:sz w:val="24"/>
          <w:rtl/>
        </w:rPr>
        <w:t>השוואה</w:t>
      </w:r>
      <w:r w:rsidRPr="00866E74">
        <w:rPr>
          <w:rFonts w:hint="cs"/>
          <w:sz w:val="24"/>
          <w:rtl/>
        </w:rPr>
        <w:t xml:space="preserve"> לקבוצות העסקים הגדול</w:t>
      </w:r>
      <w:r>
        <w:rPr>
          <w:rFonts w:hint="cs"/>
          <w:sz w:val="24"/>
          <w:rtl/>
        </w:rPr>
        <w:t>ים יותר</w:t>
      </w:r>
      <w:r w:rsidRPr="00866E74">
        <w:rPr>
          <w:rFonts w:hint="cs"/>
          <w:sz w:val="24"/>
          <w:rtl/>
        </w:rPr>
        <w:t xml:space="preserve">, ואילו </w:t>
      </w:r>
      <w:r>
        <w:rPr>
          <w:rFonts w:hint="cs"/>
          <w:sz w:val="24"/>
          <w:rtl/>
        </w:rPr>
        <w:t>ל</w:t>
      </w:r>
      <w:r w:rsidRPr="00866E74">
        <w:rPr>
          <w:rFonts w:hint="cs"/>
          <w:sz w:val="24"/>
          <w:rtl/>
        </w:rPr>
        <w:t>אחרונים הועמדו סכומים נמוכים</w:t>
      </w:r>
      <w:r>
        <w:rPr>
          <w:rFonts w:hint="cs"/>
          <w:sz w:val="24"/>
          <w:rtl/>
        </w:rPr>
        <w:t xml:space="preserve"> משמעותית</w:t>
      </w:r>
      <w:r w:rsidR="004320C8">
        <w:rPr>
          <w:rFonts w:hint="cs"/>
          <w:sz w:val="24"/>
          <w:rtl/>
        </w:rPr>
        <w:t xml:space="preserve"> </w:t>
      </w:r>
      <w:r>
        <w:rPr>
          <w:rFonts w:hint="cs"/>
          <w:sz w:val="24"/>
          <w:rtl/>
        </w:rPr>
        <w:t>בהשוואה</w:t>
      </w:r>
      <w:r w:rsidRPr="00866E74">
        <w:rPr>
          <w:rFonts w:hint="cs"/>
          <w:sz w:val="24"/>
          <w:rtl/>
        </w:rPr>
        <w:t xml:space="preserve"> לסכום </w:t>
      </w:r>
      <w:r>
        <w:rPr>
          <w:rFonts w:hint="cs"/>
          <w:sz w:val="24"/>
          <w:rtl/>
        </w:rPr>
        <w:t>שביקשו. סכומים אלה פוחתים בהדרגה בהתאם לגודל העסק, בהשוואה לקבוצת העסקים הזעירים</w:t>
      </w:r>
      <w:r w:rsidRPr="00866E74">
        <w:rPr>
          <w:rFonts w:hint="cs"/>
          <w:sz w:val="24"/>
          <w:rtl/>
        </w:rPr>
        <w:t>.</w:t>
      </w:r>
      <w:r>
        <w:rPr>
          <w:rFonts w:hint="cs"/>
          <w:sz w:val="24"/>
          <w:rtl/>
        </w:rPr>
        <w:t xml:space="preserve"> בדיקת משרד מבקר המדינה העלתה כי בהצגת הנתונים בהתאם להגדרת העסקים לפי הסוכנות לעסקים קטנים ובינוניים</w:t>
      </w:r>
      <w:r>
        <w:rPr>
          <w:rStyle w:val="FootnoteReference"/>
          <w:sz w:val="24"/>
          <w:rtl/>
        </w:rPr>
        <w:footnoteReference w:id="37"/>
      </w:r>
      <w:r>
        <w:rPr>
          <w:rFonts w:hint="cs"/>
          <w:sz w:val="24"/>
          <w:rtl/>
        </w:rPr>
        <w:t xml:space="preserve"> הפערים בין הקבוצות גדלים, כך שהמגמות ההופכיות מודגשות</w:t>
      </w:r>
      <w:r>
        <w:rPr>
          <w:rFonts w:hint="cs"/>
          <w:rtl/>
        </w:rPr>
        <w:t xml:space="preserve">. </w:t>
      </w:r>
    </w:p>
    <w:p w:rsidR="00253C38" w:rsidP="00982BC1" w14:paraId="41658BCA" w14:textId="1FE22E1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FB08BDD" w14:textId="77777777">
      <w:pPr>
        <w:spacing w:line="269" w:lineRule="auto"/>
        <w:rPr>
          <w:rtl/>
        </w:rPr>
      </w:pPr>
      <w:r>
        <w:rPr>
          <w:rFonts w:hint="cs"/>
          <w:rtl/>
        </w:rPr>
        <w:t>עסקים זעירים רגישים לתנודות בשווקים ופחות יציבים בעת משבר כלכלי רחב. משרד מבקר המדינה הציג בדוח הביניים כי עיקר הפגיעה בעקבות המשבר אירעה בקרב קבוצות עסקים בעלי מחזורי עסקאות קטנים</w:t>
      </w:r>
      <w:r>
        <w:rPr>
          <w:rStyle w:val="FootnoteReference"/>
          <w:rtl/>
        </w:rPr>
        <w:footnoteReference w:id="38"/>
      </w:r>
      <w:r>
        <w:rPr>
          <w:rFonts w:hint="cs"/>
          <w:rtl/>
        </w:rPr>
        <w:t>. לפיכך, אישור בקשות להלוואות בהיקף נרחב לעסקים מקבוצה זו מסכן במידה רבה את הגופים המממנים. מנגד, הלימה בין גודל העסק לסכום ההלוואה המבוקש, כפי שניתן לראות בלוח 3</w:t>
      </w:r>
      <w:r>
        <w:rPr>
          <w:rStyle w:val="FootnoteReference"/>
          <w:rtl/>
        </w:rPr>
        <w:footnoteReference w:id="39"/>
      </w:r>
      <w:r>
        <w:rPr>
          <w:rFonts w:hint="cs"/>
          <w:rtl/>
        </w:rPr>
        <w:t>, מצביעה על חשיפה גבוהה של הגופים המממנים לסכום המבוקש בקרב קבוצות העסקים הגדולים יותר. בהתאם, פיזור הסיכון נעשה מחד גיסא באמצעות מתן שיעור אישור נמוך לקבוצת הלווים הזעירים, מתוך העמדת חלק גדול מהסכום המבוקש לאלה שאושרו, ומנגד במתן שיעור אישור גבוה יותר לקבוצות העסקים הגדולים, תוך כדי העמדת הלוואה בשיעור נמוך מהסכום המבוקש.</w:t>
      </w:r>
    </w:p>
    <w:p w:rsidR="00982BC1" w14:paraId="28B8A16A" w14:textId="77777777">
      <w:pPr>
        <w:bidi w:val="0"/>
        <w:spacing w:after="200" w:line="276" w:lineRule="auto"/>
        <w:rPr>
          <w:szCs w:val="20"/>
          <w:rtl/>
        </w:rPr>
      </w:pPr>
      <w:r>
        <w:rPr>
          <w:rtl/>
        </w:rPr>
        <w:br w:type="page"/>
      </w:r>
    </w:p>
    <w:p w:rsidR="00253C38" w:rsidP="00982BC1" w14:paraId="62F28210" w14:textId="494CF75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3126B6B9" w14:textId="77777777">
      <w:pPr>
        <w:spacing w:line="269" w:lineRule="auto"/>
        <w:jc w:val="center"/>
        <w:rPr>
          <w:b/>
          <w:bCs/>
          <w:rtl/>
        </w:rPr>
      </w:pPr>
      <w:r w:rsidRPr="001C6911">
        <w:rPr>
          <w:rFonts w:hint="eastAsia"/>
          <w:b/>
          <w:bCs/>
          <w:rtl/>
        </w:rPr>
        <w:t>לוח</w:t>
      </w:r>
      <w:r w:rsidRPr="001C6911">
        <w:rPr>
          <w:b/>
          <w:bCs/>
          <w:rtl/>
        </w:rPr>
        <w:t xml:space="preserve"> 3: התפלגות סכומי הבקש</w:t>
      </w:r>
      <w:r w:rsidRPr="001C6911">
        <w:rPr>
          <w:rFonts w:hint="eastAsia"/>
          <w:b/>
          <w:bCs/>
          <w:rtl/>
        </w:rPr>
        <w:t>ות</w:t>
      </w:r>
      <w:r w:rsidRPr="001C6911">
        <w:rPr>
          <w:b/>
          <w:bCs/>
          <w:rtl/>
        </w:rPr>
        <w:t xml:space="preserve"> </w:t>
      </w:r>
      <w:r w:rsidRPr="001C6911">
        <w:rPr>
          <w:rFonts w:hint="eastAsia"/>
          <w:b/>
          <w:bCs/>
          <w:rtl/>
        </w:rPr>
        <w:t>בין</w:t>
      </w:r>
      <w:r w:rsidRPr="001C6911">
        <w:rPr>
          <w:b/>
          <w:bCs/>
          <w:rtl/>
        </w:rPr>
        <w:t xml:space="preserve"> </w:t>
      </w:r>
      <w:r w:rsidRPr="001C6911">
        <w:rPr>
          <w:rFonts w:hint="eastAsia"/>
          <w:b/>
          <w:bCs/>
          <w:rtl/>
        </w:rPr>
        <w:t>קבוצות</w:t>
      </w:r>
      <w:r w:rsidRPr="001C6911">
        <w:rPr>
          <w:b/>
          <w:bCs/>
          <w:rtl/>
        </w:rPr>
        <w:t xml:space="preserve"> </w:t>
      </w:r>
      <w:r w:rsidRPr="001C6911">
        <w:rPr>
          <w:rFonts w:hint="eastAsia"/>
          <w:b/>
          <w:bCs/>
          <w:rtl/>
        </w:rPr>
        <w:t>העסקים</w:t>
      </w:r>
      <w:r w:rsidRPr="001C6911">
        <w:rPr>
          <w:b/>
          <w:bCs/>
          <w:rtl/>
        </w:rPr>
        <w:t xml:space="preserve">, </w:t>
      </w:r>
      <w:r w:rsidRPr="00A150B1">
        <w:rPr>
          <w:rFonts w:hint="cs"/>
          <w:b/>
          <w:bCs/>
          <w:rtl/>
        </w:rPr>
        <w:t>19.10.20</w:t>
      </w:r>
    </w:p>
    <w:tbl>
      <w:tblPr>
        <w:tblStyle w:val="TableGrid"/>
        <w:bidiVisual/>
        <w:tblW w:w="9067" w:type="dxa"/>
        <w:tblInd w:w="-283" w:type="dxa"/>
        <w:tblLook w:val="04A0"/>
      </w:tblPr>
      <w:tblGrid>
        <w:gridCol w:w="1675"/>
        <w:gridCol w:w="1157"/>
        <w:gridCol w:w="1559"/>
        <w:gridCol w:w="1559"/>
        <w:gridCol w:w="1710"/>
        <w:gridCol w:w="1407"/>
      </w:tblGrid>
      <w:tr w14:paraId="31AF26B1" w14:textId="77777777" w:rsidTr="00982BC1">
        <w:tblPrEx>
          <w:tblW w:w="9067" w:type="dxa"/>
          <w:tblInd w:w="-283" w:type="dxa"/>
          <w:tblLook w:val="04A0"/>
        </w:tblPrEx>
        <w:tc>
          <w:tcPr>
            <w:tcW w:w="1675" w:type="dxa"/>
            <w:shd w:val="clear" w:color="auto" w:fill="244061" w:themeFill="accent1" w:themeFillShade="80"/>
          </w:tcPr>
          <w:p w:rsidR="003F631F" w:rsidRPr="00982BC1" w:rsidP="00982BC1" w14:paraId="353C93FA" w14:textId="77777777">
            <w:pPr>
              <w:spacing w:line="269" w:lineRule="auto"/>
              <w:jc w:val="left"/>
              <w:rPr>
                <w:rFonts w:ascii="Tahoma" w:hAnsi="Tahoma"/>
                <w:sz w:val="18"/>
                <w:szCs w:val="22"/>
                <w:rtl/>
              </w:rPr>
            </w:pPr>
            <w:r w:rsidRPr="00982BC1">
              <w:rPr>
                <w:rFonts w:ascii="Tahoma" w:hAnsi="Tahoma"/>
                <w:sz w:val="18"/>
                <w:szCs w:val="22"/>
                <w:rtl/>
              </w:rPr>
              <w:t>הסכום המבוקש</w:t>
            </w:r>
            <w:r w:rsidRPr="00982BC1" w:rsidR="00AA3943">
              <w:rPr>
                <w:rFonts w:ascii="Tahoma" w:hAnsi="Tahoma"/>
                <w:sz w:val="18"/>
                <w:szCs w:val="22"/>
                <w:rtl/>
              </w:rPr>
              <w:t xml:space="preserve"> </w:t>
            </w:r>
          </w:p>
        </w:tc>
        <w:tc>
          <w:tcPr>
            <w:tcW w:w="1157" w:type="dxa"/>
            <w:shd w:val="clear" w:color="auto" w:fill="244061" w:themeFill="accent1" w:themeFillShade="80"/>
          </w:tcPr>
          <w:p w:rsidR="003F631F" w:rsidRPr="00982BC1" w:rsidP="00982BC1" w14:paraId="70059D35" w14:textId="77777777">
            <w:pPr>
              <w:spacing w:line="269" w:lineRule="auto"/>
              <w:jc w:val="center"/>
              <w:rPr>
                <w:rFonts w:ascii="Tahoma" w:hAnsi="Tahoma"/>
                <w:sz w:val="18"/>
                <w:szCs w:val="22"/>
                <w:rtl/>
              </w:rPr>
            </w:pPr>
            <w:r w:rsidRPr="00982BC1">
              <w:rPr>
                <w:rFonts w:ascii="Tahoma" w:hAnsi="Tahoma"/>
                <w:sz w:val="18"/>
                <w:szCs w:val="22"/>
                <w:rtl/>
              </w:rPr>
              <w:t>נמוך מ-100,000 ש"ח</w:t>
            </w:r>
          </w:p>
        </w:tc>
        <w:tc>
          <w:tcPr>
            <w:tcW w:w="1559" w:type="dxa"/>
            <w:shd w:val="clear" w:color="auto" w:fill="244061" w:themeFill="accent1" w:themeFillShade="80"/>
          </w:tcPr>
          <w:p w:rsidR="003F631F" w:rsidRPr="00982BC1" w:rsidP="00982BC1" w14:paraId="226CEDB8" w14:textId="77777777">
            <w:pPr>
              <w:spacing w:line="269" w:lineRule="auto"/>
              <w:jc w:val="center"/>
              <w:rPr>
                <w:rFonts w:ascii="Tahoma" w:hAnsi="Tahoma"/>
                <w:sz w:val="18"/>
                <w:szCs w:val="22"/>
                <w:rtl/>
              </w:rPr>
            </w:pPr>
            <w:r w:rsidRPr="00982BC1">
              <w:rPr>
                <w:rFonts w:ascii="Tahoma" w:hAnsi="Tahoma"/>
                <w:sz w:val="18"/>
                <w:szCs w:val="22"/>
                <w:rtl/>
              </w:rPr>
              <w:t>גדול או שווה ל-100,000 ש"ח ונמוך מ-200,000 ש"ח</w:t>
            </w:r>
          </w:p>
        </w:tc>
        <w:tc>
          <w:tcPr>
            <w:tcW w:w="1559" w:type="dxa"/>
            <w:shd w:val="clear" w:color="auto" w:fill="244061" w:themeFill="accent1" w:themeFillShade="80"/>
          </w:tcPr>
          <w:p w:rsidR="003F631F" w:rsidRPr="00982BC1" w:rsidP="00982BC1" w14:paraId="47E8823C" w14:textId="77777777">
            <w:pPr>
              <w:spacing w:line="269" w:lineRule="auto"/>
              <w:jc w:val="center"/>
              <w:rPr>
                <w:rFonts w:ascii="Tahoma" w:hAnsi="Tahoma"/>
                <w:sz w:val="18"/>
                <w:szCs w:val="22"/>
                <w:rtl/>
              </w:rPr>
            </w:pPr>
            <w:r w:rsidRPr="00982BC1">
              <w:rPr>
                <w:rFonts w:ascii="Tahoma" w:hAnsi="Tahoma"/>
                <w:sz w:val="18"/>
                <w:szCs w:val="22"/>
                <w:rtl/>
              </w:rPr>
              <w:t>גדול או שווה ל-200,000 ש"ח ונמוך מ-500,000 ש"ח</w:t>
            </w:r>
          </w:p>
        </w:tc>
        <w:tc>
          <w:tcPr>
            <w:tcW w:w="1710" w:type="dxa"/>
            <w:shd w:val="clear" w:color="auto" w:fill="244061" w:themeFill="accent1" w:themeFillShade="80"/>
          </w:tcPr>
          <w:p w:rsidR="003F631F" w:rsidRPr="00982BC1" w:rsidP="00982BC1" w14:paraId="3DD92232" w14:textId="77777777">
            <w:pPr>
              <w:spacing w:line="269" w:lineRule="auto"/>
              <w:jc w:val="center"/>
              <w:rPr>
                <w:rFonts w:ascii="Tahoma" w:hAnsi="Tahoma"/>
                <w:sz w:val="18"/>
                <w:szCs w:val="22"/>
                <w:rtl/>
              </w:rPr>
            </w:pPr>
            <w:r w:rsidRPr="00982BC1">
              <w:rPr>
                <w:rFonts w:ascii="Tahoma" w:hAnsi="Tahoma"/>
                <w:sz w:val="18"/>
                <w:szCs w:val="22"/>
                <w:rtl/>
              </w:rPr>
              <w:t>גדול או שווה ל-500,000 ש"ח ונמוך מ-1 מיליון ש"ח</w:t>
            </w:r>
          </w:p>
        </w:tc>
        <w:tc>
          <w:tcPr>
            <w:tcW w:w="1407" w:type="dxa"/>
            <w:shd w:val="clear" w:color="auto" w:fill="244061" w:themeFill="accent1" w:themeFillShade="80"/>
          </w:tcPr>
          <w:p w:rsidR="003F631F" w:rsidRPr="00982BC1" w:rsidP="00982BC1" w14:paraId="4E01AF4E" w14:textId="77777777">
            <w:pPr>
              <w:spacing w:line="269" w:lineRule="auto"/>
              <w:jc w:val="center"/>
              <w:rPr>
                <w:rFonts w:ascii="Tahoma" w:hAnsi="Tahoma"/>
                <w:sz w:val="18"/>
                <w:szCs w:val="22"/>
                <w:rtl/>
              </w:rPr>
            </w:pPr>
            <w:r w:rsidRPr="00982BC1">
              <w:rPr>
                <w:rFonts w:ascii="Tahoma" w:hAnsi="Tahoma"/>
                <w:sz w:val="18"/>
                <w:szCs w:val="22"/>
                <w:rtl/>
              </w:rPr>
              <w:t>גדול או שווה ל-1 מיליון ש"ח</w:t>
            </w:r>
          </w:p>
        </w:tc>
      </w:tr>
      <w:tr w14:paraId="02E18E8A" w14:textId="77777777" w:rsidTr="00982BC1">
        <w:tblPrEx>
          <w:tblW w:w="9067" w:type="dxa"/>
          <w:tblInd w:w="-283" w:type="dxa"/>
          <w:tblLook w:val="04A0"/>
        </w:tblPrEx>
        <w:tc>
          <w:tcPr>
            <w:tcW w:w="1675" w:type="dxa"/>
            <w:shd w:val="clear" w:color="auto" w:fill="808080" w:themeFill="background1" w:themeFillShade="80"/>
          </w:tcPr>
          <w:p w:rsidR="003F631F" w:rsidRPr="00982BC1" w:rsidP="00982BC1" w14:paraId="276C2899" w14:textId="77777777">
            <w:pPr>
              <w:spacing w:line="269" w:lineRule="auto"/>
              <w:jc w:val="left"/>
              <w:rPr>
                <w:rFonts w:ascii="Tahoma" w:hAnsi="Tahoma"/>
                <w:color w:val="FFFFFF" w:themeColor="background1"/>
                <w:sz w:val="18"/>
                <w:szCs w:val="22"/>
                <w:rtl/>
              </w:rPr>
            </w:pPr>
            <w:r w:rsidRPr="00982BC1">
              <w:rPr>
                <w:rFonts w:ascii="Tahoma" w:hAnsi="Tahoma"/>
                <w:color w:val="FFFFFF" w:themeColor="background1"/>
                <w:sz w:val="18"/>
                <w:szCs w:val="22"/>
                <w:rtl/>
              </w:rPr>
              <w:t>עסקים זעירים</w:t>
            </w:r>
          </w:p>
        </w:tc>
        <w:tc>
          <w:tcPr>
            <w:tcW w:w="1157" w:type="dxa"/>
            <w:shd w:val="clear" w:color="auto" w:fill="FF5050"/>
          </w:tcPr>
          <w:p w:rsidR="003F631F" w:rsidRPr="00982BC1" w:rsidP="00982BC1" w14:paraId="7B5E3651" w14:textId="77777777">
            <w:pPr>
              <w:spacing w:line="269" w:lineRule="auto"/>
              <w:jc w:val="center"/>
              <w:rPr>
                <w:rFonts w:ascii="Tahoma" w:hAnsi="Tahoma"/>
                <w:sz w:val="18"/>
                <w:szCs w:val="22"/>
                <w:rtl/>
              </w:rPr>
            </w:pPr>
            <w:r w:rsidRPr="00982BC1">
              <w:rPr>
                <w:rFonts w:ascii="Tahoma" w:hAnsi="Tahoma"/>
                <w:sz w:val="18"/>
                <w:szCs w:val="22"/>
                <w:rtl/>
              </w:rPr>
              <w:t>25.7%</w:t>
            </w:r>
          </w:p>
        </w:tc>
        <w:tc>
          <w:tcPr>
            <w:tcW w:w="1559" w:type="dxa"/>
            <w:shd w:val="clear" w:color="auto" w:fill="FF7C80"/>
          </w:tcPr>
          <w:p w:rsidR="003F631F" w:rsidRPr="00982BC1" w:rsidP="00982BC1" w14:paraId="6856BF3A" w14:textId="77777777">
            <w:pPr>
              <w:spacing w:line="269" w:lineRule="auto"/>
              <w:jc w:val="center"/>
              <w:rPr>
                <w:rFonts w:ascii="Tahoma" w:hAnsi="Tahoma"/>
                <w:sz w:val="18"/>
                <w:szCs w:val="22"/>
                <w:rtl/>
              </w:rPr>
            </w:pPr>
            <w:r w:rsidRPr="00982BC1">
              <w:rPr>
                <w:rFonts w:ascii="Tahoma" w:hAnsi="Tahoma"/>
                <w:sz w:val="18"/>
                <w:szCs w:val="22"/>
                <w:rtl/>
              </w:rPr>
              <w:t>20.6%</w:t>
            </w:r>
          </w:p>
        </w:tc>
        <w:tc>
          <w:tcPr>
            <w:tcW w:w="1559" w:type="dxa"/>
            <w:shd w:val="clear" w:color="auto" w:fill="FF5050"/>
          </w:tcPr>
          <w:p w:rsidR="003F631F" w:rsidRPr="00982BC1" w:rsidP="00982BC1" w14:paraId="62F3135F" w14:textId="77777777">
            <w:pPr>
              <w:spacing w:line="269" w:lineRule="auto"/>
              <w:jc w:val="center"/>
              <w:rPr>
                <w:rFonts w:ascii="Tahoma" w:hAnsi="Tahoma"/>
                <w:sz w:val="18"/>
                <w:szCs w:val="22"/>
                <w:rtl/>
              </w:rPr>
            </w:pPr>
            <w:r w:rsidRPr="00982BC1">
              <w:rPr>
                <w:rFonts w:ascii="Tahoma" w:hAnsi="Tahoma"/>
                <w:sz w:val="18"/>
                <w:szCs w:val="22"/>
                <w:rtl/>
              </w:rPr>
              <w:t>31.4%</w:t>
            </w:r>
          </w:p>
        </w:tc>
        <w:tc>
          <w:tcPr>
            <w:tcW w:w="1710" w:type="dxa"/>
            <w:shd w:val="clear" w:color="auto" w:fill="FF7C80"/>
          </w:tcPr>
          <w:p w:rsidR="003F631F" w:rsidRPr="00982BC1" w:rsidP="00982BC1" w14:paraId="223B14A8" w14:textId="77777777">
            <w:pPr>
              <w:spacing w:line="269" w:lineRule="auto"/>
              <w:jc w:val="center"/>
              <w:rPr>
                <w:rFonts w:ascii="Tahoma" w:hAnsi="Tahoma"/>
                <w:sz w:val="18"/>
                <w:szCs w:val="22"/>
                <w:rtl/>
              </w:rPr>
            </w:pPr>
            <w:r w:rsidRPr="00982BC1">
              <w:rPr>
                <w:rFonts w:ascii="Tahoma" w:hAnsi="Tahoma"/>
                <w:sz w:val="18"/>
                <w:szCs w:val="22"/>
                <w:rtl/>
              </w:rPr>
              <w:t>19.8%</w:t>
            </w:r>
          </w:p>
        </w:tc>
        <w:tc>
          <w:tcPr>
            <w:tcW w:w="1407" w:type="dxa"/>
          </w:tcPr>
          <w:p w:rsidR="003F631F" w:rsidRPr="00982BC1" w:rsidP="00982BC1" w14:paraId="4F942F25" w14:textId="77777777">
            <w:pPr>
              <w:spacing w:line="269" w:lineRule="auto"/>
              <w:jc w:val="center"/>
              <w:rPr>
                <w:rFonts w:ascii="Tahoma" w:hAnsi="Tahoma"/>
                <w:sz w:val="18"/>
                <w:szCs w:val="22"/>
                <w:rtl/>
              </w:rPr>
            </w:pPr>
            <w:r w:rsidRPr="00982BC1">
              <w:rPr>
                <w:rFonts w:ascii="Tahoma" w:hAnsi="Tahoma"/>
                <w:sz w:val="18"/>
                <w:szCs w:val="22"/>
                <w:rtl/>
              </w:rPr>
              <w:t>2.7%</w:t>
            </w:r>
          </w:p>
        </w:tc>
      </w:tr>
      <w:tr w14:paraId="5E9F27C1" w14:textId="77777777" w:rsidTr="00982BC1">
        <w:tblPrEx>
          <w:tblW w:w="9067" w:type="dxa"/>
          <w:tblInd w:w="-283" w:type="dxa"/>
          <w:tblLook w:val="04A0"/>
        </w:tblPrEx>
        <w:tc>
          <w:tcPr>
            <w:tcW w:w="1675" w:type="dxa"/>
            <w:shd w:val="clear" w:color="auto" w:fill="808080" w:themeFill="background1" w:themeFillShade="80"/>
          </w:tcPr>
          <w:p w:rsidR="003F631F" w:rsidRPr="00982BC1" w:rsidP="00982BC1" w14:paraId="2225ED6C" w14:textId="77777777">
            <w:pPr>
              <w:spacing w:line="269" w:lineRule="auto"/>
              <w:jc w:val="left"/>
              <w:rPr>
                <w:rFonts w:ascii="Tahoma" w:hAnsi="Tahoma"/>
                <w:color w:val="FFFFFF" w:themeColor="background1"/>
                <w:sz w:val="18"/>
                <w:szCs w:val="22"/>
                <w:rtl/>
              </w:rPr>
            </w:pPr>
            <w:r w:rsidRPr="00982BC1">
              <w:rPr>
                <w:rFonts w:ascii="Tahoma" w:hAnsi="Tahoma"/>
                <w:color w:val="FFFFFF" w:themeColor="background1"/>
                <w:sz w:val="18"/>
                <w:szCs w:val="22"/>
                <w:rtl/>
              </w:rPr>
              <w:t>עסקים קטנים</w:t>
            </w:r>
          </w:p>
        </w:tc>
        <w:tc>
          <w:tcPr>
            <w:tcW w:w="1157" w:type="dxa"/>
          </w:tcPr>
          <w:p w:rsidR="003F631F" w:rsidRPr="00982BC1" w:rsidP="00982BC1" w14:paraId="2411FEF0" w14:textId="77777777">
            <w:pPr>
              <w:spacing w:line="269" w:lineRule="auto"/>
              <w:jc w:val="center"/>
              <w:rPr>
                <w:rFonts w:ascii="Tahoma" w:hAnsi="Tahoma"/>
                <w:sz w:val="18"/>
                <w:szCs w:val="22"/>
                <w:rtl/>
              </w:rPr>
            </w:pPr>
            <w:r w:rsidRPr="00982BC1">
              <w:rPr>
                <w:rFonts w:ascii="Tahoma" w:hAnsi="Tahoma"/>
                <w:sz w:val="18"/>
                <w:szCs w:val="22"/>
                <w:rtl/>
              </w:rPr>
              <w:t>0.5%</w:t>
            </w:r>
          </w:p>
        </w:tc>
        <w:tc>
          <w:tcPr>
            <w:tcW w:w="1559" w:type="dxa"/>
          </w:tcPr>
          <w:p w:rsidR="003F631F" w:rsidRPr="00982BC1" w:rsidP="00982BC1" w14:paraId="616DF83B" w14:textId="77777777">
            <w:pPr>
              <w:spacing w:line="269" w:lineRule="auto"/>
              <w:jc w:val="center"/>
              <w:rPr>
                <w:rFonts w:ascii="Tahoma" w:hAnsi="Tahoma"/>
                <w:sz w:val="18"/>
                <w:szCs w:val="22"/>
                <w:rtl/>
              </w:rPr>
            </w:pPr>
            <w:r w:rsidRPr="00982BC1">
              <w:rPr>
                <w:rFonts w:ascii="Tahoma" w:hAnsi="Tahoma"/>
                <w:sz w:val="18"/>
                <w:szCs w:val="22"/>
                <w:rtl/>
              </w:rPr>
              <w:t>0.9%</w:t>
            </w:r>
          </w:p>
        </w:tc>
        <w:tc>
          <w:tcPr>
            <w:tcW w:w="1559" w:type="dxa"/>
          </w:tcPr>
          <w:p w:rsidR="003F631F" w:rsidRPr="00982BC1" w:rsidP="00982BC1" w14:paraId="52D8CE5E" w14:textId="77777777">
            <w:pPr>
              <w:spacing w:line="269" w:lineRule="auto"/>
              <w:jc w:val="center"/>
              <w:rPr>
                <w:rFonts w:ascii="Tahoma" w:hAnsi="Tahoma"/>
                <w:sz w:val="18"/>
                <w:szCs w:val="22"/>
                <w:rtl/>
              </w:rPr>
            </w:pPr>
            <w:r w:rsidRPr="00982BC1">
              <w:rPr>
                <w:rFonts w:ascii="Tahoma" w:hAnsi="Tahoma"/>
                <w:sz w:val="18"/>
                <w:szCs w:val="22"/>
                <w:rtl/>
              </w:rPr>
              <w:t>7.2%</w:t>
            </w:r>
          </w:p>
        </w:tc>
        <w:tc>
          <w:tcPr>
            <w:tcW w:w="1710" w:type="dxa"/>
            <w:shd w:val="clear" w:color="auto" w:fill="FF5050"/>
          </w:tcPr>
          <w:p w:rsidR="003F631F" w:rsidRPr="00982BC1" w:rsidP="00982BC1" w14:paraId="6271CB4E" w14:textId="77777777">
            <w:pPr>
              <w:spacing w:line="269" w:lineRule="auto"/>
              <w:jc w:val="center"/>
              <w:rPr>
                <w:rFonts w:ascii="Tahoma" w:hAnsi="Tahoma"/>
                <w:sz w:val="18"/>
                <w:szCs w:val="22"/>
                <w:rtl/>
              </w:rPr>
            </w:pPr>
            <w:r w:rsidRPr="00982BC1">
              <w:rPr>
                <w:rFonts w:ascii="Tahoma" w:hAnsi="Tahoma"/>
                <w:sz w:val="18"/>
                <w:szCs w:val="22"/>
                <w:rtl/>
              </w:rPr>
              <w:t>29.4%</w:t>
            </w:r>
          </w:p>
        </w:tc>
        <w:tc>
          <w:tcPr>
            <w:tcW w:w="1407" w:type="dxa"/>
            <w:shd w:val="clear" w:color="auto" w:fill="CC0000"/>
          </w:tcPr>
          <w:p w:rsidR="003F631F" w:rsidRPr="00982BC1" w:rsidP="00982BC1" w14:paraId="42916366" w14:textId="77777777">
            <w:pPr>
              <w:spacing w:line="269" w:lineRule="auto"/>
              <w:jc w:val="center"/>
              <w:rPr>
                <w:rFonts w:ascii="Tahoma" w:hAnsi="Tahoma"/>
                <w:sz w:val="18"/>
                <w:szCs w:val="22"/>
                <w:rtl/>
              </w:rPr>
            </w:pPr>
            <w:r w:rsidRPr="00982BC1">
              <w:rPr>
                <w:rFonts w:ascii="Tahoma" w:hAnsi="Tahoma"/>
                <w:sz w:val="18"/>
                <w:szCs w:val="22"/>
                <w:rtl/>
              </w:rPr>
              <w:t>62.0%</w:t>
            </w:r>
          </w:p>
        </w:tc>
      </w:tr>
      <w:tr w14:paraId="13CEEEF8" w14:textId="77777777" w:rsidTr="00982BC1">
        <w:tblPrEx>
          <w:tblW w:w="9067" w:type="dxa"/>
          <w:tblInd w:w="-283" w:type="dxa"/>
          <w:tblLook w:val="04A0"/>
        </w:tblPrEx>
        <w:tc>
          <w:tcPr>
            <w:tcW w:w="1675" w:type="dxa"/>
            <w:shd w:val="clear" w:color="auto" w:fill="808080" w:themeFill="background1" w:themeFillShade="80"/>
          </w:tcPr>
          <w:p w:rsidR="003F631F" w:rsidRPr="00982BC1" w:rsidP="00982BC1" w14:paraId="1AC4FFF1" w14:textId="77777777">
            <w:pPr>
              <w:spacing w:line="269" w:lineRule="auto"/>
              <w:jc w:val="left"/>
              <w:rPr>
                <w:rFonts w:ascii="Tahoma" w:hAnsi="Tahoma"/>
                <w:color w:val="FFFFFF" w:themeColor="background1"/>
                <w:sz w:val="18"/>
                <w:szCs w:val="22"/>
                <w:rtl/>
              </w:rPr>
            </w:pPr>
            <w:r w:rsidRPr="00982BC1">
              <w:rPr>
                <w:rFonts w:ascii="Tahoma" w:hAnsi="Tahoma"/>
                <w:color w:val="FFFFFF" w:themeColor="background1"/>
                <w:sz w:val="18"/>
                <w:szCs w:val="22"/>
                <w:rtl/>
              </w:rPr>
              <w:t>עסקים בינוניים</w:t>
            </w:r>
          </w:p>
        </w:tc>
        <w:tc>
          <w:tcPr>
            <w:tcW w:w="1157" w:type="dxa"/>
          </w:tcPr>
          <w:p w:rsidR="003F631F" w:rsidRPr="00982BC1" w:rsidP="00982BC1" w14:paraId="129B7873" w14:textId="77777777">
            <w:pPr>
              <w:spacing w:line="269" w:lineRule="auto"/>
              <w:jc w:val="center"/>
              <w:rPr>
                <w:rFonts w:ascii="Tahoma" w:hAnsi="Tahoma"/>
                <w:sz w:val="18"/>
                <w:szCs w:val="22"/>
                <w:rtl/>
              </w:rPr>
            </w:pPr>
            <w:r w:rsidRPr="00982BC1">
              <w:rPr>
                <w:rFonts w:ascii="Tahoma" w:hAnsi="Tahoma"/>
                <w:sz w:val="18"/>
                <w:szCs w:val="22"/>
                <w:rtl/>
              </w:rPr>
              <w:t>0.4%</w:t>
            </w:r>
          </w:p>
        </w:tc>
        <w:tc>
          <w:tcPr>
            <w:tcW w:w="1559" w:type="dxa"/>
          </w:tcPr>
          <w:p w:rsidR="003F631F" w:rsidRPr="00982BC1" w:rsidP="00982BC1" w14:paraId="71689A95" w14:textId="77777777">
            <w:pPr>
              <w:spacing w:line="269" w:lineRule="auto"/>
              <w:jc w:val="center"/>
              <w:rPr>
                <w:rFonts w:ascii="Tahoma" w:hAnsi="Tahoma"/>
                <w:sz w:val="18"/>
                <w:szCs w:val="22"/>
                <w:rtl/>
              </w:rPr>
            </w:pPr>
            <w:r w:rsidRPr="00982BC1">
              <w:rPr>
                <w:rFonts w:ascii="Tahoma" w:hAnsi="Tahoma"/>
                <w:sz w:val="18"/>
                <w:szCs w:val="22"/>
                <w:rtl/>
              </w:rPr>
              <w:t>0.3%</w:t>
            </w:r>
          </w:p>
        </w:tc>
        <w:tc>
          <w:tcPr>
            <w:tcW w:w="1559" w:type="dxa"/>
          </w:tcPr>
          <w:p w:rsidR="003F631F" w:rsidRPr="00982BC1" w:rsidP="00982BC1" w14:paraId="54FF38EB" w14:textId="77777777">
            <w:pPr>
              <w:spacing w:line="269" w:lineRule="auto"/>
              <w:jc w:val="center"/>
              <w:rPr>
                <w:rFonts w:ascii="Tahoma" w:hAnsi="Tahoma"/>
                <w:sz w:val="18"/>
                <w:szCs w:val="22"/>
                <w:rtl/>
              </w:rPr>
            </w:pPr>
            <w:r w:rsidRPr="00982BC1">
              <w:rPr>
                <w:rFonts w:ascii="Tahoma" w:hAnsi="Tahoma"/>
                <w:sz w:val="18"/>
                <w:szCs w:val="22"/>
                <w:rtl/>
              </w:rPr>
              <w:t>2.5%</w:t>
            </w:r>
          </w:p>
        </w:tc>
        <w:tc>
          <w:tcPr>
            <w:tcW w:w="1710" w:type="dxa"/>
          </w:tcPr>
          <w:p w:rsidR="003F631F" w:rsidRPr="00982BC1" w:rsidP="00982BC1" w14:paraId="5E3773B3" w14:textId="77777777">
            <w:pPr>
              <w:spacing w:line="269" w:lineRule="auto"/>
              <w:jc w:val="center"/>
              <w:rPr>
                <w:rFonts w:ascii="Tahoma" w:hAnsi="Tahoma"/>
                <w:sz w:val="18"/>
                <w:szCs w:val="22"/>
                <w:rtl/>
              </w:rPr>
            </w:pPr>
            <w:r w:rsidRPr="00982BC1">
              <w:rPr>
                <w:rFonts w:ascii="Tahoma" w:hAnsi="Tahoma"/>
                <w:sz w:val="18"/>
                <w:szCs w:val="22"/>
                <w:rtl/>
              </w:rPr>
              <w:t>6.2%</w:t>
            </w:r>
          </w:p>
        </w:tc>
        <w:tc>
          <w:tcPr>
            <w:tcW w:w="1407" w:type="dxa"/>
            <w:shd w:val="clear" w:color="auto" w:fill="A50021"/>
          </w:tcPr>
          <w:p w:rsidR="003F631F" w:rsidRPr="00982BC1" w:rsidP="00982BC1" w14:paraId="105E7C30" w14:textId="77777777">
            <w:pPr>
              <w:spacing w:line="269" w:lineRule="auto"/>
              <w:jc w:val="center"/>
              <w:rPr>
                <w:rFonts w:ascii="Tahoma" w:hAnsi="Tahoma"/>
                <w:sz w:val="18"/>
                <w:szCs w:val="22"/>
                <w:rtl/>
              </w:rPr>
            </w:pPr>
            <w:r w:rsidRPr="00982BC1">
              <w:rPr>
                <w:rFonts w:ascii="Tahoma" w:hAnsi="Tahoma"/>
                <w:sz w:val="18"/>
                <w:szCs w:val="22"/>
                <w:rtl/>
              </w:rPr>
              <w:t>90.7%</w:t>
            </w:r>
          </w:p>
        </w:tc>
      </w:tr>
      <w:tr w14:paraId="25AA96AD" w14:textId="77777777" w:rsidTr="00982BC1">
        <w:tblPrEx>
          <w:tblW w:w="9067" w:type="dxa"/>
          <w:tblInd w:w="-283" w:type="dxa"/>
          <w:tblLook w:val="04A0"/>
        </w:tblPrEx>
        <w:tc>
          <w:tcPr>
            <w:tcW w:w="1675" w:type="dxa"/>
            <w:shd w:val="clear" w:color="auto" w:fill="808080" w:themeFill="background1" w:themeFillShade="80"/>
          </w:tcPr>
          <w:p w:rsidR="003F631F" w:rsidRPr="00982BC1" w:rsidP="00982BC1" w14:paraId="04B2560C" w14:textId="77777777">
            <w:pPr>
              <w:spacing w:line="269" w:lineRule="auto"/>
              <w:jc w:val="left"/>
              <w:rPr>
                <w:rFonts w:ascii="Tahoma" w:hAnsi="Tahoma"/>
                <w:color w:val="FFFFFF" w:themeColor="background1"/>
                <w:sz w:val="18"/>
                <w:szCs w:val="22"/>
                <w:rtl/>
              </w:rPr>
            </w:pPr>
            <w:r w:rsidRPr="00982BC1">
              <w:rPr>
                <w:rFonts w:ascii="Tahoma" w:hAnsi="Tahoma"/>
                <w:color w:val="FFFFFF" w:themeColor="background1"/>
                <w:sz w:val="18"/>
                <w:szCs w:val="22"/>
                <w:rtl/>
              </w:rPr>
              <w:t>עסקים גדולים</w:t>
            </w:r>
          </w:p>
        </w:tc>
        <w:tc>
          <w:tcPr>
            <w:tcW w:w="1157" w:type="dxa"/>
          </w:tcPr>
          <w:p w:rsidR="003F631F" w:rsidRPr="00982BC1" w:rsidP="00982BC1" w14:paraId="489BB571" w14:textId="77777777">
            <w:pPr>
              <w:spacing w:line="269" w:lineRule="auto"/>
              <w:jc w:val="center"/>
              <w:rPr>
                <w:rFonts w:ascii="Tahoma" w:hAnsi="Tahoma"/>
                <w:sz w:val="18"/>
                <w:szCs w:val="22"/>
                <w:rtl/>
              </w:rPr>
            </w:pPr>
            <w:r w:rsidRPr="00982BC1">
              <w:rPr>
                <w:rFonts w:ascii="Tahoma" w:hAnsi="Tahoma"/>
                <w:sz w:val="18"/>
                <w:szCs w:val="22"/>
                <w:rtl/>
              </w:rPr>
              <w:t>1.6%</w:t>
            </w:r>
          </w:p>
        </w:tc>
        <w:tc>
          <w:tcPr>
            <w:tcW w:w="1559" w:type="dxa"/>
          </w:tcPr>
          <w:p w:rsidR="003F631F" w:rsidRPr="00982BC1" w:rsidP="00982BC1" w14:paraId="188C9AE7" w14:textId="77777777">
            <w:pPr>
              <w:spacing w:line="269" w:lineRule="auto"/>
              <w:jc w:val="center"/>
              <w:rPr>
                <w:rFonts w:ascii="Tahoma" w:hAnsi="Tahoma"/>
                <w:sz w:val="18"/>
                <w:szCs w:val="22"/>
                <w:rtl/>
              </w:rPr>
            </w:pPr>
            <w:r w:rsidRPr="00982BC1">
              <w:rPr>
                <w:rFonts w:ascii="Tahoma" w:hAnsi="Tahoma"/>
                <w:sz w:val="18"/>
                <w:szCs w:val="22"/>
                <w:rtl/>
              </w:rPr>
              <w:t>1.2%</w:t>
            </w:r>
          </w:p>
        </w:tc>
        <w:tc>
          <w:tcPr>
            <w:tcW w:w="1559" w:type="dxa"/>
          </w:tcPr>
          <w:p w:rsidR="003F631F" w:rsidRPr="00982BC1" w:rsidP="00982BC1" w14:paraId="651F4424" w14:textId="77777777">
            <w:pPr>
              <w:spacing w:line="269" w:lineRule="auto"/>
              <w:jc w:val="center"/>
              <w:rPr>
                <w:rFonts w:ascii="Tahoma" w:hAnsi="Tahoma"/>
                <w:sz w:val="18"/>
                <w:szCs w:val="22"/>
                <w:rtl/>
              </w:rPr>
            </w:pPr>
            <w:r w:rsidRPr="00982BC1">
              <w:rPr>
                <w:rFonts w:ascii="Tahoma" w:hAnsi="Tahoma"/>
                <w:sz w:val="18"/>
                <w:szCs w:val="22"/>
                <w:rtl/>
              </w:rPr>
              <w:t>3.3%</w:t>
            </w:r>
          </w:p>
        </w:tc>
        <w:tc>
          <w:tcPr>
            <w:tcW w:w="1710" w:type="dxa"/>
          </w:tcPr>
          <w:p w:rsidR="003F631F" w:rsidRPr="00982BC1" w:rsidP="00982BC1" w14:paraId="7B860A11" w14:textId="77777777">
            <w:pPr>
              <w:spacing w:line="269" w:lineRule="auto"/>
              <w:jc w:val="center"/>
              <w:rPr>
                <w:rFonts w:ascii="Tahoma" w:hAnsi="Tahoma"/>
                <w:sz w:val="18"/>
                <w:szCs w:val="22"/>
                <w:rtl/>
              </w:rPr>
            </w:pPr>
            <w:r w:rsidRPr="00982BC1">
              <w:rPr>
                <w:rFonts w:ascii="Tahoma" w:hAnsi="Tahoma"/>
                <w:sz w:val="18"/>
                <w:szCs w:val="22"/>
                <w:rtl/>
              </w:rPr>
              <w:t>4.0%</w:t>
            </w:r>
          </w:p>
        </w:tc>
        <w:tc>
          <w:tcPr>
            <w:tcW w:w="1407" w:type="dxa"/>
            <w:shd w:val="clear" w:color="auto" w:fill="A50021"/>
          </w:tcPr>
          <w:p w:rsidR="003F631F" w:rsidRPr="00982BC1" w:rsidP="00982BC1" w14:paraId="603D2B14" w14:textId="77777777">
            <w:pPr>
              <w:spacing w:line="269" w:lineRule="auto"/>
              <w:jc w:val="center"/>
              <w:rPr>
                <w:rFonts w:ascii="Tahoma" w:hAnsi="Tahoma"/>
                <w:sz w:val="18"/>
                <w:szCs w:val="22"/>
                <w:rtl/>
              </w:rPr>
            </w:pPr>
            <w:r w:rsidRPr="00982BC1">
              <w:rPr>
                <w:rFonts w:ascii="Tahoma" w:hAnsi="Tahoma"/>
                <w:sz w:val="18"/>
                <w:szCs w:val="22"/>
                <w:rtl/>
              </w:rPr>
              <w:t>90.0%</w:t>
            </w:r>
          </w:p>
        </w:tc>
      </w:tr>
    </w:tbl>
    <w:p w:rsidR="00253C38" w:rsidRPr="00982BC1" w:rsidP="00982BC1" w14:paraId="1C6340B8" w14:textId="77777777">
      <w:pPr>
        <w:spacing w:line="269" w:lineRule="auto"/>
        <w:rPr>
          <w:sz w:val="22"/>
          <w:szCs w:val="22"/>
          <w:rtl/>
        </w:rPr>
      </w:pPr>
      <w:r w:rsidRPr="00982BC1">
        <w:rPr>
          <w:rFonts w:hint="cs"/>
          <w:sz w:val="18"/>
          <w:szCs w:val="22"/>
          <w:rtl/>
        </w:rPr>
        <w:t>נתוני החשכ"ל, בעיבוד משרד מבקר המדינה.</w:t>
      </w:r>
    </w:p>
    <w:p w:rsidR="00253C38" w:rsidP="00982BC1" w14:paraId="26B68C77" w14:textId="54BE6CF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4377EDB" w14:textId="77777777">
      <w:pPr>
        <w:spacing w:line="269" w:lineRule="auto"/>
        <w:rPr>
          <w:b/>
          <w:bCs/>
          <w:sz w:val="24"/>
          <w:rtl/>
        </w:rPr>
      </w:pPr>
      <w:r>
        <w:rPr>
          <w:rFonts w:hint="cs"/>
          <w:b/>
          <w:bCs/>
          <w:sz w:val="24"/>
          <w:rtl/>
        </w:rPr>
        <w:t>פיזור הסיכון בין קבוצות העסקים הוביל לכך שסורבו בקשות עסקים זעירים רבים להעמדת אשראי בהשוואה לקבוצות עסקים אחרות (שיעור סירוב הגבוה ב-4% - 11%), ולכך שקבוצות עסקים גדולים יותר לא זכו לאישור מלוא הסכומים הנדרשים להם כדי לצלוח את המשבר. שיעור הסכום המאושר הממוצע היה נמוך ב-6% - 22% יחסית לקבוצת העסקים הזעירים.</w:t>
      </w:r>
    </w:p>
    <w:p w:rsidR="00253C38" w:rsidP="00982BC1" w14:paraId="200A784B" w14:textId="3D0EB946">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D22CA" w:rsidP="00982BC1" w14:paraId="4CB59BD4" w14:textId="77777777">
      <w:pPr>
        <w:spacing w:line="269" w:lineRule="auto"/>
        <w:rPr>
          <w:b/>
          <w:bCs/>
          <w:sz w:val="24"/>
          <w:rtl/>
        </w:rPr>
      </w:pPr>
      <w:r>
        <w:rPr>
          <w:rFonts w:hint="cs"/>
          <w:b/>
          <w:bCs/>
          <w:sz w:val="24"/>
          <w:rtl/>
        </w:rPr>
        <w:t>לדעת משרד מבקר המדינה על החשב הכללי לשקול מתן ערבות דיפרנציאלית לקבוצת העסקים הזעירים, בהתאם להגדרת העסקים כדי לייעל את הסיוע הניתן להם.</w:t>
      </w:r>
    </w:p>
    <w:p w:rsidR="00253C38" w:rsidP="00982BC1" w14:paraId="6E27F1E6" w14:textId="1715EE7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D77F540" w14:textId="77777777">
      <w:pPr>
        <w:spacing w:line="269" w:lineRule="auto"/>
        <w:rPr>
          <w:rtl/>
        </w:rPr>
      </w:pPr>
      <w:r>
        <w:rPr>
          <w:rFonts w:hint="cs"/>
          <w:rtl/>
        </w:rPr>
        <w:t>פיזור הסיכון באמצעות העמדת סכום חלקי התבטאה בכל הקבוצות העסקיות. בהתאם, בעוד שכמחצית מהבקשות שהוגשו למסלול הרגיל אושרו, רק לשיעור נמוך מתוכן הועמד אשראי בהתאם לסכום המבוקש. בחלקו הימני של תרשים 23 להלן מוצגת התפלגות הסכום המאושר ביחס לבקשות שאושרו, ובחלקו השמאלי של התרשים מוצגת התפלגות הבקשות שאושרו במלואן ביחס לכל הבקשות שהוגשו למסלול הרגיל.</w:t>
      </w:r>
    </w:p>
    <w:p w:rsidR="00253C38" w:rsidP="00982BC1" w14:paraId="4E0852EB" w14:textId="129B16EF">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1C6911" w:rsidP="00982BC1" w14:paraId="3061E3D4" w14:textId="77777777">
      <w:pPr>
        <w:spacing w:line="269" w:lineRule="auto"/>
        <w:jc w:val="center"/>
        <w:rPr>
          <w:b/>
          <w:bCs/>
          <w:rtl/>
        </w:rPr>
      </w:pPr>
      <w:r w:rsidRPr="001C6911">
        <w:rPr>
          <w:rFonts w:hint="eastAsia"/>
          <w:b/>
          <w:bCs/>
          <w:rtl/>
        </w:rPr>
        <w:t>תרשים</w:t>
      </w:r>
      <w:r w:rsidRPr="001C6911">
        <w:rPr>
          <w:b/>
          <w:bCs/>
          <w:rtl/>
        </w:rPr>
        <w:t xml:space="preserve"> 23: התפלגות הסכום המאושר </w:t>
      </w:r>
      <w:r w:rsidRPr="00A150B1">
        <w:rPr>
          <w:rFonts w:hint="cs"/>
          <w:b/>
          <w:bCs/>
          <w:rtl/>
        </w:rPr>
        <w:t>ב</w:t>
      </w:r>
      <w:r>
        <w:rPr>
          <w:rFonts w:hint="cs"/>
          <w:b/>
          <w:bCs/>
          <w:rtl/>
        </w:rPr>
        <w:t>השוואה</w:t>
      </w:r>
      <w:r w:rsidRPr="001C6911">
        <w:rPr>
          <w:b/>
          <w:bCs/>
          <w:rtl/>
        </w:rPr>
        <w:t xml:space="preserve"> לבקשות שאושרו </w:t>
      </w:r>
      <w:r w:rsidRPr="001C6911">
        <w:rPr>
          <w:rFonts w:hint="eastAsia"/>
          <w:b/>
          <w:bCs/>
          <w:rtl/>
        </w:rPr>
        <w:t>והתפלגות</w:t>
      </w:r>
      <w:r w:rsidRPr="001C6911">
        <w:rPr>
          <w:b/>
          <w:bCs/>
          <w:rtl/>
        </w:rPr>
        <w:t xml:space="preserve"> הבקשות שאושרו במלואן </w:t>
      </w:r>
      <w:r w:rsidRPr="00A150B1">
        <w:rPr>
          <w:rFonts w:hint="cs"/>
          <w:b/>
          <w:bCs/>
          <w:rtl/>
        </w:rPr>
        <w:t>ב</w:t>
      </w:r>
      <w:r>
        <w:rPr>
          <w:rFonts w:hint="cs"/>
          <w:b/>
          <w:bCs/>
          <w:rtl/>
        </w:rPr>
        <w:t>השוואה</w:t>
      </w:r>
      <w:r w:rsidRPr="001C6911">
        <w:rPr>
          <w:b/>
          <w:bCs/>
          <w:rtl/>
        </w:rPr>
        <w:t xml:space="preserve"> לכל הבקשות </w:t>
      </w:r>
      <w:r w:rsidRPr="001C6911">
        <w:rPr>
          <w:rFonts w:hint="eastAsia"/>
          <w:b/>
          <w:bCs/>
          <w:rtl/>
        </w:rPr>
        <w:t>במסלול</w:t>
      </w:r>
      <w:r w:rsidRPr="001C6911">
        <w:rPr>
          <w:b/>
          <w:bCs/>
          <w:rtl/>
        </w:rPr>
        <w:t xml:space="preserve"> </w:t>
      </w:r>
      <w:r w:rsidRPr="001C6911">
        <w:rPr>
          <w:rFonts w:hint="eastAsia"/>
          <w:b/>
          <w:bCs/>
          <w:rtl/>
        </w:rPr>
        <w:t>הרגיל</w:t>
      </w:r>
      <w:r w:rsidRPr="001C6911" w:rsidR="008910E6">
        <w:rPr>
          <w:b/>
          <w:bCs/>
          <w:rtl/>
        </w:rPr>
        <w:t>,</w:t>
      </w:r>
      <w:r w:rsidRPr="001C6911">
        <w:rPr>
          <w:b/>
          <w:bCs/>
          <w:rtl/>
        </w:rPr>
        <w:t xml:space="preserve"> 19</w:t>
      </w:r>
      <w:r>
        <w:rPr>
          <w:rFonts w:hint="cs"/>
          <w:b/>
          <w:bCs/>
          <w:rtl/>
        </w:rPr>
        <w:t>.10.20</w:t>
      </w:r>
      <w:r w:rsidRPr="001C6911">
        <w:rPr>
          <w:b/>
          <w:bCs/>
          <w:rtl/>
        </w:rPr>
        <w:t>*</w:t>
      </w:r>
    </w:p>
    <w:p w:rsidR="00253C38" w:rsidP="00982BC1" w14:paraId="366E096B" w14:textId="77777777">
      <w:pPr>
        <w:spacing w:line="269" w:lineRule="auto"/>
        <w:ind w:left="-992"/>
        <w:rPr>
          <w:szCs w:val="20"/>
          <w:rtl/>
        </w:rPr>
      </w:pPr>
      <w:r>
        <w:rPr>
          <w:noProof/>
        </w:rPr>
        <w:drawing>
          <wp:inline distT="0" distB="0" distL="0" distR="0">
            <wp:extent cx="6698528" cy="3122617"/>
            <wp:effectExtent l="0" t="0" r="7620" b="190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09754" name=""/>
                    <pic:cNvPicPr/>
                  </pic:nvPicPr>
                  <pic:blipFill>
                    <a:blip xmlns:r="http://schemas.openxmlformats.org/officeDocument/2006/relationships" r:embed="rId29"/>
                    <a:stretch>
                      <a:fillRect/>
                    </a:stretch>
                  </pic:blipFill>
                  <pic:spPr>
                    <a:xfrm>
                      <a:off x="0" y="0"/>
                      <a:ext cx="6740996" cy="3142414"/>
                    </a:xfrm>
                    <a:prstGeom prst="rect">
                      <a:avLst/>
                    </a:prstGeom>
                  </pic:spPr>
                </pic:pic>
              </a:graphicData>
            </a:graphic>
          </wp:inline>
        </w:drawing>
      </w:r>
    </w:p>
    <w:p w:rsidR="00253C38" w:rsidRPr="00982BC1" w:rsidP="00982BC1" w14:paraId="366C19B3" w14:textId="77777777">
      <w:pPr>
        <w:spacing w:line="269" w:lineRule="auto"/>
        <w:rPr>
          <w:sz w:val="22"/>
          <w:szCs w:val="22"/>
          <w:rtl/>
        </w:rPr>
      </w:pPr>
      <w:r w:rsidRPr="00982BC1">
        <w:rPr>
          <w:rFonts w:hint="cs"/>
          <w:sz w:val="22"/>
          <w:szCs w:val="22"/>
          <w:rtl/>
        </w:rPr>
        <w:t>נתוני החשכ"ל, בעיבוד משרד מבקר המדינה.</w:t>
      </w:r>
    </w:p>
    <w:p w:rsidR="00253C38" w:rsidP="00982BC1" w14:paraId="6C22BAF8" w14:textId="14F2536D">
      <w:pPr>
        <w:spacing w:line="269" w:lineRule="auto"/>
        <w:rPr>
          <w:sz w:val="18"/>
          <w:szCs w:val="18"/>
          <w:rtl/>
        </w:rPr>
      </w:pPr>
      <w:r w:rsidRPr="00982BC1">
        <w:rPr>
          <w:sz w:val="22"/>
          <w:szCs w:val="22"/>
          <w:rtl/>
        </w:rPr>
        <w:t xml:space="preserve">* </w:t>
      </w:r>
      <w:r w:rsidRPr="00982BC1">
        <w:rPr>
          <w:rFonts w:hint="eastAsia"/>
          <w:sz w:val="22"/>
          <w:szCs w:val="22"/>
          <w:rtl/>
        </w:rPr>
        <w:t>הנתונים</w:t>
      </w:r>
      <w:r w:rsidRPr="00982BC1">
        <w:rPr>
          <w:sz w:val="22"/>
          <w:szCs w:val="22"/>
          <w:rtl/>
        </w:rPr>
        <w:t xml:space="preserve"> </w:t>
      </w:r>
      <w:r w:rsidRPr="00982BC1">
        <w:rPr>
          <w:rFonts w:hint="eastAsia"/>
          <w:sz w:val="22"/>
          <w:szCs w:val="22"/>
          <w:rtl/>
        </w:rPr>
        <w:t>מתייחסים</w:t>
      </w:r>
      <w:r w:rsidRPr="00982BC1">
        <w:rPr>
          <w:sz w:val="22"/>
          <w:szCs w:val="22"/>
          <w:rtl/>
        </w:rPr>
        <w:t xml:space="preserve"> </w:t>
      </w:r>
      <w:r w:rsidRPr="00982BC1">
        <w:rPr>
          <w:rFonts w:hint="eastAsia"/>
          <w:sz w:val="22"/>
          <w:szCs w:val="22"/>
          <w:rtl/>
        </w:rPr>
        <w:t>לבקשות</w:t>
      </w:r>
      <w:r w:rsidRPr="00982BC1">
        <w:rPr>
          <w:sz w:val="22"/>
          <w:szCs w:val="22"/>
          <w:rtl/>
        </w:rPr>
        <w:t xml:space="preserve"> </w:t>
      </w:r>
      <w:r w:rsidRPr="00982BC1">
        <w:rPr>
          <w:rFonts w:hint="eastAsia"/>
          <w:sz w:val="22"/>
          <w:szCs w:val="22"/>
          <w:rtl/>
        </w:rPr>
        <w:t>שנידונו</w:t>
      </w:r>
      <w:r w:rsidRPr="00982BC1">
        <w:rPr>
          <w:sz w:val="22"/>
          <w:szCs w:val="22"/>
          <w:rtl/>
        </w:rPr>
        <w:t xml:space="preserve"> </w:t>
      </w:r>
      <w:r w:rsidRPr="00982BC1">
        <w:rPr>
          <w:rFonts w:hint="eastAsia"/>
          <w:sz w:val="22"/>
          <w:szCs w:val="22"/>
          <w:rtl/>
        </w:rPr>
        <w:t>בוועדות</w:t>
      </w:r>
      <w:r w:rsidRPr="00982BC1">
        <w:rPr>
          <w:sz w:val="22"/>
          <w:szCs w:val="22"/>
          <w:rtl/>
        </w:rPr>
        <w:t xml:space="preserve"> </w:t>
      </w:r>
      <w:r w:rsidRPr="00982BC1">
        <w:rPr>
          <w:rFonts w:hint="eastAsia"/>
          <w:sz w:val="22"/>
          <w:szCs w:val="22"/>
          <w:rtl/>
        </w:rPr>
        <w:t>האשראי</w:t>
      </w:r>
      <w:r w:rsidRPr="00982BC1">
        <w:rPr>
          <w:sz w:val="22"/>
          <w:szCs w:val="22"/>
          <w:rtl/>
        </w:rPr>
        <w:t xml:space="preserve"> </w:t>
      </w:r>
      <w:r w:rsidRPr="00982BC1">
        <w:rPr>
          <w:rFonts w:hint="eastAsia"/>
          <w:sz w:val="22"/>
          <w:szCs w:val="22"/>
          <w:rtl/>
        </w:rPr>
        <w:t>עד</w:t>
      </w:r>
      <w:r w:rsidRPr="00982BC1">
        <w:rPr>
          <w:sz w:val="22"/>
          <w:szCs w:val="22"/>
          <w:rtl/>
        </w:rPr>
        <w:t xml:space="preserve"> </w:t>
      </w:r>
      <w:r w:rsidRPr="00982BC1">
        <w:rPr>
          <w:rFonts w:hint="eastAsia"/>
          <w:sz w:val="22"/>
          <w:szCs w:val="22"/>
          <w:rtl/>
        </w:rPr>
        <w:t>למועד</w:t>
      </w:r>
      <w:r w:rsidRPr="00982BC1">
        <w:rPr>
          <w:sz w:val="22"/>
          <w:szCs w:val="22"/>
          <w:rtl/>
        </w:rPr>
        <w:t xml:space="preserve"> </w:t>
      </w:r>
      <w:r w:rsidRPr="00982BC1">
        <w:rPr>
          <w:rFonts w:hint="eastAsia"/>
          <w:sz w:val="22"/>
          <w:szCs w:val="22"/>
          <w:rtl/>
        </w:rPr>
        <w:t>קבלת</w:t>
      </w:r>
      <w:r w:rsidRPr="00982BC1">
        <w:rPr>
          <w:sz w:val="22"/>
          <w:szCs w:val="22"/>
          <w:rtl/>
        </w:rPr>
        <w:t xml:space="preserve"> </w:t>
      </w:r>
      <w:r w:rsidRPr="00982BC1">
        <w:rPr>
          <w:rFonts w:hint="eastAsia"/>
          <w:sz w:val="22"/>
          <w:szCs w:val="22"/>
          <w:rtl/>
        </w:rPr>
        <w:t>הנתונים</w:t>
      </w:r>
      <w:r w:rsidRPr="00982BC1">
        <w:rPr>
          <w:sz w:val="22"/>
          <w:szCs w:val="22"/>
          <w:rtl/>
        </w:rPr>
        <w:t xml:space="preserve">, </w:t>
      </w:r>
      <w:r w:rsidRPr="00982BC1">
        <w:rPr>
          <w:rFonts w:hint="eastAsia"/>
          <w:sz w:val="22"/>
          <w:szCs w:val="22"/>
          <w:rtl/>
        </w:rPr>
        <w:t>למעט</w:t>
      </w:r>
      <w:r w:rsidRPr="00982BC1">
        <w:rPr>
          <w:sz w:val="22"/>
          <w:szCs w:val="22"/>
          <w:rtl/>
        </w:rPr>
        <w:t xml:space="preserve"> </w:t>
      </w:r>
      <w:r w:rsidRPr="00982BC1">
        <w:rPr>
          <w:rFonts w:hint="eastAsia"/>
          <w:sz w:val="22"/>
          <w:szCs w:val="22"/>
          <w:rtl/>
        </w:rPr>
        <w:t>בקשות</w:t>
      </w:r>
      <w:r w:rsidRPr="00982BC1">
        <w:rPr>
          <w:sz w:val="22"/>
          <w:szCs w:val="22"/>
          <w:rtl/>
        </w:rPr>
        <w:t xml:space="preserve"> </w:t>
      </w:r>
      <w:r w:rsidRPr="00982BC1">
        <w:rPr>
          <w:rFonts w:hint="eastAsia"/>
          <w:sz w:val="22"/>
          <w:szCs w:val="22"/>
          <w:rtl/>
        </w:rPr>
        <w:t>בהן</w:t>
      </w:r>
      <w:r w:rsidRPr="00982BC1">
        <w:rPr>
          <w:sz w:val="22"/>
          <w:szCs w:val="22"/>
          <w:rtl/>
        </w:rPr>
        <w:t xml:space="preserve"> </w:t>
      </w:r>
      <w:r w:rsidRPr="00982BC1">
        <w:rPr>
          <w:rFonts w:hint="eastAsia"/>
          <w:sz w:val="22"/>
          <w:szCs w:val="22"/>
          <w:rtl/>
        </w:rPr>
        <w:t>מועדי</w:t>
      </w:r>
      <w:r w:rsidRPr="00982BC1">
        <w:rPr>
          <w:sz w:val="22"/>
          <w:szCs w:val="22"/>
          <w:rtl/>
        </w:rPr>
        <w:t xml:space="preserve"> </w:t>
      </w:r>
      <w:r w:rsidRPr="00982BC1">
        <w:rPr>
          <w:rFonts w:hint="eastAsia"/>
          <w:sz w:val="22"/>
          <w:szCs w:val="22"/>
          <w:rtl/>
        </w:rPr>
        <w:t>הוועדה</w:t>
      </w:r>
      <w:r w:rsidRPr="00982BC1">
        <w:rPr>
          <w:sz w:val="22"/>
          <w:szCs w:val="22"/>
          <w:rtl/>
        </w:rPr>
        <w:t xml:space="preserve"> </w:t>
      </w:r>
      <w:r w:rsidRPr="00982BC1">
        <w:rPr>
          <w:rFonts w:hint="eastAsia"/>
          <w:sz w:val="22"/>
          <w:szCs w:val="22"/>
          <w:rtl/>
        </w:rPr>
        <w:t>היו</w:t>
      </w:r>
      <w:r w:rsidRPr="00982BC1">
        <w:rPr>
          <w:sz w:val="22"/>
          <w:szCs w:val="22"/>
          <w:rtl/>
        </w:rPr>
        <w:t xml:space="preserve"> </w:t>
      </w:r>
      <w:r w:rsidRPr="00982BC1">
        <w:rPr>
          <w:rFonts w:hint="eastAsia"/>
          <w:sz w:val="22"/>
          <w:szCs w:val="22"/>
          <w:rtl/>
        </w:rPr>
        <w:t>שגויים</w:t>
      </w:r>
      <w:r w:rsidRPr="00982BC1">
        <w:rPr>
          <w:rFonts w:hint="cs"/>
          <w:sz w:val="18"/>
          <w:szCs w:val="18"/>
          <w:rtl/>
        </w:rPr>
        <w:t xml:space="preserve">. </w:t>
      </w:r>
    </w:p>
    <w:p w:rsidR="00982BC1" w:rsidP="00982BC1" w14:paraId="2F774B46" w14:textId="6310C4EF">
      <w:pPr>
        <w:spacing w:line="269" w:lineRule="auto"/>
        <w:rPr>
          <w:sz w:val="18"/>
          <w:szCs w:val="18"/>
          <w:rtl/>
        </w:rPr>
      </w:pPr>
    </w:p>
    <w:p w:rsidR="00982BC1" w:rsidP="00982BC1" w14:paraId="155FF4D8" w14:textId="64003D28">
      <w:pPr>
        <w:spacing w:line="269" w:lineRule="auto"/>
        <w:rPr>
          <w:sz w:val="18"/>
          <w:szCs w:val="18"/>
          <w:rtl/>
        </w:rPr>
      </w:pPr>
    </w:p>
    <w:p w:rsidR="00982BC1" w:rsidRPr="00982BC1" w:rsidP="00982BC1" w14:paraId="78371154" w14:textId="77777777">
      <w:pPr>
        <w:spacing w:line="269" w:lineRule="auto"/>
        <w:rPr>
          <w:sz w:val="18"/>
          <w:szCs w:val="18"/>
          <w:rtl/>
        </w:rPr>
      </w:pPr>
    </w:p>
    <w:p w:rsidR="00253C38" w:rsidP="00982BC1" w14:paraId="0B6BBF39" w14:textId="7EF1EE1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F939C63" w14:textId="2AF1C216">
      <w:pPr>
        <w:spacing w:line="269" w:lineRule="auto"/>
        <w:rPr>
          <w:sz w:val="24"/>
          <w:rtl/>
        </w:rPr>
      </w:pPr>
      <w:r>
        <w:rPr>
          <w:rFonts w:hint="cs"/>
          <w:sz w:val="24"/>
          <w:rtl/>
        </w:rPr>
        <w:t xml:space="preserve">מחלקו הימני של התרשים עולה כי </w:t>
      </w:r>
      <w:r>
        <w:rPr>
          <w:rFonts w:hint="cs"/>
          <w:rtl/>
        </w:rPr>
        <w:t>שיעור הסכום המאושר בממוצע בקרן נאמד ב-</w:t>
      </w:r>
      <w:r w:rsidR="004575EE">
        <w:rPr>
          <w:rFonts w:hint="cs"/>
          <w:rtl/>
        </w:rPr>
        <w:t>67.6</w:t>
      </w:r>
      <w:r>
        <w:rPr>
          <w:rFonts w:hint="cs"/>
          <w:rtl/>
        </w:rPr>
        <w:t>%</w:t>
      </w:r>
      <w:r>
        <w:rPr>
          <w:rFonts w:hint="cs"/>
          <w:sz w:val="24"/>
          <w:rtl/>
        </w:rPr>
        <w:t xml:space="preserve"> מהסכום המבוקש. עוד עולה מהתרשים כי התפלגות הסכום המאושר בין הבקשות שאושרו נפרסת בצורה רחבה, כך שבקשות רבות אושרו בסכומים נמוכים. בהתאם, לכ-35% מהבקשות שאושרו הועמד סכום בשיעור של 50% מהסכום המבוקש או נמוך מכך, והחציון נאמד בשיעור של כ-69%, בדומה לממוצע. יתרה מכך, מחלקו השמאלי של התרשים עולה כי רק כ-14.2% מהבקשות שהוגשו במסלול הרגיל אושרו במלואן. בעוד שלכ-33.2% מהבקשות אושרו סכומים חלקיים בלבד וכ-52.6% מהבקשות נדחו, בוטלו וטרם נענו נכון למועד העברת הנתונים למשרד מבקר המדינה</w:t>
      </w:r>
      <w:r w:rsidR="007E23C5">
        <w:rPr>
          <w:rFonts w:hint="cs"/>
          <w:sz w:val="24"/>
          <w:rtl/>
        </w:rPr>
        <w:t xml:space="preserve"> ב-19.10.20</w:t>
      </w:r>
      <w:r>
        <w:rPr>
          <w:rFonts w:hint="cs"/>
          <w:sz w:val="24"/>
          <w:rtl/>
        </w:rPr>
        <w:t>.</w:t>
      </w:r>
    </w:p>
    <w:p w:rsidR="00253C38" w:rsidP="00982BC1" w14:paraId="1CE36206" w14:textId="2279661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A3454C6" w14:textId="77777777">
      <w:pPr>
        <w:spacing w:line="269" w:lineRule="auto"/>
        <w:rPr>
          <w:sz w:val="24"/>
          <w:rtl/>
        </w:rPr>
      </w:pPr>
      <w:r>
        <w:rPr>
          <w:rFonts w:hint="cs"/>
          <w:sz w:val="24"/>
          <w:rtl/>
        </w:rPr>
        <w:t xml:space="preserve">תרשימים 24 ו-25 להלן מציגים את התפלגות אישור הבקשות במסלול הרגיל ואת שיעור הסכום המאושר הממוצע בפריסה אזורית ומגזרית בהתאמה. </w:t>
      </w:r>
    </w:p>
    <w:p w:rsidR="00253C38" w:rsidP="00982BC1" w14:paraId="24A50C8B" w14:textId="0E23706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6ADEF773" w14:textId="77777777">
      <w:pPr>
        <w:spacing w:line="269" w:lineRule="auto"/>
        <w:jc w:val="center"/>
        <w:rPr>
          <w:b/>
          <w:bCs/>
          <w:rtl/>
        </w:rPr>
      </w:pPr>
      <w:r w:rsidRPr="001C6911">
        <w:rPr>
          <w:rFonts w:hint="eastAsia"/>
          <w:b/>
          <w:bCs/>
          <w:rtl/>
        </w:rPr>
        <w:t>תרשים</w:t>
      </w:r>
      <w:r w:rsidRPr="001C6911">
        <w:rPr>
          <w:b/>
          <w:bCs/>
          <w:rtl/>
        </w:rPr>
        <w:t xml:space="preserve"> 24: התפלגות הבקשות </w:t>
      </w:r>
      <w:r w:rsidRPr="001C6911">
        <w:rPr>
          <w:rFonts w:hint="eastAsia"/>
          <w:b/>
          <w:bCs/>
          <w:rtl/>
        </w:rPr>
        <w:t>במסלול</w:t>
      </w:r>
      <w:r w:rsidRPr="001C6911">
        <w:rPr>
          <w:b/>
          <w:bCs/>
          <w:rtl/>
        </w:rPr>
        <w:t xml:space="preserve"> הרגיל </w:t>
      </w:r>
      <w:r w:rsidRPr="001C6911">
        <w:rPr>
          <w:rFonts w:hint="eastAsia"/>
          <w:b/>
          <w:bCs/>
          <w:rtl/>
        </w:rPr>
        <w:t>ושיעור</w:t>
      </w:r>
      <w:r w:rsidRPr="001C6911">
        <w:rPr>
          <w:b/>
          <w:bCs/>
          <w:rtl/>
        </w:rPr>
        <w:t xml:space="preserve"> </w:t>
      </w:r>
      <w:r w:rsidRPr="001C6911">
        <w:rPr>
          <w:rFonts w:hint="eastAsia"/>
          <w:b/>
          <w:bCs/>
          <w:rtl/>
        </w:rPr>
        <w:t>הסכום</w:t>
      </w:r>
      <w:r w:rsidRPr="001C6911">
        <w:rPr>
          <w:b/>
          <w:bCs/>
          <w:rtl/>
        </w:rPr>
        <w:t xml:space="preserve"> </w:t>
      </w:r>
      <w:r w:rsidRPr="001C6911">
        <w:rPr>
          <w:rFonts w:hint="eastAsia"/>
          <w:b/>
          <w:bCs/>
          <w:rtl/>
        </w:rPr>
        <w:t>המאושר</w:t>
      </w:r>
      <w:r w:rsidRPr="001C6911">
        <w:rPr>
          <w:b/>
          <w:bCs/>
          <w:rtl/>
        </w:rPr>
        <w:t xml:space="preserve"> </w:t>
      </w:r>
      <w:r w:rsidRPr="001C6911">
        <w:rPr>
          <w:rFonts w:hint="eastAsia"/>
          <w:b/>
          <w:bCs/>
          <w:rtl/>
        </w:rPr>
        <w:t>הממוצע</w:t>
      </w:r>
      <w:r w:rsidRPr="001C6911">
        <w:rPr>
          <w:b/>
          <w:bCs/>
          <w:rtl/>
        </w:rPr>
        <w:t xml:space="preserve"> </w:t>
      </w:r>
      <w:r w:rsidRPr="001C6911">
        <w:rPr>
          <w:rFonts w:hint="eastAsia"/>
          <w:b/>
          <w:bCs/>
          <w:rtl/>
        </w:rPr>
        <w:t>בפריסה</w:t>
      </w:r>
      <w:r w:rsidRPr="001C6911">
        <w:rPr>
          <w:b/>
          <w:bCs/>
          <w:rtl/>
        </w:rPr>
        <w:t xml:space="preserve"> </w:t>
      </w:r>
      <w:r w:rsidRPr="001C6911">
        <w:rPr>
          <w:rFonts w:hint="eastAsia"/>
          <w:b/>
          <w:bCs/>
          <w:rtl/>
        </w:rPr>
        <w:t>אזורית</w:t>
      </w:r>
    </w:p>
    <w:p w:rsidR="00253C38" w:rsidP="00982BC1" w14:paraId="06C7F782" w14:textId="77777777">
      <w:pPr>
        <w:spacing w:line="269" w:lineRule="auto"/>
        <w:ind w:left="-1275"/>
        <w:jc w:val="center"/>
        <w:rPr>
          <w:szCs w:val="20"/>
          <w:rtl/>
        </w:rPr>
      </w:pPr>
      <w:r>
        <w:rPr>
          <w:noProof/>
        </w:rPr>
        <w:drawing>
          <wp:inline distT="0" distB="0" distL="0" distR="0">
            <wp:extent cx="7114655" cy="477202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32897" name=""/>
                    <pic:cNvPicPr/>
                  </pic:nvPicPr>
                  <pic:blipFill>
                    <a:blip xmlns:r="http://schemas.openxmlformats.org/officeDocument/2006/relationships" r:embed="rId30"/>
                    <a:stretch>
                      <a:fillRect/>
                    </a:stretch>
                  </pic:blipFill>
                  <pic:spPr>
                    <a:xfrm>
                      <a:off x="0" y="0"/>
                      <a:ext cx="7146285" cy="4793240"/>
                    </a:xfrm>
                    <a:prstGeom prst="rect">
                      <a:avLst/>
                    </a:prstGeom>
                  </pic:spPr>
                </pic:pic>
              </a:graphicData>
            </a:graphic>
          </wp:inline>
        </w:drawing>
      </w:r>
    </w:p>
    <w:p w:rsidR="00253C38" w:rsidRPr="00982BC1" w:rsidP="00982BC1" w14:paraId="406EEC1A" w14:textId="77777777">
      <w:pPr>
        <w:spacing w:line="269" w:lineRule="auto"/>
        <w:rPr>
          <w:sz w:val="22"/>
          <w:szCs w:val="22"/>
          <w:rtl/>
        </w:rPr>
      </w:pPr>
      <w:r w:rsidRPr="00982BC1">
        <w:rPr>
          <w:rFonts w:hint="cs"/>
          <w:sz w:val="22"/>
          <w:szCs w:val="22"/>
          <w:rtl/>
        </w:rPr>
        <w:t>נתוני החשב הכללי, בעיבוד משרד מבקר המדינה.</w:t>
      </w:r>
    </w:p>
    <w:p w:rsidR="00253C38" w:rsidP="00982BC1" w14:paraId="7A646BEC" w14:textId="14F91C6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98D2BB3" w14:textId="77777777">
      <w:pPr>
        <w:spacing w:line="269" w:lineRule="auto"/>
        <w:rPr>
          <w:sz w:val="24"/>
          <w:rtl/>
        </w:rPr>
      </w:pPr>
      <w:r>
        <w:rPr>
          <w:rFonts w:hint="cs"/>
          <w:sz w:val="24"/>
          <w:rtl/>
        </w:rPr>
        <w:t>מתרשים 24 ניכר כי אין הבדלים ניכרים בבחינת הפריסה האזורית הן בשיעור אישור הבקשות והן בשיעור הסכום המאושר. עם זאת, במחוז ירושלים נרשם שיעור אישור נמוך במקצת בהשוואה ליתר המחוזות, בעוד שבמחוז הדרום תועדה מגמה הפוכה.</w:t>
      </w:r>
    </w:p>
    <w:p w:rsidR="00982BC1" w14:paraId="41943071" w14:textId="77777777">
      <w:pPr>
        <w:bidi w:val="0"/>
        <w:spacing w:after="200" w:line="276" w:lineRule="auto"/>
        <w:rPr>
          <w:szCs w:val="20"/>
          <w:rtl/>
        </w:rPr>
      </w:pPr>
      <w:r>
        <w:rPr>
          <w:rtl/>
        </w:rPr>
        <w:br w:type="page"/>
      </w:r>
    </w:p>
    <w:p w:rsidR="00BA1B38" w:rsidRPr="00BA1B38" w:rsidP="00982BC1" w14:paraId="1F865268" w14:textId="7B7B3B0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7F142769" w14:textId="77777777">
      <w:pPr>
        <w:spacing w:line="269" w:lineRule="auto"/>
        <w:jc w:val="center"/>
        <w:rPr>
          <w:b/>
          <w:bCs/>
          <w:rtl/>
        </w:rPr>
      </w:pPr>
      <w:r w:rsidRPr="001C6911">
        <w:rPr>
          <w:rFonts w:hint="eastAsia"/>
          <w:b/>
          <w:bCs/>
          <w:rtl/>
        </w:rPr>
        <w:t>תרשים</w:t>
      </w:r>
      <w:r w:rsidRPr="001C6911">
        <w:rPr>
          <w:b/>
          <w:bCs/>
          <w:rtl/>
        </w:rPr>
        <w:t xml:space="preserve"> 25: התפלגות הבקשות </w:t>
      </w:r>
      <w:r w:rsidRPr="001C6911">
        <w:rPr>
          <w:rFonts w:hint="eastAsia"/>
          <w:b/>
          <w:bCs/>
          <w:rtl/>
        </w:rPr>
        <w:t>במסלול</w:t>
      </w:r>
      <w:r w:rsidRPr="001C6911">
        <w:rPr>
          <w:b/>
          <w:bCs/>
          <w:rtl/>
        </w:rPr>
        <w:t xml:space="preserve"> הרגיל </w:t>
      </w:r>
      <w:r w:rsidRPr="001C6911">
        <w:rPr>
          <w:rFonts w:hint="eastAsia"/>
          <w:b/>
          <w:bCs/>
          <w:rtl/>
        </w:rPr>
        <w:t>ושיעור</w:t>
      </w:r>
      <w:r w:rsidRPr="001C6911">
        <w:rPr>
          <w:b/>
          <w:bCs/>
          <w:rtl/>
        </w:rPr>
        <w:t xml:space="preserve"> </w:t>
      </w:r>
      <w:r w:rsidRPr="001C6911">
        <w:rPr>
          <w:rFonts w:hint="eastAsia"/>
          <w:b/>
          <w:bCs/>
          <w:rtl/>
        </w:rPr>
        <w:t>הסכום</w:t>
      </w:r>
      <w:r w:rsidRPr="001C6911">
        <w:rPr>
          <w:b/>
          <w:bCs/>
          <w:rtl/>
        </w:rPr>
        <w:t xml:space="preserve"> </w:t>
      </w:r>
      <w:r w:rsidRPr="001C6911">
        <w:rPr>
          <w:rFonts w:hint="eastAsia"/>
          <w:b/>
          <w:bCs/>
          <w:rtl/>
        </w:rPr>
        <w:t>המאושר</w:t>
      </w:r>
      <w:r w:rsidRPr="001C6911">
        <w:rPr>
          <w:b/>
          <w:bCs/>
          <w:rtl/>
        </w:rPr>
        <w:t xml:space="preserve"> </w:t>
      </w:r>
      <w:r w:rsidRPr="001C6911">
        <w:rPr>
          <w:rFonts w:hint="eastAsia"/>
          <w:b/>
          <w:bCs/>
          <w:rtl/>
        </w:rPr>
        <w:t>הממוצע</w:t>
      </w:r>
      <w:r w:rsidRPr="001C6911">
        <w:rPr>
          <w:b/>
          <w:bCs/>
          <w:rtl/>
        </w:rPr>
        <w:t xml:space="preserve"> </w:t>
      </w:r>
      <w:r w:rsidRPr="001C6911">
        <w:rPr>
          <w:rFonts w:hint="eastAsia"/>
          <w:b/>
          <w:bCs/>
          <w:rtl/>
        </w:rPr>
        <w:t>בפריסה</w:t>
      </w:r>
      <w:r w:rsidRPr="001C6911">
        <w:rPr>
          <w:b/>
          <w:bCs/>
          <w:rtl/>
        </w:rPr>
        <w:t xml:space="preserve"> </w:t>
      </w:r>
      <w:r w:rsidRPr="001C6911">
        <w:rPr>
          <w:rFonts w:hint="eastAsia"/>
          <w:b/>
          <w:bCs/>
          <w:rtl/>
        </w:rPr>
        <w:t>מגזרית</w:t>
      </w:r>
    </w:p>
    <w:p w:rsidR="00253C38" w:rsidP="00982BC1" w14:paraId="4338D9DC" w14:textId="77777777">
      <w:pPr>
        <w:spacing w:line="269" w:lineRule="auto"/>
        <w:ind w:left="-850"/>
        <w:jc w:val="center"/>
        <w:rPr>
          <w:szCs w:val="20"/>
          <w:rtl/>
        </w:rPr>
      </w:pPr>
      <w:r>
        <w:rPr>
          <w:noProof/>
        </w:rPr>
        <w:drawing>
          <wp:inline distT="0" distB="0" distL="0" distR="0">
            <wp:extent cx="6198566" cy="2741331"/>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52596" name=""/>
                    <pic:cNvPicPr/>
                  </pic:nvPicPr>
                  <pic:blipFill>
                    <a:blip xmlns:r="http://schemas.openxmlformats.org/officeDocument/2006/relationships" r:embed="rId31"/>
                    <a:stretch>
                      <a:fillRect/>
                    </a:stretch>
                  </pic:blipFill>
                  <pic:spPr>
                    <a:xfrm>
                      <a:off x="0" y="0"/>
                      <a:ext cx="6233679" cy="2756860"/>
                    </a:xfrm>
                    <a:prstGeom prst="rect">
                      <a:avLst/>
                    </a:prstGeom>
                  </pic:spPr>
                </pic:pic>
              </a:graphicData>
            </a:graphic>
          </wp:inline>
        </w:drawing>
      </w:r>
    </w:p>
    <w:p w:rsidR="00253C38" w:rsidRPr="00982BC1" w:rsidP="00982BC1" w14:paraId="770AAA5B" w14:textId="77777777">
      <w:pPr>
        <w:spacing w:line="269" w:lineRule="auto"/>
        <w:rPr>
          <w:sz w:val="22"/>
          <w:szCs w:val="22"/>
          <w:rtl/>
        </w:rPr>
      </w:pPr>
      <w:r w:rsidRPr="00982BC1">
        <w:rPr>
          <w:rFonts w:hint="cs"/>
          <w:sz w:val="22"/>
          <w:szCs w:val="22"/>
          <w:rtl/>
        </w:rPr>
        <w:t>נתוני החשב הכללי, בעיבוד משרד מבקר המדינה.</w:t>
      </w:r>
    </w:p>
    <w:p w:rsidR="00253C38" w:rsidP="00982BC1" w14:paraId="6F36524D" w14:textId="25C58D0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2004DE2" w14:textId="77777777">
      <w:pPr>
        <w:spacing w:line="269" w:lineRule="auto"/>
        <w:rPr>
          <w:sz w:val="24"/>
          <w:rtl/>
        </w:rPr>
      </w:pPr>
      <w:r>
        <w:rPr>
          <w:rFonts w:hint="cs"/>
          <w:b/>
          <w:bCs/>
          <w:sz w:val="24"/>
          <w:rtl/>
        </w:rPr>
        <w:t>מ</w:t>
      </w:r>
      <w:r w:rsidRPr="00A61CC9">
        <w:rPr>
          <w:rFonts w:hint="eastAsia"/>
          <w:b/>
          <w:bCs/>
          <w:sz w:val="24"/>
          <w:rtl/>
        </w:rPr>
        <w:t>תרשים</w:t>
      </w:r>
      <w:r>
        <w:rPr>
          <w:rFonts w:hint="cs"/>
          <w:b/>
          <w:bCs/>
          <w:sz w:val="24"/>
          <w:rtl/>
        </w:rPr>
        <w:t xml:space="preserve"> 25</w:t>
      </w:r>
      <w:r w:rsidRPr="00A61CC9">
        <w:rPr>
          <w:b/>
          <w:bCs/>
          <w:sz w:val="24"/>
          <w:rtl/>
        </w:rPr>
        <w:t xml:space="preserve"> </w:t>
      </w:r>
      <w:r w:rsidRPr="00A61CC9">
        <w:rPr>
          <w:rFonts w:hint="eastAsia"/>
          <w:b/>
          <w:bCs/>
          <w:sz w:val="24"/>
          <w:rtl/>
        </w:rPr>
        <w:t>ניכר</w:t>
      </w:r>
      <w:r w:rsidRPr="00A61CC9">
        <w:rPr>
          <w:b/>
          <w:bCs/>
          <w:sz w:val="24"/>
          <w:rtl/>
        </w:rPr>
        <w:t xml:space="preserve"> שקיימים פערים בין היישובים היהוד</w:t>
      </w:r>
      <w:r>
        <w:rPr>
          <w:rFonts w:hint="cs"/>
          <w:b/>
          <w:bCs/>
          <w:sz w:val="24"/>
          <w:rtl/>
        </w:rPr>
        <w:t>י</w:t>
      </w:r>
      <w:r w:rsidRPr="00A61CC9">
        <w:rPr>
          <w:b/>
          <w:bCs/>
          <w:sz w:val="24"/>
          <w:rtl/>
        </w:rPr>
        <w:t>ים ל</w:t>
      </w:r>
      <w:r>
        <w:rPr>
          <w:rFonts w:hint="cs"/>
          <w:b/>
          <w:bCs/>
          <w:sz w:val="24"/>
          <w:rtl/>
        </w:rPr>
        <w:t xml:space="preserve">בין </w:t>
      </w:r>
      <w:r w:rsidRPr="00A61CC9">
        <w:rPr>
          <w:b/>
          <w:bCs/>
          <w:sz w:val="24"/>
          <w:rtl/>
        </w:rPr>
        <w:t>יישובים שאינם יהודיים הן בשיעור הבקשות שאושרו</w:t>
      </w:r>
      <w:r>
        <w:rPr>
          <w:rFonts w:hint="cs"/>
          <w:b/>
          <w:bCs/>
          <w:sz w:val="24"/>
          <w:rtl/>
        </w:rPr>
        <w:t xml:space="preserve"> (כ-3.1%)</w:t>
      </w:r>
      <w:r w:rsidRPr="00A61CC9">
        <w:rPr>
          <w:b/>
          <w:bCs/>
          <w:sz w:val="24"/>
          <w:rtl/>
        </w:rPr>
        <w:t xml:space="preserve"> והן בשיעור הסכום המאושר בממוצע</w:t>
      </w:r>
      <w:r>
        <w:rPr>
          <w:rFonts w:hint="cs"/>
          <w:b/>
          <w:bCs/>
          <w:sz w:val="24"/>
          <w:rtl/>
        </w:rPr>
        <w:t xml:space="preserve"> (כ-6.7%)</w:t>
      </w:r>
      <w:r w:rsidRPr="00A61CC9">
        <w:rPr>
          <w:b/>
          <w:bCs/>
          <w:sz w:val="24"/>
          <w:rtl/>
        </w:rPr>
        <w:t xml:space="preserve">. ביישובים היהודיים תועדו שיעורים הגבוהים מהממוצע בבחינת שני הפרמטרים, בעוד שביישובים שאינם יהודיים תועדה מגמה הפוכה. </w:t>
      </w:r>
    </w:p>
    <w:p w:rsidR="00253C38" w:rsidP="00982BC1" w14:paraId="30B89EF6" w14:textId="430AAF6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5B6FE43" w14:textId="77777777">
      <w:pPr>
        <w:spacing w:line="269" w:lineRule="auto"/>
        <w:rPr>
          <w:sz w:val="24"/>
          <w:rtl/>
        </w:rPr>
      </w:pPr>
      <w:r>
        <w:rPr>
          <w:rFonts w:hint="cs"/>
          <w:sz w:val="24"/>
          <w:rtl/>
        </w:rPr>
        <w:t xml:space="preserve">בניתוח שערך משרד מבקר המדינה </w:t>
      </w:r>
      <w:r w:rsidRPr="00D8577F">
        <w:rPr>
          <w:rFonts w:hint="cs"/>
          <w:sz w:val="24"/>
          <w:rtl/>
        </w:rPr>
        <w:t>נמצא קשר</w:t>
      </w:r>
      <w:r>
        <w:rPr>
          <w:rFonts w:hint="cs"/>
          <w:sz w:val="24"/>
          <w:rtl/>
        </w:rPr>
        <w:t xml:space="preserve"> חזק (0.675) ומובהק ביותר (0.000&gt;)</w:t>
      </w:r>
      <w:r>
        <w:rPr>
          <w:rStyle w:val="FootnoteReference"/>
          <w:sz w:val="24"/>
          <w:rtl/>
        </w:rPr>
        <w:footnoteReference w:id="40"/>
      </w:r>
      <w:r>
        <w:rPr>
          <w:rFonts w:hint="cs"/>
          <w:sz w:val="24"/>
          <w:rtl/>
        </w:rPr>
        <w:t xml:space="preserve"> בין העלייה בשיעור התושבים הלא יהודים לירידה בשיעור הסכום המאושר הממוצע לפי מתאם פירסון. כמו כן, נמצא לפי מתאם זה קשר (0.378) מובהק (0.006&gt;) בין העלייה בשיעור התושבים הלא יהודים לבין ירידה בשיעור אישור הבקשות.</w:t>
      </w:r>
    </w:p>
    <w:p w:rsidR="00253C38" w:rsidP="00982BC1" w14:paraId="48452156" w14:textId="617B748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F1CC7A5" w14:textId="77777777">
      <w:pPr>
        <w:spacing w:line="269" w:lineRule="auto"/>
        <w:rPr>
          <w:b/>
          <w:bCs/>
          <w:sz w:val="24"/>
          <w:rtl/>
        </w:rPr>
      </w:pPr>
      <w:r>
        <w:rPr>
          <w:rFonts w:hint="cs"/>
          <w:b/>
          <w:bCs/>
          <w:sz w:val="24"/>
          <w:rtl/>
        </w:rPr>
        <w:t>לדעת משרד מבקר המדינה, ראוי כי החשב הכללי יבחן את מקור ההבדלים בין המגזרים כדי לטייב את פעילות המסלול הרגיל בקרן להעמדת הלוואות בערבות מדינה לכלל המגזרים.</w:t>
      </w:r>
    </w:p>
    <w:p w:rsidR="00253C38" w:rsidRPr="00FE25EA" w:rsidP="00982BC1" w14:paraId="2E23D1E5" w14:textId="77777777">
      <w:pPr>
        <w:spacing w:line="269" w:lineRule="auto"/>
        <w:rPr>
          <w:b/>
          <w:bCs/>
          <w:sz w:val="24"/>
          <w:rtl/>
        </w:rPr>
      </w:pPr>
    </w:p>
    <w:p w:rsidR="00253C38" w:rsidP="00982BC1" w14:paraId="2F380693" w14:textId="77777777">
      <w:pPr>
        <w:pStyle w:val="Heading6"/>
        <w:spacing w:line="269" w:lineRule="auto"/>
        <w:rPr>
          <w:rtl/>
        </w:rPr>
      </w:pPr>
      <w:r>
        <w:rPr>
          <w:rFonts w:hint="cs"/>
          <w:rtl/>
        </w:rPr>
        <w:t>הגדרת קריטריונים להעמדת אשראי</w:t>
      </w:r>
    </w:p>
    <w:p w:rsidR="00253C38" w:rsidP="00982BC1" w14:paraId="1360FAB7" w14:textId="59EFD2D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566445" w:rsidP="00982BC1" w14:paraId="0A7EF2A2" w14:textId="77777777">
      <w:pPr>
        <w:spacing w:line="269" w:lineRule="auto"/>
        <w:rPr>
          <w:sz w:val="24"/>
          <w:rtl/>
        </w:rPr>
      </w:pPr>
      <w:r>
        <w:rPr>
          <w:rFonts w:hint="cs"/>
          <w:sz w:val="24"/>
          <w:rtl/>
        </w:rPr>
        <w:t xml:space="preserve">במסגרת הסכמי ההתקשרות בין </w:t>
      </w:r>
      <w:r w:rsidR="00667353">
        <w:rPr>
          <w:rFonts w:hint="cs"/>
          <w:sz w:val="24"/>
          <w:rtl/>
        </w:rPr>
        <w:t>החשכ"ל</w:t>
      </w:r>
      <w:r>
        <w:rPr>
          <w:rFonts w:hint="cs"/>
          <w:sz w:val="24"/>
          <w:rtl/>
        </w:rPr>
        <w:t xml:space="preserve"> לבין הגופים המממנים נקבע כי </w:t>
      </w:r>
      <w:r w:rsidRPr="00AD47FF">
        <w:rPr>
          <w:rFonts w:hint="cs"/>
          <w:sz w:val="24"/>
          <w:rtl/>
        </w:rPr>
        <w:t>הלוואות במסגרת הקרנות יועמדו לעסקים המאוגדים בישראל ושפנו בבקשה "לקבלת הלוואה כדי להתמודד עם הצרכים התזרימיים של העסק שנובעים מהתפשטות נגיף הקורונה". אף שהקרנות הוקמו בראשית המשבר בתנאי חוסר ודאות ונועדו להרחיב את מספר העסקים הזכאים לקבלת הלוואות, הרי ש</w:t>
      </w:r>
      <w:r w:rsidRPr="00AD47FF">
        <w:rPr>
          <w:sz w:val="24"/>
          <w:rtl/>
        </w:rPr>
        <w:t xml:space="preserve">הסכמי </w:t>
      </w:r>
      <w:r w:rsidRPr="00AD47FF">
        <w:rPr>
          <w:rFonts w:hint="cs"/>
          <w:sz w:val="24"/>
          <w:rtl/>
        </w:rPr>
        <w:t>ה</w:t>
      </w:r>
      <w:r w:rsidRPr="00AD47FF">
        <w:rPr>
          <w:sz w:val="24"/>
          <w:rtl/>
        </w:rPr>
        <w:t xml:space="preserve">התקשרות לא קבעו קריטריונים הבוחנים את היקף הנזק של הלווים הזכאים לקבל הלוואה </w:t>
      </w:r>
      <w:r w:rsidRPr="00AD47FF">
        <w:rPr>
          <w:rFonts w:hint="cs"/>
          <w:sz w:val="24"/>
          <w:rtl/>
        </w:rPr>
        <w:t>ואינם מתייחסים להיקף</w:t>
      </w:r>
      <w:r>
        <w:rPr>
          <w:rFonts w:hint="cs"/>
          <w:sz w:val="24"/>
          <w:rtl/>
        </w:rPr>
        <w:t xml:space="preserve"> הנזק שנוצר לעסקים כדי לזהות את מוקדי הפגיעה ולסייע בהתאם. כדי להפחית את הסיכון שהוטל עליהם, הגופים המממנים</w:t>
      </w:r>
      <w:r w:rsidRPr="00195406">
        <w:rPr>
          <w:rFonts w:hint="cs"/>
          <w:sz w:val="24"/>
          <w:rtl/>
        </w:rPr>
        <w:t xml:space="preserve"> </w:t>
      </w:r>
      <w:r>
        <w:rPr>
          <w:rFonts w:hint="cs"/>
          <w:sz w:val="24"/>
          <w:rtl/>
        </w:rPr>
        <w:t xml:space="preserve">העניקו עדיפות </w:t>
      </w:r>
      <w:r w:rsidRPr="00195406">
        <w:rPr>
          <w:rFonts w:hint="cs"/>
          <w:sz w:val="24"/>
          <w:rtl/>
        </w:rPr>
        <w:t>בהעמדת האשראי</w:t>
      </w:r>
      <w:r>
        <w:rPr>
          <w:rFonts w:hint="cs"/>
          <w:sz w:val="24"/>
          <w:rtl/>
        </w:rPr>
        <w:t xml:space="preserve"> </w:t>
      </w:r>
      <w:r w:rsidRPr="00195406">
        <w:rPr>
          <w:rFonts w:hint="cs"/>
          <w:sz w:val="24"/>
          <w:rtl/>
        </w:rPr>
        <w:t xml:space="preserve">ללווים שהוגדרו </w:t>
      </w:r>
      <w:r>
        <w:rPr>
          <w:rFonts w:hint="cs"/>
          <w:sz w:val="24"/>
          <w:rtl/>
        </w:rPr>
        <w:t>"</w:t>
      </w:r>
      <w:r w:rsidRPr="00195406">
        <w:rPr>
          <w:rFonts w:hint="cs"/>
          <w:sz w:val="24"/>
          <w:rtl/>
        </w:rPr>
        <w:t>טובים</w:t>
      </w:r>
      <w:r>
        <w:rPr>
          <w:rFonts w:hint="cs"/>
          <w:sz w:val="24"/>
          <w:rtl/>
        </w:rPr>
        <w:t>"</w:t>
      </w:r>
      <w:r w:rsidRPr="00195406">
        <w:rPr>
          <w:rFonts w:hint="cs"/>
          <w:sz w:val="24"/>
          <w:rtl/>
        </w:rPr>
        <w:t>, ללא קשר לאופן פגיעתם מהמשבר ולמידת נחיצותו עבורם</w:t>
      </w:r>
      <w:r>
        <w:rPr>
          <w:rFonts w:hint="cs"/>
          <w:sz w:val="24"/>
          <w:rtl/>
        </w:rPr>
        <w:t>, כדי</w:t>
      </w:r>
      <w:r w:rsidRPr="00566445">
        <w:rPr>
          <w:rFonts w:hint="cs"/>
          <w:sz w:val="24"/>
          <w:rtl/>
        </w:rPr>
        <w:t xml:space="preserve"> להפחית את הסיכון שהוטל עליהם.</w:t>
      </w:r>
    </w:p>
    <w:p w:rsidR="00253C38" w:rsidRPr="00566445" w:rsidP="00982BC1" w14:paraId="432EF483" w14:textId="5398013A">
      <w:pPr>
        <w:pStyle w:val="a"/>
        <w:spacing w:line="269" w:lineRule="auto"/>
        <w:rPr>
          <w:rtl/>
        </w:rPr>
      </w:pPr>
      <w:r w:rsidRPr="00566445">
        <w:rPr>
          <w:rtl/>
        </w:rPr>
        <w:fldChar w:fldCharType="begin"/>
      </w:r>
      <w:r w:rsidRPr="00566445">
        <w:rPr>
          <w:rtl/>
        </w:rPr>
        <w:instrText xml:space="preserve"> </w:instrText>
      </w:r>
      <w:r w:rsidRPr="00566445">
        <w:instrText>AUTONUMLGL \e  \* MERGEFORMAT</w:instrText>
      </w:r>
      <w:r w:rsidRPr="00566445">
        <w:rPr>
          <w:rtl/>
        </w:rPr>
        <w:instrText xml:space="preserve"> </w:instrText>
      </w:r>
      <w:r w:rsidRPr="00566445">
        <w:rPr>
          <w:rtl/>
        </w:rPr>
        <w:fldChar w:fldCharType="end"/>
      </w:r>
    </w:p>
    <w:p w:rsidR="00253C38" w:rsidRPr="00674ABD" w:rsidP="00982BC1" w14:paraId="7B672040" w14:textId="77777777">
      <w:pPr>
        <w:spacing w:line="269" w:lineRule="auto"/>
        <w:rPr>
          <w:b/>
          <w:bCs/>
          <w:sz w:val="24"/>
        </w:rPr>
      </w:pPr>
      <w:r w:rsidRPr="00566445">
        <w:rPr>
          <w:rFonts w:hint="cs"/>
          <w:b/>
          <w:bCs/>
          <w:sz w:val="24"/>
          <w:rtl/>
        </w:rPr>
        <w:t xml:space="preserve">בשיחות שקיים צוות הביקורת בחודשים ספטמבר ואוקטובר 2020 עם </w:t>
      </w:r>
      <w:r w:rsidRPr="00566445">
        <w:rPr>
          <w:rFonts w:hint="eastAsia"/>
          <w:b/>
          <w:bCs/>
          <w:sz w:val="24"/>
          <w:rtl/>
        </w:rPr>
        <w:t>מנהלי</w:t>
      </w:r>
      <w:r w:rsidRPr="00566445">
        <w:rPr>
          <w:b/>
          <w:bCs/>
          <w:sz w:val="24"/>
          <w:rtl/>
        </w:rPr>
        <w:t xml:space="preserve"> </w:t>
      </w:r>
      <w:r w:rsidRPr="00566445">
        <w:rPr>
          <w:rFonts w:hint="eastAsia"/>
          <w:b/>
          <w:bCs/>
          <w:sz w:val="24"/>
          <w:rtl/>
        </w:rPr>
        <w:t>הקרנות</w:t>
      </w:r>
      <w:r w:rsidRPr="00566445">
        <w:rPr>
          <w:b/>
          <w:bCs/>
          <w:sz w:val="24"/>
          <w:rtl/>
        </w:rPr>
        <w:t xml:space="preserve"> </w:t>
      </w:r>
      <w:r w:rsidRPr="00566445">
        <w:rPr>
          <w:rFonts w:hint="eastAsia"/>
          <w:b/>
          <w:bCs/>
          <w:sz w:val="24"/>
          <w:rtl/>
        </w:rPr>
        <w:t>בבנקים</w:t>
      </w:r>
      <w:r w:rsidRPr="00566445">
        <w:rPr>
          <w:b/>
          <w:bCs/>
          <w:sz w:val="24"/>
          <w:rtl/>
        </w:rPr>
        <w:t xml:space="preserve"> </w:t>
      </w:r>
      <w:r w:rsidRPr="00566445">
        <w:rPr>
          <w:rFonts w:hint="eastAsia"/>
          <w:b/>
          <w:bCs/>
          <w:sz w:val="24"/>
          <w:rtl/>
        </w:rPr>
        <w:t>המסחריים</w:t>
      </w:r>
      <w:r w:rsidRPr="00566445">
        <w:rPr>
          <w:b/>
          <w:bCs/>
          <w:sz w:val="24"/>
          <w:rtl/>
        </w:rPr>
        <w:t xml:space="preserve"> </w:t>
      </w:r>
      <w:r w:rsidRPr="00566445">
        <w:rPr>
          <w:rFonts w:hint="cs"/>
          <w:b/>
          <w:bCs/>
          <w:sz w:val="24"/>
          <w:rtl/>
        </w:rPr>
        <w:t xml:space="preserve">צוין כי </w:t>
      </w:r>
      <w:r w:rsidRPr="00566445">
        <w:rPr>
          <w:rFonts w:hint="eastAsia"/>
          <w:b/>
          <w:bCs/>
          <w:sz w:val="24"/>
          <w:rtl/>
        </w:rPr>
        <w:t>העובדה</w:t>
      </w:r>
      <w:r w:rsidRPr="00F35119">
        <w:rPr>
          <w:b/>
          <w:bCs/>
          <w:sz w:val="24"/>
          <w:rtl/>
        </w:rPr>
        <w:t xml:space="preserve"> </w:t>
      </w:r>
      <w:r>
        <w:rPr>
          <w:rFonts w:hint="cs"/>
          <w:b/>
          <w:bCs/>
          <w:sz w:val="24"/>
          <w:rtl/>
        </w:rPr>
        <w:t>ש</w:t>
      </w:r>
      <w:r w:rsidRPr="00F35119">
        <w:rPr>
          <w:rFonts w:hint="eastAsia"/>
          <w:b/>
          <w:bCs/>
          <w:sz w:val="24"/>
          <w:rtl/>
        </w:rPr>
        <w:t>הסכמי</w:t>
      </w:r>
      <w:r w:rsidRPr="00F35119">
        <w:rPr>
          <w:b/>
          <w:bCs/>
          <w:sz w:val="24"/>
          <w:rtl/>
        </w:rPr>
        <w:t xml:space="preserve"> ההתקשרות </w:t>
      </w:r>
      <w:r w:rsidRPr="00F35119">
        <w:rPr>
          <w:rFonts w:hint="eastAsia"/>
          <w:b/>
          <w:bCs/>
          <w:sz w:val="24"/>
          <w:rtl/>
        </w:rPr>
        <w:t>לא</w:t>
      </w:r>
      <w:r w:rsidRPr="00F35119">
        <w:rPr>
          <w:b/>
          <w:bCs/>
          <w:sz w:val="24"/>
          <w:rtl/>
        </w:rPr>
        <w:t xml:space="preserve"> </w:t>
      </w:r>
      <w:r w:rsidRPr="00F35119">
        <w:rPr>
          <w:rFonts w:hint="eastAsia"/>
          <w:b/>
          <w:bCs/>
          <w:sz w:val="24"/>
          <w:rtl/>
        </w:rPr>
        <w:t>קבעו</w:t>
      </w:r>
      <w:r w:rsidRPr="00F35119">
        <w:rPr>
          <w:b/>
          <w:bCs/>
          <w:sz w:val="24"/>
          <w:rtl/>
        </w:rPr>
        <w:t xml:space="preserve"> </w:t>
      </w:r>
      <w:r w:rsidRPr="00F35119">
        <w:rPr>
          <w:rFonts w:hint="eastAsia"/>
          <w:b/>
          <w:bCs/>
          <w:sz w:val="24"/>
          <w:rtl/>
        </w:rPr>
        <w:t>קריטריונים</w:t>
      </w:r>
      <w:r w:rsidRPr="00F35119">
        <w:rPr>
          <w:b/>
          <w:bCs/>
          <w:sz w:val="24"/>
          <w:rtl/>
        </w:rPr>
        <w:t xml:space="preserve"> </w:t>
      </w:r>
      <w:r w:rsidRPr="00F35119">
        <w:rPr>
          <w:rFonts w:hint="eastAsia"/>
          <w:b/>
          <w:bCs/>
          <w:sz w:val="24"/>
          <w:rtl/>
        </w:rPr>
        <w:t>מדידים</w:t>
      </w:r>
      <w:r w:rsidRPr="00F35119">
        <w:rPr>
          <w:b/>
          <w:bCs/>
          <w:sz w:val="24"/>
          <w:rtl/>
        </w:rPr>
        <w:t xml:space="preserve"> </w:t>
      </w:r>
      <w:r w:rsidRPr="00F35119">
        <w:rPr>
          <w:rFonts w:hint="eastAsia"/>
          <w:b/>
          <w:bCs/>
          <w:sz w:val="24"/>
          <w:rtl/>
        </w:rPr>
        <w:t>להעמדת</w:t>
      </w:r>
      <w:r w:rsidRPr="00F35119">
        <w:rPr>
          <w:b/>
          <w:bCs/>
          <w:sz w:val="24"/>
          <w:rtl/>
        </w:rPr>
        <w:t xml:space="preserve"> </w:t>
      </w:r>
      <w:r w:rsidRPr="00F35119">
        <w:rPr>
          <w:rFonts w:hint="eastAsia"/>
          <w:b/>
          <w:bCs/>
          <w:sz w:val="24"/>
          <w:rtl/>
        </w:rPr>
        <w:t>הלוואות</w:t>
      </w:r>
      <w:r w:rsidRPr="00F35119">
        <w:rPr>
          <w:b/>
          <w:bCs/>
          <w:sz w:val="24"/>
          <w:rtl/>
        </w:rPr>
        <w:t xml:space="preserve"> </w:t>
      </w:r>
      <w:r w:rsidRPr="00F35119">
        <w:rPr>
          <w:rFonts w:hint="eastAsia"/>
          <w:b/>
          <w:bCs/>
          <w:sz w:val="24"/>
          <w:rtl/>
        </w:rPr>
        <w:t>הובילה</w:t>
      </w:r>
      <w:r w:rsidRPr="00F35119">
        <w:rPr>
          <w:b/>
          <w:bCs/>
          <w:sz w:val="24"/>
          <w:rtl/>
        </w:rPr>
        <w:t xml:space="preserve"> לכך שאשראי </w:t>
      </w:r>
      <w:r w:rsidRPr="00F35119">
        <w:rPr>
          <w:rFonts w:hint="eastAsia"/>
          <w:b/>
          <w:bCs/>
          <w:sz w:val="24"/>
          <w:rtl/>
        </w:rPr>
        <w:t>שניתן</w:t>
      </w:r>
      <w:r w:rsidRPr="00F35119">
        <w:rPr>
          <w:b/>
          <w:bCs/>
          <w:sz w:val="24"/>
          <w:rtl/>
        </w:rPr>
        <w:t xml:space="preserve"> </w:t>
      </w:r>
      <w:r w:rsidRPr="00F35119">
        <w:rPr>
          <w:rFonts w:hint="eastAsia"/>
          <w:b/>
          <w:bCs/>
          <w:sz w:val="24"/>
          <w:rtl/>
        </w:rPr>
        <w:t>במסלול</w:t>
      </w:r>
      <w:r w:rsidRPr="00F35119">
        <w:rPr>
          <w:b/>
          <w:bCs/>
          <w:sz w:val="24"/>
          <w:rtl/>
        </w:rPr>
        <w:t xml:space="preserve"> </w:t>
      </w:r>
      <w:r w:rsidRPr="00F35119">
        <w:rPr>
          <w:rFonts w:hint="eastAsia"/>
          <w:b/>
          <w:bCs/>
          <w:sz w:val="24"/>
          <w:rtl/>
        </w:rPr>
        <w:t>הרגיל</w:t>
      </w:r>
      <w:r w:rsidRPr="00F35119">
        <w:rPr>
          <w:b/>
          <w:bCs/>
          <w:sz w:val="24"/>
          <w:rtl/>
        </w:rPr>
        <w:t xml:space="preserve"> </w:t>
      </w:r>
      <w:r w:rsidRPr="00F35119">
        <w:rPr>
          <w:rFonts w:hint="eastAsia"/>
          <w:b/>
          <w:bCs/>
          <w:sz w:val="24"/>
          <w:rtl/>
        </w:rPr>
        <w:t>שימש</w:t>
      </w:r>
      <w:r w:rsidRPr="00F35119">
        <w:rPr>
          <w:b/>
          <w:bCs/>
          <w:sz w:val="24"/>
          <w:rtl/>
        </w:rPr>
        <w:t xml:space="preserve"> </w:t>
      </w:r>
      <w:r w:rsidRPr="00F35119">
        <w:rPr>
          <w:rFonts w:hint="eastAsia"/>
          <w:b/>
          <w:bCs/>
          <w:sz w:val="24"/>
          <w:rtl/>
        </w:rPr>
        <w:t>חלק</w:t>
      </w:r>
      <w:r w:rsidRPr="00F35119">
        <w:rPr>
          <w:b/>
          <w:bCs/>
          <w:sz w:val="24"/>
          <w:rtl/>
        </w:rPr>
        <w:t xml:space="preserve"> </w:t>
      </w:r>
      <w:r w:rsidRPr="00F35119">
        <w:rPr>
          <w:rFonts w:hint="eastAsia"/>
          <w:b/>
          <w:bCs/>
          <w:sz w:val="24"/>
          <w:rtl/>
        </w:rPr>
        <w:t>מהעסקים</w:t>
      </w:r>
      <w:r w:rsidRPr="00F35119">
        <w:rPr>
          <w:b/>
          <w:bCs/>
          <w:sz w:val="24"/>
          <w:rtl/>
        </w:rPr>
        <w:t xml:space="preserve"> </w:t>
      </w:r>
      <w:r w:rsidRPr="00F35119">
        <w:rPr>
          <w:rFonts w:hint="eastAsia"/>
          <w:b/>
          <w:bCs/>
          <w:sz w:val="24"/>
          <w:rtl/>
        </w:rPr>
        <w:t>להוזלת</w:t>
      </w:r>
      <w:r w:rsidRPr="00F35119">
        <w:rPr>
          <w:b/>
          <w:bCs/>
          <w:sz w:val="24"/>
          <w:rtl/>
        </w:rPr>
        <w:t xml:space="preserve"> </w:t>
      </w:r>
      <w:r w:rsidRPr="00F35119">
        <w:rPr>
          <w:rFonts w:hint="eastAsia"/>
          <w:b/>
          <w:bCs/>
          <w:sz w:val="24"/>
          <w:rtl/>
        </w:rPr>
        <w:t>עלויות</w:t>
      </w:r>
      <w:r w:rsidRPr="00F35119">
        <w:rPr>
          <w:b/>
          <w:bCs/>
          <w:sz w:val="24"/>
          <w:rtl/>
        </w:rPr>
        <w:t xml:space="preserve"> </w:t>
      </w:r>
      <w:r w:rsidRPr="00F35119">
        <w:rPr>
          <w:rFonts w:hint="eastAsia"/>
          <w:b/>
          <w:bCs/>
          <w:sz w:val="24"/>
          <w:rtl/>
        </w:rPr>
        <w:t>המימון</w:t>
      </w:r>
      <w:r w:rsidRPr="00F35119">
        <w:rPr>
          <w:b/>
          <w:bCs/>
          <w:sz w:val="24"/>
          <w:rtl/>
        </w:rPr>
        <w:t xml:space="preserve"> שלהם, </w:t>
      </w:r>
      <w:r w:rsidR="005E1C11">
        <w:rPr>
          <w:rFonts w:hint="cs"/>
          <w:b/>
          <w:bCs/>
          <w:sz w:val="24"/>
          <w:rtl/>
        </w:rPr>
        <w:t>במקום</w:t>
      </w:r>
      <w:r w:rsidRPr="00F35119">
        <w:rPr>
          <w:b/>
          <w:bCs/>
          <w:sz w:val="24"/>
          <w:rtl/>
        </w:rPr>
        <w:t xml:space="preserve"> </w:t>
      </w:r>
      <w:r w:rsidR="005E1C11">
        <w:rPr>
          <w:rFonts w:hint="cs"/>
          <w:b/>
          <w:bCs/>
          <w:sz w:val="24"/>
          <w:rtl/>
        </w:rPr>
        <w:t>ל</w:t>
      </w:r>
      <w:r w:rsidR="005E1C11">
        <w:rPr>
          <w:b/>
          <w:bCs/>
          <w:sz w:val="24"/>
          <w:rtl/>
        </w:rPr>
        <w:t>גש</w:t>
      </w:r>
      <w:r w:rsidRPr="00F35119">
        <w:rPr>
          <w:b/>
          <w:bCs/>
          <w:sz w:val="24"/>
          <w:rtl/>
        </w:rPr>
        <w:t xml:space="preserve">ר על פערים </w:t>
      </w:r>
      <w:r w:rsidRPr="00F35119">
        <w:rPr>
          <w:rFonts w:hint="eastAsia"/>
          <w:b/>
          <w:bCs/>
          <w:sz w:val="24"/>
          <w:rtl/>
        </w:rPr>
        <w:t>תזרימיים</w:t>
      </w:r>
      <w:r w:rsidRPr="00F35119">
        <w:rPr>
          <w:b/>
          <w:bCs/>
          <w:sz w:val="24"/>
          <w:rtl/>
        </w:rPr>
        <w:t xml:space="preserve"> שנוצרו בעקבות המשבר.</w:t>
      </w:r>
    </w:p>
    <w:p w:rsidR="00253C38" w:rsidRPr="00674ABD" w:rsidP="00982BC1" w14:paraId="3E4D2F36" w14:textId="08193776">
      <w:pPr>
        <w:pStyle w:val="a"/>
        <w:spacing w:line="269" w:lineRule="auto"/>
        <w:rPr>
          <w:rtl/>
        </w:rPr>
      </w:pPr>
      <w:r w:rsidRPr="00674ABD">
        <w:rPr>
          <w:rtl/>
        </w:rPr>
        <w:fldChar w:fldCharType="begin"/>
      </w:r>
      <w:r w:rsidRPr="00674ABD">
        <w:rPr>
          <w:rtl/>
        </w:rPr>
        <w:instrText xml:space="preserve"> </w:instrText>
      </w:r>
      <w:r w:rsidRPr="00674ABD">
        <w:instrText>AUTONUMLGL \e  \* MERGEFORMAT</w:instrText>
      </w:r>
      <w:r w:rsidRPr="00674ABD">
        <w:rPr>
          <w:rtl/>
        </w:rPr>
        <w:instrText xml:space="preserve"> </w:instrText>
      </w:r>
      <w:r w:rsidRPr="00674ABD">
        <w:rPr>
          <w:rtl/>
        </w:rPr>
        <w:fldChar w:fldCharType="end"/>
      </w:r>
    </w:p>
    <w:p w:rsidR="00253C38" w:rsidP="00982BC1" w14:paraId="3218FD1D" w14:textId="5A9D51D8">
      <w:pPr>
        <w:spacing w:line="269" w:lineRule="auto"/>
        <w:rPr>
          <w:rtl/>
        </w:rPr>
      </w:pPr>
      <w:r w:rsidRPr="00674ABD">
        <w:rPr>
          <w:rFonts w:hint="cs"/>
          <w:sz w:val="24"/>
          <w:rtl/>
        </w:rPr>
        <w:t>נזקי המש</w:t>
      </w:r>
      <w:r>
        <w:rPr>
          <w:rFonts w:hint="cs"/>
          <w:sz w:val="24"/>
          <w:rtl/>
        </w:rPr>
        <w:t>בר התבטאו באופן שונה בין ענפי המשק</w:t>
      </w:r>
      <w:r w:rsidRPr="00674ABD">
        <w:rPr>
          <w:rFonts w:hint="cs"/>
          <w:sz w:val="24"/>
          <w:rtl/>
        </w:rPr>
        <w:t>. בהתאם, עולה חשש כי סיווג הלווים כ</w:t>
      </w:r>
      <w:r>
        <w:rPr>
          <w:rFonts w:hint="cs"/>
          <w:sz w:val="24"/>
          <w:rtl/>
        </w:rPr>
        <w:t>"</w:t>
      </w:r>
      <w:r w:rsidRPr="00674ABD">
        <w:rPr>
          <w:rFonts w:hint="cs"/>
          <w:sz w:val="24"/>
          <w:rtl/>
        </w:rPr>
        <w:t>טובים</w:t>
      </w:r>
      <w:r>
        <w:rPr>
          <w:rFonts w:hint="cs"/>
          <w:sz w:val="24"/>
          <w:rtl/>
        </w:rPr>
        <w:t>"</w:t>
      </w:r>
      <w:r w:rsidR="005537CA">
        <w:rPr>
          <w:rFonts w:hint="cs"/>
          <w:sz w:val="24"/>
          <w:rtl/>
        </w:rPr>
        <w:t xml:space="preserve"> </w:t>
      </w:r>
      <w:r>
        <w:rPr>
          <w:rFonts w:hint="cs"/>
          <w:sz w:val="24"/>
          <w:rtl/>
        </w:rPr>
        <w:t xml:space="preserve">על </w:t>
      </w:r>
      <w:r w:rsidRPr="00674ABD">
        <w:rPr>
          <w:rFonts w:hint="cs"/>
          <w:sz w:val="24"/>
          <w:rtl/>
        </w:rPr>
        <w:t>ידי הגופים המממנים הושפע מהשתייכותם הענפית, כך ששיעור סירוב הבקשות והעמדת סכומים חלקיים גדלו בקרב קבוצות העסקים שנזקקו</w:t>
      </w:r>
      <w:r>
        <w:rPr>
          <w:rFonts w:hint="cs"/>
          <w:sz w:val="24"/>
          <w:rtl/>
        </w:rPr>
        <w:t xml:space="preserve"> ביותר</w:t>
      </w:r>
      <w:r w:rsidRPr="00674ABD">
        <w:rPr>
          <w:rFonts w:hint="cs"/>
          <w:sz w:val="24"/>
          <w:rtl/>
        </w:rPr>
        <w:t xml:space="preserve"> לאשראי. </w:t>
      </w:r>
      <w:r>
        <w:rPr>
          <w:rFonts w:hint="cs"/>
          <w:sz w:val="24"/>
          <w:rtl/>
        </w:rPr>
        <w:t>לנוכח זאת</w:t>
      </w:r>
      <w:r w:rsidRPr="00674ABD">
        <w:rPr>
          <w:rFonts w:hint="cs"/>
          <w:sz w:val="24"/>
          <w:rtl/>
        </w:rPr>
        <w:t xml:space="preserve"> גובר הצורך בדיוק הקריטריונים בקרנות לניתוב הסיוע בהתאם למטרותיהן.</w:t>
      </w:r>
      <w:r>
        <w:rPr>
          <w:rFonts w:hint="cs"/>
          <w:rtl/>
        </w:rPr>
        <w:t xml:space="preserve"> </w:t>
      </w:r>
    </w:p>
    <w:p w:rsidR="00253C38" w:rsidP="00982BC1" w14:paraId="03B31ADB" w14:textId="2A3CDA1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F536DD" w:rsidP="00982BC1" w14:paraId="0919E475" w14:textId="77777777">
      <w:pPr>
        <w:spacing w:line="269" w:lineRule="auto"/>
        <w:rPr>
          <w:sz w:val="24"/>
          <w:rtl/>
        </w:rPr>
      </w:pPr>
      <w:r w:rsidRPr="00C56B30">
        <w:rPr>
          <w:rFonts w:hint="cs"/>
          <w:rtl/>
        </w:rPr>
        <w:t xml:space="preserve">לוח </w:t>
      </w:r>
      <w:r w:rsidRPr="00C56B30" w:rsidR="00C56B30">
        <w:rPr>
          <w:rFonts w:hint="cs"/>
          <w:rtl/>
        </w:rPr>
        <w:t>4</w:t>
      </w:r>
      <w:r w:rsidRPr="00C56B30">
        <w:rPr>
          <w:rFonts w:hint="cs"/>
          <w:rtl/>
        </w:rPr>
        <w:t xml:space="preserve"> להלן</w:t>
      </w:r>
      <w:r>
        <w:rPr>
          <w:rFonts w:hint="cs"/>
          <w:rtl/>
        </w:rPr>
        <w:t xml:space="preserve"> מציג את השינוי במחזורים המדווחים למס ערך מוסף (מע"ם) בהשוואה לתקופות המקבילות אשתקד</w:t>
      </w:r>
      <w:r>
        <w:rPr>
          <w:rStyle w:val="FootnoteReference"/>
          <w:rtl/>
        </w:rPr>
        <w:footnoteReference w:id="41"/>
      </w:r>
      <w:r>
        <w:rPr>
          <w:rFonts w:hint="cs"/>
          <w:rtl/>
        </w:rPr>
        <w:t xml:space="preserve">, ואת היחס בין שיעור הפגיעה לפי ענפי הפעילות מתוך מספר העוסקים בהשוואה להתפלגות הבקשות בקרן לעסקים קטנים ובינוניים, </w:t>
      </w:r>
      <w:r>
        <w:rPr>
          <w:rFonts w:hint="cs"/>
          <w:sz w:val="24"/>
          <w:rtl/>
        </w:rPr>
        <w:t>בחלוקה לפי הסיווג האחיד של ענפי הכלכלה</w:t>
      </w:r>
      <w:r>
        <w:rPr>
          <w:rStyle w:val="FootnoteReference"/>
          <w:sz w:val="24"/>
          <w:rtl/>
        </w:rPr>
        <w:footnoteReference w:id="42"/>
      </w:r>
      <w:r>
        <w:rPr>
          <w:rFonts w:hint="cs"/>
          <w:sz w:val="24"/>
          <w:rtl/>
        </w:rPr>
        <w:t>.</w:t>
      </w:r>
    </w:p>
    <w:p w:rsidR="00253C38" w:rsidP="00982BC1" w14:paraId="415E0604" w14:textId="20BCCCC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4F19930E" w14:textId="56AB45AA">
      <w:pPr>
        <w:spacing w:line="269" w:lineRule="auto"/>
        <w:jc w:val="center"/>
        <w:rPr>
          <w:b/>
          <w:bCs/>
          <w:rtl/>
        </w:rPr>
      </w:pPr>
      <w:r w:rsidRPr="00C56B30">
        <w:rPr>
          <w:rFonts w:hint="cs"/>
          <w:b/>
          <w:bCs/>
          <w:rtl/>
        </w:rPr>
        <w:t xml:space="preserve">לוח </w:t>
      </w:r>
      <w:r w:rsidRPr="00C56B30" w:rsidR="00C56B30">
        <w:rPr>
          <w:rFonts w:hint="cs"/>
          <w:b/>
          <w:bCs/>
          <w:rtl/>
        </w:rPr>
        <w:t>4</w:t>
      </w:r>
      <w:r w:rsidRPr="001C6911">
        <w:rPr>
          <w:b/>
          <w:bCs/>
          <w:rtl/>
        </w:rPr>
        <w:t>:</w:t>
      </w:r>
      <w:r w:rsidRPr="00C56B30">
        <w:rPr>
          <w:rFonts w:hint="cs"/>
          <w:rtl/>
        </w:rPr>
        <w:t xml:space="preserve"> </w:t>
      </w:r>
      <w:r w:rsidRPr="001C6911">
        <w:rPr>
          <w:rFonts w:hint="eastAsia"/>
          <w:b/>
          <w:bCs/>
          <w:rtl/>
        </w:rPr>
        <w:t>השינוי</w:t>
      </w:r>
      <w:r w:rsidRPr="001C6911">
        <w:rPr>
          <w:b/>
          <w:bCs/>
          <w:rtl/>
        </w:rPr>
        <w:t xml:space="preserve"> במחזורי </w:t>
      </w:r>
      <w:r w:rsidRPr="001C6911">
        <w:rPr>
          <w:rFonts w:hint="eastAsia"/>
          <w:b/>
          <w:bCs/>
          <w:rtl/>
        </w:rPr>
        <w:t>העסק</w:t>
      </w:r>
      <w:r w:rsidRPr="001C6911">
        <w:rPr>
          <w:rFonts w:hint="eastAsia"/>
          <w:b/>
          <w:bCs/>
          <w:rtl/>
        </w:rPr>
        <w:t>א</w:t>
      </w:r>
      <w:r w:rsidRPr="001C6911">
        <w:rPr>
          <w:rFonts w:hint="eastAsia"/>
          <w:b/>
          <w:bCs/>
          <w:rtl/>
        </w:rPr>
        <w:t>ות</w:t>
      </w:r>
      <w:r w:rsidRPr="001C6911">
        <w:rPr>
          <w:b/>
          <w:bCs/>
          <w:rtl/>
        </w:rPr>
        <w:t xml:space="preserve"> </w:t>
      </w:r>
      <w:r w:rsidRPr="001C6911">
        <w:rPr>
          <w:rFonts w:hint="eastAsia"/>
          <w:b/>
          <w:bCs/>
          <w:rtl/>
        </w:rPr>
        <w:t>ושיעור</w:t>
      </w:r>
      <w:r w:rsidRPr="001C6911">
        <w:rPr>
          <w:b/>
          <w:bCs/>
          <w:rtl/>
        </w:rPr>
        <w:t xml:space="preserve"> העוסקים ביחס להתפלגות הבקשות בקרן לעסקים קטנים ובינוניים, בחלוקה לענפי הפעילות, </w:t>
      </w:r>
      <w:r w:rsidRPr="008E6332">
        <w:rPr>
          <w:rFonts w:hint="cs"/>
          <w:b/>
          <w:bCs/>
          <w:rtl/>
        </w:rPr>
        <w:t>מרץ-אפריל ומאי-יוני 2020 בהשוואה לתקופות המקבילות אשתקד (</w:t>
      </w:r>
      <w:r w:rsidRPr="001C6911">
        <w:rPr>
          <w:rFonts w:hint="eastAsia"/>
          <w:b/>
          <w:bCs/>
          <w:rtl/>
        </w:rPr>
        <w:t>באחוזים</w:t>
      </w:r>
      <w:r w:rsidRPr="008E6332">
        <w:rPr>
          <w:rFonts w:hint="cs"/>
          <w:b/>
          <w:bCs/>
          <w:rtl/>
        </w:rPr>
        <w:t>)</w:t>
      </w:r>
      <w:r w:rsidR="007E23C5">
        <w:rPr>
          <w:rFonts w:hint="cs"/>
          <w:b/>
          <w:bCs/>
          <w:rtl/>
        </w:rPr>
        <w:t>*</w:t>
      </w:r>
    </w:p>
    <w:p w:rsidR="00253C38" w:rsidP="00982BC1" w14:paraId="232B647E" w14:textId="77777777">
      <w:pPr>
        <w:spacing w:line="269" w:lineRule="auto"/>
        <w:ind w:left="-1417"/>
        <w:jc w:val="center"/>
        <w:rPr>
          <w:rtl/>
        </w:rPr>
      </w:pPr>
      <w:r>
        <w:rPr>
          <w:noProof/>
        </w:rPr>
        <w:drawing>
          <wp:inline distT="0" distB="0" distL="0" distR="0">
            <wp:extent cx="7025640" cy="2866031"/>
            <wp:effectExtent l="0" t="0" r="381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89186" name=""/>
                    <pic:cNvPicPr/>
                  </pic:nvPicPr>
                  <pic:blipFill>
                    <a:blip xmlns:r="http://schemas.openxmlformats.org/officeDocument/2006/relationships" r:embed="rId32"/>
                    <a:stretch>
                      <a:fillRect/>
                    </a:stretch>
                  </pic:blipFill>
                  <pic:spPr>
                    <a:xfrm>
                      <a:off x="0" y="0"/>
                      <a:ext cx="7054784" cy="2877920"/>
                    </a:xfrm>
                    <a:prstGeom prst="rect">
                      <a:avLst/>
                    </a:prstGeom>
                  </pic:spPr>
                </pic:pic>
              </a:graphicData>
            </a:graphic>
          </wp:inline>
        </w:drawing>
      </w:r>
    </w:p>
    <w:p w:rsidR="00253C38" w:rsidRPr="00982BC1" w:rsidP="00982BC1" w14:paraId="52BAF889" w14:textId="77777777">
      <w:pPr>
        <w:spacing w:line="269" w:lineRule="auto"/>
        <w:rPr>
          <w:sz w:val="22"/>
          <w:szCs w:val="22"/>
          <w:rtl/>
        </w:rPr>
      </w:pPr>
      <w:r w:rsidRPr="00982BC1">
        <w:rPr>
          <w:rFonts w:hint="cs"/>
          <w:sz w:val="22"/>
          <w:szCs w:val="22"/>
          <w:rtl/>
        </w:rPr>
        <w:t>נתוני רשות המיסים והחשב הכללי, בעיבוד משרד מבקר המדינה.</w:t>
      </w:r>
    </w:p>
    <w:p w:rsidR="00253C38" w:rsidRPr="00982BC1" w:rsidP="00982BC1" w14:paraId="69DD738A" w14:textId="77777777">
      <w:pPr>
        <w:spacing w:line="269" w:lineRule="auto"/>
        <w:rPr>
          <w:sz w:val="22"/>
          <w:szCs w:val="22"/>
          <w:rtl/>
        </w:rPr>
      </w:pPr>
      <w:r w:rsidRPr="00982BC1">
        <w:rPr>
          <w:sz w:val="22"/>
          <w:szCs w:val="22"/>
          <w:rtl/>
        </w:rPr>
        <w:t xml:space="preserve">* </w:t>
      </w:r>
      <w:r w:rsidRPr="00982BC1">
        <w:rPr>
          <w:rFonts w:hint="eastAsia"/>
          <w:sz w:val="22"/>
          <w:szCs w:val="22"/>
          <w:rtl/>
        </w:rPr>
        <w:t>נכון</w:t>
      </w:r>
      <w:r w:rsidRPr="00982BC1">
        <w:rPr>
          <w:sz w:val="22"/>
          <w:szCs w:val="22"/>
          <w:rtl/>
        </w:rPr>
        <w:t xml:space="preserve"> </w:t>
      </w:r>
      <w:r w:rsidRPr="00982BC1">
        <w:rPr>
          <w:rFonts w:hint="eastAsia"/>
          <w:sz w:val="22"/>
          <w:szCs w:val="22"/>
          <w:rtl/>
        </w:rPr>
        <w:t>לסוף</w:t>
      </w:r>
      <w:r w:rsidRPr="00982BC1">
        <w:rPr>
          <w:sz w:val="22"/>
          <w:szCs w:val="22"/>
          <w:rtl/>
        </w:rPr>
        <w:t xml:space="preserve"> </w:t>
      </w:r>
      <w:r w:rsidRPr="00982BC1">
        <w:rPr>
          <w:rFonts w:hint="eastAsia"/>
          <w:sz w:val="22"/>
          <w:szCs w:val="22"/>
          <w:rtl/>
        </w:rPr>
        <w:t>חודש</w:t>
      </w:r>
      <w:r w:rsidRPr="00982BC1">
        <w:rPr>
          <w:sz w:val="22"/>
          <w:szCs w:val="22"/>
          <w:rtl/>
        </w:rPr>
        <w:t xml:space="preserve"> </w:t>
      </w:r>
      <w:r w:rsidRPr="00982BC1">
        <w:rPr>
          <w:rFonts w:hint="eastAsia"/>
          <w:sz w:val="22"/>
          <w:szCs w:val="22"/>
          <w:rtl/>
        </w:rPr>
        <w:t>יוני</w:t>
      </w:r>
      <w:r w:rsidRPr="00982BC1">
        <w:rPr>
          <w:sz w:val="22"/>
          <w:szCs w:val="22"/>
          <w:rtl/>
        </w:rPr>
        <w:t xml:space="preserve"> 2020.</w:t>
      </w:r>
    </w:p>
    <w:p w:rsidR="00253C38" w:rsidRPr="00EA239C" w:rsidP="00982BC1" w14:paraId="6FA651D1" w14:textId="3B294F2B">
      <w:pPr>
        <w:pStyle w:val="a"/>
        <w:spacing w:line="269" w:lineRule="auto"/>
        <w:rPr>
          <w:rtl/>
        </w:rPr>
      </w:pPr>
      <w:r w:rsidRPr="00EA239C">
        <w:rPr>
          <w:rtl/>
        </w:rPr>
        <w:fldChar w:fldCharType="begin"/>
      </w:r>
      <w:r w:rsidRPr="00EA239C">
        <w:rPr>
          <w:rtl/>
        </w:rPr>
        <w:instrText xml:space="preserve"> </w:instrText>
      </w:r>
      <w:r w:rsidRPr="00EA239C">
        <w:instrText>AUTONUMLGL \e  \* MERGEFORMAT</w:instrText>
      </w:r>
      <w:r w:rsidRPr="00EA239C">
        <w:rPr>
          <w:rtl/>
        </w:rPr>
        <w:instrText xml:space="preserve"> </w:instrText>
      </w:r>
      <w:r w:rsidRPr="00EA239C">
        <w:rPr>
          <w:rtl/>
        </w:rPr>
        <w:fldChar w:fldCharType="end"/>
      </w:r>
    </w:p>
    <w:p w:rsidR="00253C38" w:rsidRPr="00F35119" w:rsidP="00982BC1" w14:paraId="5A9DB337" w14:textId="77777777">
      <w:pPr>
        <w:spacing w:line="269" w:lineRule="auto"/>
        <w:rPr>
          <w:b/>
          <w:bCs/>
          <w:rtl/>
        </w:rPr>
      </w:pPr>
      <w:r w:rsidRPr="00C56B30">
        <w:rPr>
          <w:rFonts w:hint="eastAsia"/>
          <w:b/>
          <w:bCs/>
          <w:rtl/>
        </w:rPr>
        <w:t>מ</w:t>
      </w:r>
      <w:r w:rsidRPr="00C56B30" w:rsidR="00E345EA">
        <w:rPr>
          <w:rFonts w:hint="cs"/>
          <w:b/>
          <w:bCs/>
          <w:rtl/>
        </w:rPr>
        <w:t xml:space="preserve">לוח </w:t>
      </w:r>
      <w:r w:rsidRPr="00C56B30" w:rsidR="00C56B30">
        <w:rPr>
          <w:rFonts w:hint="cs"/>
          <w:b/>
          <w:bCs/>
          <w:rtl/>
        </w:rPr>
        <w:t>4</w:t>
      </w:r>
      <w:r w:rsidRPr="00C56B30">
        <w:rPr>
          <w:b/>
          <w:bCs/>
          <w:rtl/>
        </w:rPr>
        <w:t xml:space="preserve"> </w:t>
      </w:r>
      <w:r w:rsidRPr="00C56B30">
        <w:rPr>
          <w:rFonts w:hint="eastAsia"/>
          <w:b/>
          <w:bCs/>
          <w:rtl/>
        </w:rPr>
        <w:t>עולה</w:t>
      </w:r>
      <w:r w:rsidRPr="00F35119">
        <w:rPr>
          <w:b/>
          <w:bCs/>
          <w:rtl/>
        </w:rPr>
        <w:t xml:space="preserve"> </w:t>
      </w:r>
      <w:r w:rsidRPr="00F35119">
        <w:rPr>
          <w:rFonts w:hint="eastAsia"/>
          <w:b/>
          <w:bCs/>
          <w:rtl/>
        </w:rPr>
        <w:t>כי</w:t>
      </w:r>
      <w:r w:rsidRPr="00F35119">
        <w:rPr>
          <w:b/>
          <w:bCs/>
          <w:rtl/>
        </w:rPr>
        <w:t xml:space="preserve"> </w:t>
      </w:r>
      <w:r w:rsidRPr="00F35119">
        <w:rPr>
          <w:rFonts w:hint="eastAsia"/>
          <w:b/>
          <w:bCs/>
          <w:rtl/>
        </w:rPr>
        <w:t>הפגיעה</w:t>
      </w:r>
      <w:r>
        <w:rPr>
          <w:rFonts w:hint="cs"/>
          <w:b/>
          <w:bCs/>
          <w:rtl/>
        </w:rPr>
        <w:t xml:space="preserve"> העיקרית</w:t>
      </w:r>
      <w:r w:rsidRPr="00F35119">
        <w:rPr>
          <w:b/>
          <w:bCs/>
          <w:rtl/>
        </w:rPr>
        <w:t xml:space="preserve"> </w:t>
      </w:r>
      <w:r w:rsidRPr="00F35119">
        <w:rPr>
          <w:rFonts w:hint="eastAsia"/>
          <w:b/>
          <w:bCs/>
          <w:rtl/>
        </w:rPr>
        <w:t>אירעה</w:t>
      </w:r>
      <w:r w:rsidRPr="00F35119">
        <w:rPr>
          <w:b/>
          <w:bCs/>
          <w:rtl/>
        </w:rPr>
        <w:t xml:space="preserve"> </w:t>
      </w:r>
      <w:r w:rsidRPr="00F35119">
        <w:rPr>
          <w:rFonts w:hint="eastAsia"/>
          <w:b/>
          <w:bCs/>
          <w:rtl/>
        </w:rPr>
        <w:t>בענף</w:t>
      </w:r>
      <w:r w:rsidRPr="00F35119">
        <w:rPr>
          <w:b/>
          <w:bCs/>
          <w:rtl/>
        </w:rPr>
        <w:t xml:space="preserve"> </w:t>
      </w:r>
      <w:r>
        <w:rPr>
          <w:rFonts w:hint="cs"/>
          <w:b/>
          <w:bCs/>
          <w:rtl/>
        </w:rPr>
        <w:t>ה</w:t>
      </w:r>
      <w:r w:rsidRPr="00F35119">
        <w:rPr>
          <w:b/>
          <w:bCs/>
          <w:rtl/>
        </w:rPr>
        <w:t>אירוח ו</w:t>
      </w:r>
      <w:r>
        <w:rPr>
          <w:rFonts w:hint="cs"/>
          <w:b/>
          <w:bCs/>
          <w:rtl/>
        </w:rPr>
        <w:t>ה</w:t>
      </w:r>
      <w:r w:rsidRPr="00F35119">
        <w:rPr>
          <w:b/>
          <w:bCs/>
          <w:rtl/>
        </w:rPr>
        <w:t xml:space="preserve">אוכל, בענף </w:t>
      </w:r>
      <w:r>
        <w:rPr>
          <w:rFonts w:hint="cs"/>
          <w:b/>
          <w:bCs/>
          <w:rtl/>
        </w:rPr>
        <w:t>ה</w:t>
      </w:r>
      <w:r w:rsidRPr="00F35119">
        <w:rPr>
          <w:rFonts w:hint="eastAsia"/>
          <w:b/>
          <w:bCs/>
          <w:rtl/>
        </w:rPr>
        <w:t>א</w:t>
      </w:r>
      <w:r>
        <w:rPr>
          <w:rFonts w:hint="cs"/>
          <w:b/>
          <w:bCs/>
          <w:rtl/>
        </w:rPr>
        <w:t>ו</w:t>
      </w:r>
      <w:r w:rsidRPr="00F35119">
        <w:rPr>
          <w:rFonts w:hint="eastAsia"/>
          <w:b/>
          <w:bCs/>
          <w:rtl/>
        </w:rPr>
        <w:t>מנות</w:t>
      </w:r>
      <w:r w:rsidRPr="00F35119">
        <w:rPr>
          <w:b/>
          <w:bCs/>
          <w:rtl/>
        </w:rPr>
        <w:t xml:space="preserve"> </w:t>
      </w:r>
      <w:r w:rsidRPr="00F35119">
        <w:rPr>
          <w:rFonts w:hint="eastAsia"/>
          <w:b/>
          <w:bCs/>
          <w:rtl/>
        </w:rPr>
        <w:t>ו</w:t>
      </w:r>
      <w:r>
        <w:rPr>
          <w:rFonts w:hint="cs"/>
          <w:b/>
          <w:bCs/>
          <w:rtl/>
        </w:rPr>
        <w:t>ה</w:t>
      </w:r>
      <w:r w:rsidRPr="00F35119">
        <w:rPr>
          <w:rFonts w:hint="eastAsia"/>
          <w:b/>
          <w:bCs/>
          <w:rtl/>
        </w:rPr>
        <w:t>בידור</w:t>
      </w:r>
      <w:r w:rsidRPr="00F35119">
        <w:rPr>
          <w:b/>
          <w:bCs/>
          <w:rtl/>
        </w:rPr>
        <w:t xml:space="preserve"> </w:t>
      </w:r>
      <w:r w:rsidRPr="00F35119">
        <w:rPr>
          <w:rFonts w:hint="eastAsia"/>
          <w:b/>
          <w:bCs/>
          <w:rtl/>
        </w:rPr>
        <w:t>ובענף</w:t>
      </w:r>
      <w:r w:rsidRPr="00F35119">
        <w:rPr>
          <w:b/>
          <w:bCs/>
          <w:rtl/>
        </w:rPr>
        <w:t xml:space="preserve"> </w:t>
      </w:r>
      <w:r>
        <w:rPr>
          <w:rFonts w:hint="cs"/>
          <w:b/>
          <w:bCs/>
          <w:rtl/>
        </w:rPr>
        <w:t>ה</w:t>
      </w:r>
      <w:r w:rsidRPr="00F35119">
        <w:rPr>
          <w:rFonts w:hint="eastAsia"/>
          <w:b/>
          <w:bCs/>
          <w:rtl/>
        </w:rPr>
        <w:t>חינוך</w:t>
      </w:r>
      <w:r w:rsidRPr="00F35119">
        <w:rPr>
          <w:b/>
          <w:bCs/>
          <w:rtl/>
        </w:rPr>
        <w:t xml:space="preserve">. </w:t>
      </w:r>
      <w:r w:rsidRPr="00F35119">
        <w:rPr>
          <w:rFonts w:hint="eastAsia"/>
          <w:b/>
          <w:bCs/>
          <w:rtl/>
        </w:rPr>
        <w:t>עם</w:t>
      </w:r>
      <w:r w:rsidRPr="00F35119">
        <w:rPr>
          <w:b/>
          <w:bCs/>
          <w:rtl/>
        </w:rPr>
        <w:t xml:space="preserve"> זאת, נמצא </w:t>
      </w:r>
      <w:r w:rsidRPr="00F35119">
        <w:rPr>
          <w:rFonts w:hint="eastAsia"/>
          <w:b/>
          <w:bCs/>
          <w:rtl/>
        </w:rPr>
        <w:t>כי</w:t>
      </w:r>
      <w:r w:rsidRPr="00F35119">
        <w:rPr>
          <w:b/>
          <w:bCs/>
          <w:rtl/>
        </w:rPr>
        <w:t xml:space="preserve"> בחלק מענפי הפעילות שחוו פגיעה משמעותית</w:t>
      </w:r>
      <w:r>
        <w:rPr>
          <w:rFonts w:hint="cs"/>
          <w:b/>
          <w:bCs/>
          <w:rtl/>
        </w:rPr>
        <w:t xml:space="preserve"> </w:t>
      </w:r>
      <w:r w:rsidRPr="00F35119">
        <w:rPr>
          <w:b/>
          <w:bCs/>
          <w:rtl/>
        </w:rPr>
        <w:t>תועד שיעור בקשות נמוך ב</w:t>
      </w:r>
      <w:r>
        <w:rPr>
          <w:rFonts w:hint="cs"/>
          <w:b/>
          <w:bCs/>
          <w:rtl/>
        </w:rPr>
        <w:t xml:space="preserve">השוואה </w:t>
      </w:r>
      <w:r w:rsidRPr="00F35119">
        <w:rPr>
          <w:b/>
          <w:bCs/>
          <w:rtl/>
        </w:rPr>
        <w:t xml:space="preserve">לחלקם </w:t>
      </w:r>
      <w:r>
        <w:rPr>
          <w:rFonts w:hint="cs"/>
          <w:b/>
          <w:bCs/>
          <w:rtl/>
        </w:rPr>
        <w:t>היחסי</w:t>
      </w:r>
      <w:r w:rsidRPr="00F35119">
        <w:rPr>
          <w:b/>
          <w:bCs/>
          <w:rtl/>
        </w:rPr>
        <w:t xml:space="preserve"> </w:t>
      </w:r>
      <w:r>
        <w:rPr>
          <w:rFonts w:hint="cs"/>
          <w:b/>
          <w:bCs/>
          <w:rtl/>
        </w:rPr>
        <w:t xml:space="preserve">מתוך </w:t>
      </w:r>
      <w:r w:rsidRPr="00F35119">
        <w:rPr>
          <w:b/>
          <w:bCs/>
          <w:rtl/>
        </w:rPr>
        <w:t>כמות העוסקים, וב</w:t>
      </w:r>
      <w:r w:rsidRPr="00F35119">
        <w:rPr>
          <w:rFonts w:hint="eastAsia"/>
          <w:b/>
          <w:bCs/>
          <w:rtl/>
        </w:rPr>
        <w:t>כלל</w:t>
      </w:r>
      <w:r w:rsidR="00E345EA">
        <w:rPr>
          <w:b/>
          <w:bCs/>
          <w:rtl/>
        </w:rPr>
        <w:t xml:space="preserve"> זה בענ</w:t>
      </w:r>
      <w:r w:rsidR="00E345EA">
        <w:rPr>
          <w:rFonts w:hint="cs"/>
          <w:b/>
          <w:bCs/>
          <w:rtl/>
        </w:rPr>
        <w:t>ף</w:t>
      </w:r>
      <w:r w:rsidRPr="00F35119">
        <w:rPr>
          <w:b/>
          <w:bCs/>
          <w:rtl/>
        </w:rPr>
        <w:t xml:space="preserve"> </w:t>
      </w:r>
      <w:r w:rsidR="00E345EA">
        <w:rPr>
          <w:rFonts w:hint="cs"/>
          <w:b/>
          <w:bCs/>
          <w:rtl/>
        </w:rPr>
        <w:t>ה</w:t>
      </w:r>
      <w:r w:rsidRPr="00F35119">
        <w:rPr>
          <w:b/>
          <w:bCs/>
          <w:rtl/>
        </w:rPr>
        <w:t>א</w:t>
      </w:r>
      <w:r>
        <w:rPr>
          <w:rFonts w:hint="cs"/>
          <w:b/>
          <w:bCs/>
          <w:rtl/>
        </w:rPr>
        <w:t>ו</w:t>
      </w:r>
      <w:r w:rsidRPr="00F35119">
        <w:rPr>
          <w:b/>
          <w:bCs/>
          <w:rtl/>
        </w:rPr>
        <w:t>מנות</w:t>
      </w:r>
      <w:r w:rsidR="00E345EA">
        <w:rPr>
          <w:b/>
          <w:bCs/>
          <w:rtl/>
        </w:rPr>
        <w:t xml:space="preserve"> </w:t>
      </w:r>
      <w:r w:rsidR="00E345EA">
        <w:rPr>
          <w:rFonts w:hint="cs"/>
          <w:b/>
          <w:bCs/>
          <w:rtl/>
        </w:rPr>
        <w:t>וה</w:t>
      </w:r>
      <w:r w:rsidRPr="00F35119">
        <w:rPr>
          <w:b/>
          <w:bCs/>
          <w:rtl/>
        </w:rPr>
        <w:t>בידור ו</w:t>
      </w:r>
      <w:r w:rsidR="00E345EA">
        <w:rPr>
          <w:rFonts w:hint="cs"/>
          <w:b/>
          <w:bCs/>
          <w:rtl/>
        </w:rPr>
        <w:t xml:space="preserve">בענף </w:t>
      </w:r>
      <w:r w:rsidRPr="00F35119">
        <w:rPr>
          <w:b/>
          <w:bCs/>
          <w:rtl/>
        </w:rPr>
        <w:t xml:space="preserve">החינוך. </w:t>
      </w:r>
    </w:p>
    <w:p w:rsidR="00253C38" w:rsidRPr="005C2BA7" w:rsidP="00982BC1" w14:paraId="6EF11B38" w14:textId="59FB9CDF">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32AE362B" w14:textId="77777777">
      <w:pPr>
        <w:spacing w:line="269" w:lineRule="auto"/>
        <w:rPr>
          <w:sz w:val="24"/>
          <w:rtl/>
        </w:rPr>
      </w:pPr>
      <w:r>
        <w:rPr>
          <w:rFonts w:hint="cs"/>
          <w:sz w:val="24"/>
          <w:rtl/>
        </w:rPr>
        <w:t xml:space="preserve">תרשים </w:t>
      </w:r>
      <w:r w:rsidR="00E345EA">
        <w:rPr>
          <w:rFonts w:hint="cs"/>
          <w:sz w:val="24"/>
          <w:rtl/>
        </w:rPr>
        <w:t>26</w:t>
      </w:r>
      <w:r>
        <w:rPr>
          <w:rFonts w:hint="cs"/>
          <w:sz w:val="24"/>
          <w:rtl/>
        </w:rPr>
        <w:t xml:space="preserve"> להלן מציג את שיעור הבקשות שאושרו במסגרת הקרן לעסקים קטנים ובינוניים לפי הסיווג האחיד של ענפי הכלכלה.</w:t>
      </w:r>
    </w:p>
    <w:p w:rsidR="00982BC1" w14:paraId="0578E932" w14:textId="77777777">
      <w:pPr>
        <w:bidi w:val="0"/>
        <w:spacing w:after="200" w:line="276" w:lineRule="auto"/>
        <w:rPr>
          <w:szCs w:val="20"/>
          <w:rtl/>
        </w:rPr>
      </w:pPr>
      <w:r>
        <w:rPr>
          <w:rtl/>
        </w:rPr>
        <w:br w:type="page"/>
      </w:r>
    </w:p>
    <w:p w:rsidR="00044584" w:rsidP="00982BC1" w14:paraId="6060EF27" w14:textId="7BC9BD8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01C39BB7" w14:textId="77777777">
      <w:pPr>
        <w:spacing w:line="269" w:lineRule="auto"/>
        <w:jc w:val="center"/>
        <w:rPr>
          <w:b/>
          <w:bCs/>
          <w:rtl/>
        </w:rPr>
      </w:pPr>
      <w:r w:rsidRPr="001C6911">
        <w:rPr>
          <w:rFonts w:hint="eastAsia"/>
          <w:b/>
          <w:bCs/>
          <w:rtl/>
        </w:rPr>
        <w:t>תרשים</w:t>
      </w:r>
      <w:r w:rsidRPr="001C6911">
        <w:rPr>
          <w:b/>
          <w:bCs/>
          <w:rtl/>
        </w:rPr>
        <w:t xml:space="preserve"> </w:t>
      </w:r>
      <w:r w:rsidR="00E345EA">
        <w:rPr>
          <w:rFonts w:hint="cs"/>
          <w:b/>
          <w:bCs/>
          <w:rtl/>
        </w:rPr>
        <w:t>26</w:t>
      </w:r>
      <w:r w:rsidRPr="001C6911">
        <w:rPr>
          <w:b/>
          <w:bCs/>
          <w:rtl/>
        </w:rPr>
        <w:t xml:space="preserve">: </w:t>
      </w:r>
      <w:r w:rsidRPr="001C6911">
        <w:rPr>
          <w:rFonts w:hint="eastAsia"/>
          <w:b/>
          <w:bCs/>
          <w:rtl/>
        </w:rPr>
        <w:t>שיעור</w:t>
      </w:r>
      <w:r w:rsidRPr="001C6911">
        <w:rPr>
          <w:b/>
          <w:bCs/>
          <w:rtl/>
        </w:rPr>
        <w:t xml:space="preserve"> </w:t>
      </w:r>
      <w:r w:rsidRPr="001C6911">
        <w:rPr>
          <w:rFonts w:hint="eastAsia"/>
          <w:b/>
          <w:bCs/>
          <w:rtl/>
        </w:rPr>
        <w:t>הבקשות</w:t>
      </w:r>
      <w:r w:rsidRPr="001C6911">
        <w:rPr>
          <w:b/>
          <w:bCs/>
          <w:rtl/>
        </w:rPr>
        <w:t xml:space="preserve"> שהוגשו, שיעור הבקשות שאושרו ושיעור הסכום המאושר הממוצע בקרן לעסקים קטנים ובינוניים, </w:t>
      </w:r>
      <w:r w:rsidRPr="001C6911">
        <w:rPr>
          <w:rFonts w:hint="eastAsia"/>
          <w:b/>
          <w:bCs/>
          <w:rtl/>
        </w:rPr>
        <w:t>בחלוקה</w:t>
      </w:r>
      <w:r w:rsidRPr="001C6911">
        <w:rPr>
          <w:b/>
          <w:bCs/>
          <w:rtl/>
        </w:rPr>
        <w:t xml:space="preserve"> </w:t>
      </w:r>
      <w:r w:rsidRPr="001C6911">
        <w:rPr>
          <w:rFonts w:hint="eastAsia"/>
          <w:b/>
          <w:bCs/>
          <w:rtl/>
        </w:rPr>
        <w:t>לענפי</w:t>
      </w:r>
      <w:r w:rsidRPr="001C6911">
        <w:rPr>
          <w:b/>
          <w:bCs/>
          <w:rtl/>
        </w:rPr>
        <w:t xml:space="preserve"> </w:t>
      </w:r>
      <w:r w:rsidRPr="001C6911">
        <w:rPr>
          <w:rFonts w:hint="eastAsia"/>
          <w:b/>
          <w:bCs/>
          <w:rtl/>
        </w:rPr>
        <w:t>הכלכלה</w:t>
      </w:r>
      <w:r w:rsidRPr="001C6911">
        <w:rPr>
          <w:b/>
          <w:bCs/>
          <w:rtl/>
        </w:rPr>
        <w:t xml:space="preserve">, </w:t>
      </w:r>
      <w:r>
        <w:rPr>
          <w:rFonts w:hint="cs"/>
          <w:b/>
          <w:bCs/>
          <w:rtl/>
        </w:rPr>
        <w:t>(</w:t>
      </w:r>
      <w:r w:rsidRPr="001C6911">
        <w:rPr>
          <w:rFonts w:hint="eastAsia"/>
          <w:b/>
          <w:bCs/>
          <w:rtl/>
        </w:rPr>
        <w:t>באחוזים</w:t>
      </w:r>
      <w:r>
        <w:rPr>
          <w:rFonts w:hint="cs"/>
          <w:b/>
          <w:bCs/>
          <w:rtl/>
        </w:rPr>
        <w:t>)</w:t>
      </w:r>
    </w:p>
    <w:p w:rsidR="00253C38" w:rsidP="00982BC1" w14:paraId="48396836" w14:textId="77777777">
      <w:pPr>
        <w:spacing w:line="269" w:lineRule="auto"/>
        <w:ind w:left="-1417"/>
        <w:jc w:val="center"/>
        <w:rPr>
          <w:noProof/>
          <w:rtl/>
        </w:rPr>
      </w:pPr>
      <w:r>
        <w:rPr>
          <w:noProof/>
        </w:rPr>
        <w:drawing>
          <wp:inline distT="0" distB="0" distL="0" distR="0">
            <wp:extent cx="6992651" cy="4622474"/>
            <wp:effectExtent l="0" t="0" r="0" b="6985"/>
            <wp:docPr id="1743882408"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59192" name=""/>
                    <pic:cNvPicPr/>
                  </pic:nvPicPr>
                  <pic:blipFill>
                    <a:blip xmlns:r="http://schemas.openxmlformats.org/officeDocument/2006/relationships" r:embed="rId33"/>
                    <a:stretch>
                      <a:fillRect/>
                    </a:stretch>
                  </pic:blipFill>
                  <pic:spPr>
                    <a:xfrm>
                      <a:off x="0" y="0"/>
                      <a:ext cx="7028126" cy="4645925"/>
                    </a:xfrm>
                    <a:prstGeom prst="rect">
                      <a:avLst/>
                    </a:prstGeom>
                  </pic:spPr>
                </pic:pic>
              </a:graphicData>
            </a:graphic>
          </wp:inline>
        </w:drawing>
      </w:r>
    </w:p>
    <w:p w:rsidR="00253C38" w:rsidRPr="00982BC1" w:rsidP="00982BC1" w14:paraId="5D5FCA51" w14:textId="77777777">
      <w:pPr>
        <w:spacing w:line="269" w:lineRule="auto"/>
        <w:rPr>
          <w:sz w:val="22"/>
          <w:szCs w:val="22"/>
          <w:rtl/>
        </w:rPr>
      </w:pPr>
      <w:r w:rsidRPr="00982BC1">
        <w:rPr>
          <w:rFonts w:hint="cs"/>
          <w:sz w:val="22"/>
          <w:szCs w:val="22"/>
          <w:rtl/>
        </w:rPr>
        <w:t>נתוני החשכ"ל, בעיבוד משרד מבקר המדינה.</w:t>
      </w:r>
    </w:p>
    <w:p w:rsidR="00253C38" w:rsidP="00982BC1" w14:paraId="3EE16915" w14:textId="00341B82">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RPr="00CB2B65" w:rsidP="00982BC1" w14:paraId="6889146E" w14:textId="77777777">
      <w:pPr>
        <w:spacing w:line="269" w:lineRule="auto"/>
        <w:rPr>
          <w:b/>
          <w:bCs/>
          <w:sz w:val="24"/>
          <w:rtl/>
        </w:rPr>
      </w:pPr>
      <w:r w:rsidRPr="00CB2B65">
        <w:rPr>
          <w:rFonts w:hint="eastAsia"/>
          <w:b/>
          <w:bCs/>
          <w:sz w:val="24"/>
          <w:rtl/>
        </w:rPr>
        <w:t>מתרשים</w:t>
      </w:r>
      <w:r>
        <w:rPr>
          <w:rFonts w:hint="cs"/>
          <w:b/>
          <w:bCs/>
          <w:sz w:val="24"/>
          <w:rtl/>
        </w:rPr>
        <w:t xml:space="preserve"> </w:t>
      </w:r>
      <w:r w:rsidR="00E345EA">
        <w:rPr>
          <w:rFonts w:hint="cs"/>
          <w:b/>
          <w:bCs/>
          <w:sz w:val="24"/>
          <w:rtl/>
        </w:rPr>
        <w:t>26</w:t>
      </w:r>
      <w:r w:rsidRPr="00CB2B65">
        <w:rPr>
          <w:b/>
          <w:bCs/>
          <w:sz w:val="24"/>
          <w:rtl/>
        </w:rPr>
        <w:t xml:space="preserve"> ניכר </w:t>
      </w:r>
      <w:r w:rsidRPr="00CB2B65">
        <w:rPr>
          <w:rFonts w:hint="eastAsia"/>
          <w:b/>
          <w:bCs/>
          <w:sz w:val="24"/>
          <w:rtl/>
        </w:rPr>
        <w:t>פער</w:t>
      </w:r>
      <w:r w:rsidRPr="00CB2B65">
        <w:rPr>
          <w:b/>
          <w:bCs/>
          <w:sz w:val="24"/>
          <w:rtl/>
        </w:rPr>
        <w:t xml:space="preserve"> בשיעור האישור הענפי</w:t>
      </w:r>
      <w:r>
        <w:rPr>
          <w:rFonts w:hint="cs"/>
          <w:b/>
          <w:bCs/>
          <w:sz w:val="24"/>
          <w:rtl/>
        </w:rPr>
        <w:t xml:space="preserve"> של מספר הבקשות (שיעור האישור הענפי נאמד ב-42% - 67%)</w:t>
      </w:r>
      <w:r w:rsidRPr="00CB2B65">
        <w:rPr>
          <w:b/>
          <w:bCs/>
          <w:sz w:val="24"/>
          <w:rtl/>
        </w:rPr>
        <w:t xml:space="preserve">, </w:t>
      </w:r>
      <w:r w:rsidRPr="00CB2B65">
        <w:rPr>
          <w:rFonts w:hint="eastAsia"/>
          <w:b/>
          <w:bCs/>
          <w:sz w:val="24"/>
          <w:rtl/>
        </w:rPr>
        <w:t>אם</w:t>
      </w:r>
      <w:r w:rsidRPr="00CB2B65">
        <w:rPr>
          <w:b/>
          <w:bCs/>
          <w:sz w:val="24"/>
          <w:rtl/>
        </w:rPr>
        <w:t xml:space="preserve"> </w:t>
      </w:r>
      <w:r w:rsidRPr="00CB2B65">
        <w:rPr>
          <w:rFonts w:hint="eastAsia"/>
          <w:b/>
          <w:bCs/>
          <w:sz w:val="24"/>
          <w:rtl/>
        </w:rPr>
        <w:t>כי</w:t>
      </w:r>
      <w:r w:rsidRPr="00CB2B65">
        <w:rPr>
          <w:b/>
          <w:bCs/>
          <w:sz w:val="24"/>
          <w:rtl/>
        </w:rPr>
        <w:t xml:space="preserve"> בבחינת ממוצע שיעור הסכום המאושר הפער בין הענפים מצטמצם</w:t>
      </w:r>
      <w:r>
        <w:rPr>
          <w:rFonts w:hint="cs"/>
          <w:b/>
          <w:bCs/>
          <w:sz w:val="24"/>
          <w:rtl/>
        </w:rPr>
        <w:t xml:space="preserve"> (טווח שיעור הסכום המאושר נאמד ב-61% - 73%)</w:t>
      </w:r>
      <w:r w:rsidRPr="00CB2B65">
        <w:rPr>
          <w:b/>
          <w:bCs/>
          <w:sz w:val="24"/>
          <w:rtl/>
        </w:rPr>
        <w:t xml:space="preserve">. </w:t>
      </w:r>
      <w:r w:rsidRPr="00CB2B65">
        <w:rPr>
          <w:rFonts w:hint="eastAsia"/>
          <w:b/>
          <w:bCs/>
          <w:sz w:val="24"/>
          <w:rtl/>
        </w:rPr>
        <w:t>בשלושת</w:t>
      </w:r>
      <w:r w:rsidRPr="00CB2B65">
        <w:rPr>
          <w:b/>
          <w:bCs/>
          <w:sz w:val="24"/>
          <w:rtl/>
        </w:rPr>
        <w:t xml:space="preserve"> ענפי הפעילות שחוו את עיקר הפגיעה במחזור העסקאות, לפי נתוני רשות ה</w:t>
      </w:r>
      <w:r>
        <w:rPr>
          <w:b/>
          <w:bCs/>
          <w:sz w:val="24"/>
          <w:rtl/>
        </w:rPr>
        <w:t>מיסים</w:t>
      </w:r>
      <w:r w:rsidRPr="00CB2B65">
        <w:rPr>
          <w:b/>
          <w:bCs/>
          <w:sz w:val="24"/>
          <w:rtl/>
        </w:rPr>
        <w:t>, תועדו שיעורי אישור</w:t>
      </w:r>
      <w:r>
        <w:rPr>
          <w:rFonts w:hint="cs"/>
          <w:b/>
          <w:bCs/>
          <w:sz w:val="24"/>
          <w:rtl/>
        </w:rPr>
        <w:t xml:space="preserve"> של מספר בקשות</w:t>
      </w:r>
      <w:r w:rsidRPr="00CB2B65">
        <w:rPr>
          <w:b/>
          <w:bCs/>
          <w:sz w:val="24"/>
          <w:rtl/>
        </w:rPr>
        <w:t xml:space="preserve"> נמוכים מהממוצע. בענף א</w:t>
      </w:r>
      <w:r>
        <w:rPr>
          <w:rFonts w:hint="cs"/>
          <w:b/>
          <w:bCs/>
          <w:sz w:val="24"/>
          <w:rtl/>
        </w:rPr>
        <w:t>ו</w:t>
      </w:r>
      <w:r w:rsidRPr="00CB2B65">
        <w:rPr>
          <w:b/>
          <w:bCs/>
          <w:sz w:val="24"/>
          <w:rtl/>
        </w:rPr>
        <w:t xml:space="preserve">מנות, בידור ופנאי </w:t>
      </w:r>
      <w:r>
        <w:rPr>
          <w:rFonts w:hint="cs"/>
          <w:b/>
          <w:bCs/>
          <w:sz w:val="24"/>
          <w:rtl/>
        </w:rPr>
        <w:t xml:space="preserve">היה </w:t>
      </w:r>
      <w:r w:rsidRPr="00CB2B65">
        <w:rPr>
          <w:b/>
          <w:bCs/>
          <w:sz w:val="24"/>
          <w:rtl/>
        </w:rPr>
        <w:t>שיעור האישורים</w:t>
      </w:r>
      <w:r>
        <w:rPr>
          <w:rFonts w:hint="cs"/>
          <w:b/>
          <w:bCs/>
          <w:sz w:val="24"/>
          <w:rtl/>
        </w:rPr>
        <w:t xml:space="preserve"> של מספר הבקשות</w:t>
      </w:r>
      <w:r w:rsidRPr="00CB2B65">
        <w:rPr>
          <w:b/>
          <w:bCs/>
          <w:sz w:val="24"/>
          <w:rtl/>
        </w:rPr>
        <w:t xml:space="preserve"> הנמוך</w:t>
      </w:r>
      <w:r>
        <w:rPr>
          <w:rFonts w:hint="cs"/>
          <w:b/>
          <w:bCs/>
          <w:sz w:val="24"/>
          <w:rtl/>
        </w:rPr>
        <w:t xml:space="preserve"> ביותר</w:t>
      </w:r>
      <w:r w:rsidRPr="00CB2B65">
        <w:rPr>
          <w:b/>
          <w:bCs/>
          <w:sz w:val="24"/>
          <w:rtl/>
        </w:rPr>
        <w:t xml:space="preserve"> מבין ענפי הפעילות, </w:t>
      </w:r>
      <w:r>
        <w:rPr>
          <w:rFonts w:hint="cs"/>
          <w:b/>
          <w:bCs/>
          <w:sz w:val="24"/>
          <w:rtl/>
        </w:rPr>
        <w:t>ואולם</w:t>
      </w:r>
      <w:r w:rsidRPr="00CB2B65">
        <w:rPr>
          <w:b/>
          <w:bCs/>
          <w:sz w:val="24"/>
          <w:rtl/>
        </w:rPr>
        <w:t xml:space="preserve"> ממוצע שיעור הסכום המאושר בו נמנה </w:t>
      </w:r>
      <w:r>
        <w:rPr>
          <w:rFonts w:hint="cs"/>
          <w:b/>
          <w:bCs/>
          <w:sz w:val="24"/>
          <w:rtl/>
        </w:rPr>
        <w:t xml:space="preserve">עם </w:t>
      </w:r>
      <w:r w:rsidRPr="00CB2B65">
        <w:rPr>
          <w:b/>
          <w:bCs/>
          <w:sz w:val="24"/>
          <w:rtl/>
        </w:rPr>
        <w:t>הגבוהים ביותר.</w:t>
      </w:r>
    </w:p>
    <w:p w:rsidR="00253C38" w:rsidP="00982BC1" w14:paraId="6DE1BCF0" w14:textId="0BF1D61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81A427F" w14:textId="5E43C19C">
      <w:pPr>
        <w:spacing w:line="269" w:lineRule="auto"/>
        <w:rPr>
          <w:b/>
          <w:bCs/>
          <w:sz w:val="24"/>
          <w:rtl/>
        </w:rPr>
      </w:pPr>
      <w:r w:rsidRPr="00EA239C">
        <w:rPr>
          <w:rFonts w:hint="cs"/>
          <w:b/>
          <w:bCs/>
          <w:sz w:val="24"/>
          <w:rtl/>
        </w:rPr>
        <w:t>משרד מבקר המדינה</w:t>
      </w:r>
      <w:r>
        <w:rPr>
          <w:rFonts w:hint="cs"/>
          <w:b/>
          <w:bCs/>
          <w:sz w:val="24"/>
          <w:rtl/>
        </w:rPr>
        <w:t xml:space="preserve"> ממליץ כי החשכ"ל יבחן את המקור לפער בין התפלגות הבקשות בקרנות לבין הפגיעה שחוו קבוצות ענפים שונות, כדי לאתר את הסיבה לכך שענפים מסוימים, בייחוד אלה שחוו פגיעה משמעותית, כגון </w:t>
      </w:r>
      <w:r w:rsidRPr="00BE6532">
        <w:rPr>
          <w:rFonts w:hint="cs"/>
          <w:b/>
          <w:bCs/>
          <w:sz w:val="24"/>
          <w:rtl/>
        </w:rPr>
        <w:t>ענפי אומנות, בידור ופנאי וחינוך, אינם מגישים בקשות על אף הפגיעה המשמעותית בהם. מומלץ גם כי החשכ"ל</w:t>
      </w:r>
      <w:r w:rsidRPr="00BE6532" w:rsidR="00471A46">
        <w:rPr>
          <w:rFonts w:hint="cs"/>
          <w:b/>
          <w:bCs/>
          <w:sz w:val="24"/>
          <w:rtl/>
        </w:rPr>
        <w:t xml:space="preserve"> </w:t>
      </w:r>
      <w:r w:rsidRPr="00BE6532" w:rsidR="00E16FCE">
        <w:rPr>
          <w:rFonts w:hint="cs"/>
          <w:b/>
          <w:bCs/>
          <w:sz w:val="24"/>
          <w:rtl/>
        </w:rPr>
        <w:t>כ</w:t>
      </w:r>
      <w:r w:rsidRPr="00BE6532" w:rsidR="00471A46">
        <w:rPr>
          <w:rFonts w:hint="eastAsia"/>
          <w:b/>
          <w:bCs/>
          <w:sz w:val="24"/>
          <w:rtl/>
        </w:rPr>
        <w:t>מנהל</w:t>
      </w:r>
      <w:r w:rsidRPr="00BE6532" w:rsidR="00471A46">
        <w:rPr>
          <w:b/>
          <w:bCs/>
          <w:sz w:val="24"/>
          <w:rtl/>
        </w:rPr>
        <w:t xml:space="preserve"> </w:t>
      </w:r>
      <w:r w:rsidRPr="00BE6532" w:rsidR="00471A46">
        <w:rPr>
          <w:rFonts w:hint="eastAsia"/>
          <w:b/>
          <w:bCs/>
          <w:sz w:val="24"/>
          <w:rtl/>
        </w:rPr>
        <w:t>הקרן</w:t>
      </w:r>
      <w:r w:rsidRPr="00BE6532" w:rsidR="00471A46">
        <w:rPr>
          <w:b/>
          <w:bCs/>
          <w:sz w:val="24"/>
          <w:rtl/>
        </w:rPr>
        <w:t xml:space="preserve"> </w:t>
      </w:r>
      <w:r w:rsidRPr="00BE6532" w:rsidR="00471A46">
        <w:rPr>
          <w:rFonts w:hint="eastAsia"/>
          <w:b/>
          <w:bCs/>
          <w:sz w:val="24"/>
          <w:rtl/>
        </w:rPr>
        <w:t>לעסקים</w:t>
      </w:r>
      <w:r w:rsidRPr="00BE6532" w:rsidR="00471A46">
        <w:rPr>
          <w:b/>
          <w:bCs/>
          <w:sz w:val="24"/>
          <w:rtl/>
        </w:rPr>
        <w:t xml:space="preserve"> </w:t>
      </w:r>
      <w:r w:rsidRPr="00BE6532" w:rsidR="00471A46">
        <w:rPr>
          <w:rFonts w:hint="eastAsia"/>
          <w:b/>
          <w:bCs/>
          <w:sz w:val="24"/>
          <w:rtl/>
        </w:rPr>
        <w:t>קטנים</w:t>
      </w:r>
      <w:r w:rsidRPr="00BE6532" w:rsidR="00471A46">
        <w:rPr>
          <w:b/>
          <w:bCs/>
          <w:sz w:val="24"/>
          <w:rtl/>
        </w:rPr>
        <w:t xml:space="preserve"> </w:t>
      </w:r>
      <w:r w:rsidRPr="00BE6532" w:rsidR="00471A46">
        <w:rPr>
          <w:rFonts w:hint="eastAsia"/>
          <w:b/>
          <w:bCs/>
          <w:sz w:val="24"/>
          <w:rtl/>
        </w:rPr>
        <w:t>ובינוניים</w:t>
      </w:r>
      <w:r w:rsidRPr="00BE6532">
        <w:rPr>
          <w:rFonts w:hint="cs"/>
          <w:b/>
          <w:bCs/>
          <w:sz w:val="24"/>
          <w:rtl/>
        </w:rPr>
        <w:t xml:space="preserve"> יפעל</w:t>
      </w:r>
      <w:r>
        <w:rPr>
          <w:rFonts w:hint="cs"/>
          <w:b/>
          <w:bCs/>
          <w:sz w:val="24"/>
          <w:rtl/>
        </w:rPr>
        <w:t xml:space="preserve"> לאיסוף</w:t>
      </w:r>
      <w:r w:rsidRPr="00EA239C">
        <w:rPr>
          <w:rFonts w:hint="cs"/>
          <w:b/>
          <w:bCs/>
          <w:sz w:val="24"/>
          <w:rtl/>
        </w:rPr>
        <w:t xml:space="preserve"> מידע</w:t>
      </w:r>
      <w:r>
        <w:rPr>
          <w:rFonts w:hint="cs"/>
          <w:b/>
          <w:bCs/>
          <w:sz w:val="24"/>
          <w:rtl/>
        </w:rPr>
        <w:t xml:space="preserve"> המתקבל על אודות מגישי הבקשות</w:t>
      </w:r>
      <w:r w:rsidRPr="00EA239C">
        <w:rPr>
          <w:rFonts w:hint="cs"/>
          <w:b/>
          <w:bCs/>
          <w:sz w:val="24"/>
          <w:rtl/>
        </w:rPr>
        <w:t xml:space="preserve"> </w:t>
      </w:r>
      <w:r>
        <w:rPr>
          <w:rFonts w:hint="cs"/>
          <w:b/>
          <w:bCs/>
          <w:sz w:val="24"/>
          <w:rtl/>
        </w:rPr>
        <w:t>ולעיבודו, תוך כדי השוואה למאגרי מידע קיימים ברשות המיסים ובגופים ציבוריים אחרים,</w:t>
      </w:r>
      <w:r w:rsidRPr="00EA239C">
        <w:rPr>
          <w:rFonts w:hint="cs"/>
          <w:b/>
          <w:bCs/>
          <w:sz w:val="24"/>
          <w:rtl/>
        </w:rPr>
        <w:t xml:space="preserve"> לצורך </w:t>
      </w:r>
      <w:r>
        <w:rPr>
          <w:rFonts w:hint="cs"/>
          <w:b/>
          <w:bCs/>
          <w:sz w:val="24"/>
          <w:rtl/>
        </w:rPr>
        <w:t>טיוב</w:t>
      </w:r>
      <w:r w:rsidRPr="00EA239C">
        <w:rPr>
          <w:rFonts w:hint="cs"/>
          <w:b/>
          <w:bCs/>
          <w:sz w:val="24"/>
          <w:rtl/>
        </w:rPr>
        <w:t xml:space="preserve"> </w:t>
      </w:r>
      <w:r>
        <w:rPr>
          <w:rFonts w:hint="cs"/>
          <w:b/>
          <w:bCs/>
          <w:sz w:val="24"/>
          <w:rtl/>
        </w:rPr>
        <w:t>פעילותן של הקרנות</w:t>
      </w:r>
      <w:r w:rsidRPr="00EA239C">
        <w:rPr>
          <w:rFonts w:hint="cs"/>
          <w:b/>
          <w:bCs/>
          <w:sz w:val="24"/>
          <w:rtl/>
        </w:rPr>
        <w:t>.</w:t>
      </w:r>
    </w:p>
    <w:p w:rsidR="00982BC1" w:rsidRPr="008D2EE0" w:rsidP="00982BC1" w14:paraId="68676811" w14:textId="77777777">
      <w:pPr>
        <w:spacing w:line="269" w:lineRule="auto"/>
        <w:rPr>
          <w:b/>
          <w:bCs/>
          <w:sz w:val="24"/>
          <w:rtl/>
        </w:rPr>
      </w:pPr>
    </w:p>
    <w:p w:rsidR="00253C38" w:rsidRPr="00F034F5" w:rsidP="00982BC1" w14:paraId="7275A6A0" w14:textId="77777777">
      <w:pPr>
        <w:pStyle w:val="Heading6"/>
        <w:spacing w:line="269" w:lineRule="auto"/>
        <w:rPr>
          <w:rtl/>
        </w:rPr>
      </w:pPr>
      <w:r>
        <w:rPr>
          <w:rFonts w:hint="cs"/>
          <w:rtl/>
        </w:rPr>
        <w:t>הקמת המסלול המוגבר</w:t>
      </w:r>
    </w:p>
    <w:p w:rsidR="00253C38" w:rsidP="00982BC1" w14:paraId="26863393" w14:textId="4FE1BC4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575542A" w14:textId="77777777">
      <w:pPr>
        <w:spacing w:line="269" w:lineRule="auto"/>
        <w:rPr>
          <w:sz w:val="24"/>
          <w:rtl/>
        </w:rPr>
      </w:pPr>
      <w:r w:rsidRPr="006848F3">
        <w:rPr>
          <w:rFonts w:hint="cs"/>
          <w:sz w:val="24"/>
          <w:rtl/>
        </w:rPr>
        <w:t>פתיחת המסלול המוגבר, באמצע יוני</w:t>
      </w:r>
      <w:r>
        <w:rPr>
          <w:rFonts w:hint="cs"/>
          <w:sz w:val="24"/>
          <w:rtl/>
        </w:rPr>
        <w:t xml:space="preserve"> 2020, נועדה</w:t>
      </w:r>
      <w:r w:rsidRPr="006848F3">
        <w:rPr>
          <w:rFonts w:hint="cs"/>
          <w:sz w:val="24"/>
          <w:rtl/>
        </w:rPr>
        <w:t xml:space="preserve"> ל</w:t>
      </w:r>
      <w:r>
        <w:rPr>
          <w:rFonts w:hint="cs"/>
          <w:sz w:val="24"/>
          <w:rtl/>
        </w:rPr>
        <w:t>הרחיב את ה</w:t>
      </w:r>
      <w:r w:rsidRPr="006848F3">
        <w:rPr>
          <w:rFonts w:hint="cs"/>
          <w:sz w:val="24"/>
          <w:rtl/>
        </w:rPr>
        <w:t>מענה</w:t>
      </w:r>
      <w:r>
        <w:rPr>
          <w:rFonts w:hint="cs"/>
          <w:sz w:val="24"/>
          <w:rtl/>
        </w:rPr>
        <w:t xml:space="preserve"> הניתן במסגרת הקרנות</w:t>
      </w:r>
      <w:r w:rsidRPr="006848F3">
        <w:rPr>
          <w:rFonts w:hint="cs"/>
          <w:sz w:val="24"/>
          <w:rtl/>
        </w:rPr>
        <w:t xml:space="preserve"> למגוון רחב</w:t>
      </w:r>
      <w:r>
        <w:rPr>
          <w:rFonts w:hint="cs"/>
          <w:sz w:val="24"/>
          <w:rtl/>
        </w:rPr>
        <w:t xml:space="preserve"> יותר</w:t>
      </w:r>
      <w:r w:rsidRPr="006848F3">
        <w:rPr>
          <w:rFonts w:hint="cs"/>
          <w:sz w:val="24"/>
          <w:rtl/>
        </w:rPr>
        <w:t xml:space="preserve"> של עסקים</w:t>
      </w:r>
      <w:r>
        <w:rPr>
          <w:rFonts w:hint="cs"/>
          <w:sz w:val="24"/>
          <w:rtl/>
        </w:rPr>
        <w:t xml:space="preserve">, ובעיקר לאלה שנפגעו ביותר, באמצעות הרחבת השתתפות המדינה בסיכון הגלום במתן האשראי. לפיכך הוחלט להעמיד ערבות מדינה בשיעור של 95% ברמת ההלוואה </w:t>
      </w:r>
      <w:r>
        <w:rPr>
          <w:rFonts w:hint="cs"/>
          <w:sz w:val="24"/>
          <w:rtl/>
        </w:rPr>
        <w:t>הבודדת וערבות בשיעור של 60% ברמת תיק ההלוואות של כל גוף מממן.</w:t>
      </w:r>
      <w:r w:rsidRPr="006848F3">
        <w:rPr>
          <w:rFonts w:hint="cs"/>
          <w:sz w:val="24"/>
          <w:rtl/>
        </w:rPr>
        <w:t xml:space="preserve"> </w:t>
      </w:r>
      <w:r>
        <w:rPr>
          <w:rFonts w:hint="cs"/>
          <w:sz w:val="24"/>
          <w:rtl/>
        </w:rPr>
        <w:t>עוד נקבע בהסכמי ההתקשרות כי המסלול יועד לסייע ל</w:t>
      </w:r>
      <w:r w:rsidRPr="006848F3">
        <w:rPr>
          <w:rFonts w:hint="cs"/>
          <w:sz w:val="24"/>
          <w:rtl/>
        </w:rPr>
        <w:t xml:space="preserve">עסקים שפעילותם נפגעה </w:t>
      </w:r>
      <w:r>
        <w:rPr>
          <w:rFonts w:hint="cs"/>
          <w:sz w:val="24"/>
          <w:rtl/>
        </w:rPr>
        <w:t xml:space="preserve">קשות בעקבות </w:t>
      </w:r>
      <w:r w:rsidRPr="006848F3">
        <w:rPr>
          <w:rFonts w:hint="cs"/>
          <w:sz w:val="24"/>
          <w:rtl/>
        </w:rPr>
        <w:t xml:space="preserve">התפשטות </w:t>
      </w:r>
      <w:r w:rsidRPr="001E60AA">
        <w:rPr>
          <w:rFonts w:hint="cs"/>
          <w:sz w:val="24"/>
          <w:rtl/>
        </w:rPr>
        <w:t>הנגיף</w:t>
      </w:r>
      <w:r>
        <w:rPr>
          <w:rFonts w:hint="cs"/>
          <w:sz w:val="24"/>
          <w:rtl/>
        </w:rPr>
        <w:t xml:space="preserve">, ולכן הוגדרו כמה תנאים שעל הלווים לעמוד בהם במצטבר: (א) </w:t>
      </w:r>
      <w:r w:rsidRPr="001E60AA">
        <w:rPr>
          <w:rFonts w:hint="cs"/>
          <w:sz w:val="24"/>
          <w:rtl/>
        </w:rPr>
        <w:t>רמת סיכו</w:t>
      </w:r>
      <w:r>
        <w:rPr>
          <w:rFonts w:hint="cs"/>
          <w:sz w:val="24"/>
          <w:rtl/>
        </w:rPr>
        <w:t>ן</w:t>
      </w:r>
      <w:r w:rsidRPr="001E60AA">
        <w:rPr>
          <w:rFonts w:hint="cs"/>
          <w:sz w:val="24"/>
          <w:rtl/>
        </w:rPr>
        <w:t xml:space="preserve"> גבוהה ב</w:t>
      </w:r>
      <w:r>
        <w:rPr>
          <w:rFonts w:hint="cs"/>
          <w:sz w:val="24"/>
          <w:rtl/>
        </w:rPr>
        <w:t xml:space="preserve">השוואה </w:t>
      </w:r>
      <w:r w:rsidRPr="001E60AA">
        <w:rPr>
          <w:rFonts w:hint="cs"/>
          <w:sz w:val="24"/>
          <w:rtl/>
        </w:rPr>
        <w:t xml:space="preserve">לעסקים שקיבלו או </w:t>
      </w:r>
      <w:r>
        <w:rPr>
          <w:rFonts w:hint="cs"/>
          <w:sz w:val="24"/>
          <w:rtl/>
        </w:rPr>
        <w:t>ש</w:t>
      </w:r>
      <w:r w:rsidRPr="001E60AA">
        <w:rPr>
          <w:rFonts w:hint="cs"/>
          <w:sz w:val="24"/>
          <w:rtl/>
        </w:rPr>
        <w:t>יכולים לקבל הלוואות במסגרת המסלול הכללי</w:t>
      </w:r>
      <w:r>
        <w:rPr>
          <w:rFonts w:hint="cs"/>
          <w:sz w:val="24"/>
          <w:rtl/>
        </w:rPr>
        <w:t>, בדגש על ענפים ששיעור האישור של בקשות העוסקים בהם להלוואות במסלול הרגיל נמוך יותר מן הממוצע; (ב) היעדר יכולת תזרימית עצמאית להתמודד עם הצרכים התזרימיים שנוצרו כתוצאה מהפגיעה בפעילות העסקית; (ג) אי-קבלת הלוואה במסלול הרגיל בקרן; (ד) ירידה בשיעור של 50% לפחות במחזור חודש אפריל או מאי 2020</w:t>
      </w:r>
      <w:r w:rsidRPr="001E60AA">
        <w:rPr>
          <w:rFonts w:hint="cs"/>
          <w:sz w:val="24"/>
          <w:rtl/>
        </w:rPr>
        <w:t xml:space="preserve"> </w:t>
      </w:r>
      <w:r>
        <w:rPr>
          <w:rFonts w:hint="cs"/>
          <w:sz w:val="24"/>
          <w:rtl/>
        </w:rPr>
        <w:t>בהשוואה למחזור המקביל אשתקד, בהתאם לאישור רואה חשבון או יועץ מס.</w:t>
      </w:r>
    </w:p>
    <w:p w:rsidR="00253C38" w:rsidP="00982BC1" w14:paraId="012A86DC" w14:textId="219E4FC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0140FE" w:rsidP="00982BC1" w14:paraId="578450DB" w14:textId="77777777">
      <w:pPr>
        <w:spacing w:line="269" w:lineRule="auto"/>
        <w:rPr>
          <w:rtl/>
        </w:rPr>
      </w:pPr>
      <w:r w:rsidRPr="00C56B30">
        <w:rPr>
          <w:rFonts w:hint="cs"/>
          <w:rtl/>
        </w:rPr>
        <w:t xml:space="preserve">לוח </w:t>
      </w:r>
      <w:r w:rsidRPr="00C56B30" w:rsidR="00C56B30">
        <w:rPr>
          <w:rFonts w:hint="cs"/>
          <w:rtl/>
        </w:rPr>
        <w:t>5</w:t>
      </w:r>
      <w:r w:rsidRPr="00C56B30">
        <w:rPr>
          <w:rFonts w:hint="cs"/>
          <w:rtl/>
        </w:rPr>
        <w:t xml:space="preserve"> להלן</w:t>
      </w:r>
      <w:r>
        <w:rPr>
          <w:rFonts w:hint="cs"/>
          <w:rtl/>
        </w:rPr>
        <w:t xml:space="preserve"> מציג בפריסה ענפית את ההבדלים בין המסלול הרגיל לבין המסלול המוגבר, לרבות שיעור הבקשות שהוגשו מתוך סך הבקשות בכל מסלול, שיעור הבקשות שאושרו בכל מסלול ואת ממוצע שיעור הסכום המאושר בכל מסלול.</w:t>
      </w:r>
    </w:p>
    <w:p w:rsidR="00253C38" w:rsidP="00982BC1" w14:paraId="0A1EBE79" w14:textId="1EACA70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587DEFE3" w14:textId="77777777">
      <w:pPr>
        <w:spacing w:line="269" w:lineRule="auto"/>
        <w:jc w:val="center"/>
        <w:rPr>
          <w:b/>
          <w:bCs/>
          <w:rtl/>
        </w:rPr>
      </w:pPr>
      <w:r w:rsidRPr="00C56B30">
        <w:rPr>
          <w:rFonts w:hint="cs"/>
          <w:b/>
          <w:bCs/>
          <w:rtl/>
        </w:rPr>
        <w:t xml:space="preserve">לוח </w:t>
      </w:r>
      <w:r w:rsidRPr="00C56B30" w:rsidR="00C56B30">
        <w:rPr>
          <w:rFonts w:hint="cs"/>
          <w:b/>
          <w:bCs/>
          <w:rtl/>
        </w:rPr>
        <w:t>5</w:t>
      </w:r>
      <w:r w:rsidRPr="001C6911">
        <w:rPr>
          <w:b/>
          <w:bCs/>
          <w:rtl/>
        </w:rPr>
        <w:t xml:space="preserve">: </w:t>
      </w:r>
      <w:r w:rsidRPr="001C6911">
        <w:rPr>
          <w:rFonts w:hint="eastAsia"/>
          <w:b/>
          <w:bCs/>
          <w:rtl/>
        </w:rPr>
        <w:t>שיעור</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שהוגשו</w:t>
      </w:r>
      <w:r w:rsidRPr="001C6911">
        <w:rPr>
          <w:b/>
          <w:bCs/>
          <w:rtl/>
        </w:rPr>
        <w:t xml:space="preserve"> </w:t>
      </w:r>
      <w:r w:rsidRPr="001C6911">
        <w:rPr>
          <w:rFonts w:hint="eastAsia"/>
          <w:b/>
          <w:bCs/>
          <w:rtl/>
        </w:rPr>
        <w:t>מתוך</w:t>
      </w:r>
      <w:r w:rsidRPr="001C6911">
        <w:rPr>
          <w:b/>
          <w:bCs/>
          <w:rtl/>
        </w:rPr>
        <w:t xml:space="preserve"> </w:t>
      </w:r>
      <w:r w:rsidRPr="001C6911">
        <w:rPr>
          <w:rFonts w:hint="eastAsia"/>
          <w:b/>
          <w:bCs/>
          <w:rtl/>
        </w:rPr>
        <w:t>סך</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ושיעור</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שאושרו</w:t>
      </w:r>
      <w:r w:rsidRPr="001C6911">
        <w:rPr>
          <w:b/>
          <w:bCs/>
          <w:rtl/>
        </w:rPr>
        <w:t xml:space="preserve"> </w:t>
      </w:r>
      <w:r w:rsidRPr="001C6911">
        <w:rPr>
          <w:rFonts w:hint="eastAsia"/>
          <w:b/>
          <w:bCs/>
          <w:rtl/>
        </w:rPr>
        <w:t>מתוך</w:t>
      </w:r>
      <w:r w:rsidRPr="001C6911">
        <w:rPr>
          <w:b/>
          <w:bCs/>
          <w:rtl/>
        </w:rPr>
        <w:t xml:space="preserve"> </w:t>
      </w:r>
      <w:r w:rsidRPr="001C6911">
        <w:rPr>
          <w:rFonts w:hint="eastAsia"/>
          <w:b/>
          <w:bCs/>
          <w:rtl/>
        </w:rPr>
        <w:t>סך</w:t>
      </w:r>
      <w:r w:rsidRPr="001C6911">
        <w:rPr>
          <w:b/>
          <w:bCs/>
          <w:rtl/>
        </w:rPr>
        <w:t xml:space="preserve"> </w:t>
      </w:r>
      <w:r w:rsidRPr="001C6911">
        <w:rPr>
          <w:rFonts w:hint="eastAsia"/>
          <w:b/>
          <w:bCs/>
          <w:rtl/>
        </w:rPr>
        <w:t>הבקשות</w:t>
      </w:r>
      <w:r w:rsidRPr="001C6911">
        <w:rPr>
          <w:b/>
          <w:bCs/>
          <w:rtl/>
        </w:rPr>
        <w:t xml:space="preserve"> </w:t>
      </w:r>
      <w:r w:rsidRPr="001C6911">
        <w:rPr>
          <w:rFonts w:hint="eastAsia"/>
          <w:b/>
          <w:bCs/>
          <w:rtl/>
        </w:rPr>
        <w:t>המאושרות</w:t>
      </w:r>
      <w:r>
        <w:rPr>
          <w:rFonts w:hint="cs"/>
          <w:b/>
          <w:bCs/>
          <w:rtl/>
        </w:rPr>
        <w:t>,</w:t>
      </w:r>
      <w:r w:rsidRPr="001C6911">
        <w:rPr>
          <w:b/>
          <w:bCs/>
          <w:rtl/>
        </w:rPr>
        <w:t xml:space="preserve"> בהשוואה בין שני מסל</w:t>
      </w:r>
      <w:r w:rsidRPr="001C6911">
        <w:rPr>
          <w:rFonts w:hint="eastAsia"/>
          <w:b/>
          <w:bCs/>
          <w:rtl/>
        </w:rPr>
        <w:t>ולי</w:t>
      </w:r>
      <w:r w:rsidRPr="001C6911">
        <w:rPr>
          <w:b/>
          <w:bCs/>
          <w:rtl/>
        </w:rPr>
        <w:t xml:space="preserve"> </w:t>
      </w:r>
      <w:r w:rsidRPr="001C6911">
        <w:rPr>
          <w:rFonts w:hint="eastAsia"/>
          <w:b/>
          <w:bCs/>
          <w:rtl/>
        </w:rPr>
        <w:t>הקרן</w:t>
      </w:r>
      <w:r w:rsidRPr="001C6911">
        <w:rPr>
          <w:b/>
          <w:bCs/>
          <w:rtl/>
        </w:rPr>
        <w:t xml:space="preserve"> </w:t>
      </w:r>
      <w:r w:rsidRPr="001C6911">
        <w:rPr>
          <w:rFonts w:hint="eastAsia"/>
          <w:b/>
          <w:bCs/>
          <w:rtl/>
        </w:rPr>
        <w:t>לעסקים</w:t>
      </w:r>
      <w:r w:rsidRPr="001C6911">
        <w:rPr>
          <w:b/>
          <w:bCs/>
          <w:rtl/>
        </w:rPr>
        <w:t xml:space="preserve"> </w:t>
      </w:r>
      <w:r w:rsidRPr="001C6911">
        <w:rPr>
          <w:rFonts w:hint="eastAsia"/>
          <w:b/>
          <w:bCs/>
          <w:rtl/>
        </w:rPr>
        <w:t>קטנים</w:t>
      </w:r>
      <w:r w:rsidRPr="001C6911">
        <w:rPr>
          <w:b/>
          <w:bCs/>
          <w:rtl/>
        </w:rPr>
        <w:t xml:space="preserve"> </w:t>
      </w:r>
      <w:r w:rsidRPr="001C6911">
        <w:rPr>
          <w:rFonts w:hint="eastAsia"/>
          <w:b/>
          <w:bCs/>
          <w:rtl/>
        </w:rPr>
        <w:t>ובינוניים</w:t>
      </w:r>
      <w:r>
        <w:rPr>
          <w:rFonts w:hint="cs"/>
          <w:b/>
          <w:bCs/>
          <w:rtl/>
        </w:rPr>
        <w:t xml:space="preserve"> (באחוזים)</w:t>
      </w:r>
    </w:p>
    <w:p w:rsidR="00253C38" w:rsidP="00982BC1" w14:paraId="7268BFB0" w14:textId="77777777">
      <w:pPr>
        <w:spacing w:line="269" w:lineRule="auto"/>
        <w:ind w:left="-1417"/>
        <w:jc w:val="center"/>
        <w:rPr>
          <w:sz w:val="24"/>
          <w:rtl/>
        </w:rPr>
      </w:pPr>
      <w:r>
        <w:rPr>
          <w:noProof/>
        </w:rPr>
        <w:drawing>
          <wp:inline distT="0" distB="0" distL="0" distR="0">
            <wp:extent cx="7124123" cy="2867025"/>
            <wp:effectExtent l="0" t="0" r="63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5228" name=""/>
                    <pic:cNvPicPr/>
                  </pic:nvPicPr>
                  <pic:blipFill>
                    <a:blip xmlns:r="http://schemas.openxmlformats.org/officeDocument/2006/relationships" r:embed="rId34"/>
                    <a:stretch>
                      <a:fillRect/>
                    </a:stretch>
                  </pic:blipFill>
                  <pic:spPr>
                    <a:xfrm>
                      <a:off x="0" y="0"/>
                      <a:ext cx="7138126" cy="2872660"/>
                    </a:xfrm>
                    <a:prstGeom prst="rect">
                      <a:avLst/>
                    </a:prstGeom>
                  </pic:spPr>
                </pic:pic>
              </a:graphicData>
            </a:graphic>
          </wp:inline>
        </w:drawing>
      </w:r>
    </w:p>
    <w:p w:rsidR="00253C38" w:rsidRPr="00982BC1" w:rsidP="00982BC1" w14:paraId="378EB62E" w14:textId="77777777">
      <w:pPr>
        <w:spacing w:line="269" w:lineRule="auto"/>
        <w:rPr>
          <w:sz w:val="22"/>
          <w:szCs w:val="22"/>
          <w:rtl/>
        </w:rPr>
      </w:pPr>
      <w:r w:rsidRPr="00982BC1">
        <w:rPr>
          <w:rFonts w:hint="cs"/>
          <w:sz w:val="22"/>
          <w:szCs w:val="22"/>
          <w:rtl/>
        </w:rPr>
        <w:t xml:space="preserve">נתוני החשכ"ל, בעיבוד משרד מבקר המדינה. </w:t>
      </w:r>
    </w:p>
    <w:p w:rsidR="00253C38" w:rsidP="00982BC1" w14:paraId="78EFC445" w14:textId="1D8ED134">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P="00982BC1" w14:paraId="214988CC" w14:textId="77777777">
      <w:pPr>
        <w:spacing w:line="269" w:lineRule="auto"/>
        <w:rPr>
          <w:b/>
          <w:bCs/>
          <w:rtl/>
        </w:rPr>
      </w:pPr>
      <w:r w:rsidRPr="00C56B30">
        <w:rPr>
          <w:rFonts w:hint="eastAsia"/>
          <w:b/>
          <w:bCs/>
          <w:rtl/>
        </w:rPr>
        <w:t>מ</w:t>
      </w:r>
      <w:r w:rsidRPr="00C56B30" w:rsidR="002A1A84">
        <w:rPr>
          <w:rFonts w:hint="cs"/>
          <w:b/>
          <w:bCs/>
          <w:rtl/>
        </w:rPr>
        <w:t xml:space="preserve">לוח </w:t>
      </w:r>
      <w:r w:rsidRPr="00C56B30" w:rsidR="00C56B30">
        <w:rPr>
          <w:rFonts w:hint="cs"/>
          <w:b/>
          <w:bCs/>
          <w:rtl/>
        </w:rPr>
        <w:t>5</w:t>
      </w:r>
      <w:r w:rsidRPr="00C56B30">
        <w:rPr>
          <w:b/>
          <w:bCs/>
          <w:rtl/>
        </w:rPr>
        <w:t xml:space="preserve"> </w:t>
      </w:r>
      <w:r w:rsidRPr="00C56B30">
        <w:rPr>
          <w:rFonts w:hint="eastAsia"/>
          <w:b/>
          <w:bCs/>
          <w:rtl/>
        </w:rPr>
        <w:t>עולה</w:t>
      </w:r>
      <w:r w:rsidRPr="00FD1A3F">
        <w:rPr>
          <w:b/>
          <w:bCs/>
          <w:rtl/>
        </w:rPr>
        <w:t xml:space="preserve"> </w:t>
      </w:r>
      <w:r w:rsidRPr="00FD1A3F">
        <w:rPr>
          <w:rFonts w:hint="eastAsia"/>
          <w:b/>
          <w:bCs/>
          <w:rtl/>
        </w:rPr>
        <w:t>מגמה</w:t>
      </w:r>
      <w:r w:rsidRPr="00FD1A3F">
        <w:rPr>
          <w:b/>
          <w:bCs/>
          <w:rtl/>
        </w:rPr>
        <w:t xml:space="preserve"> מעורבת </w:t>
      </w:r>
      <w:r>
        <w:rPr>
          <w:rFonts w:hint="cs"/>
          <w:b/>
          <w:bCs/>
          <w:rtl/>
        </w:rPr>
        <w:t>לגבי ה</w:t>
      </w:r>
      <w:r w:rsidRPr="00FD1A3F">
        <w:rPr>
          <w:b/>
          <w:bCs/>
          <w:rtl/>
        </w:rPr>
        <w:t xml:space="preserve">שינוי </w:t>
      </w:r>
      <w:r w:rsidRPr="00FD1A3F">
        <w:rPr>
          <w:rFonts w:hint="eastAsia"/>
          <w:b/>
          <w:bCs/>
          <w:rtl/>
        </w:rPr>
        <w:t>בשיעור</w:t>
      </w:r>
      <w:r w:rsidRPr="00FD1A3F">
        <w:rPr>
          <w:b/>
          <w:bCs/>
          <w:rtl/>
        </w:rPr>
        <w:t xml:space="preserve"> </w:t>
      </w:r>
      <w:r w:rsidRPr="00FD1A3F">
        <w:rPr>
          <w:rFonts w:hint="eastAsia"/>
          <w:b/>
          <w:bCs/>
          <w:rtl/>
        </w:rPr>
        <w:t>הבקשות</w:t>
      </w:r>
      <w:r w:rsidRPr="00FD1A3F">
        <w:rPr>
          <w:b/>
          <w:bCs/>
          <w:rtl/>
        </w:rPr>
        <w:t xml:space="preserve"> </w:t>
      </w:r>
      <w:r w:rsidRPr="00FD1A3F">
        <w:rPr>
          <w:rFonts w:hint="eastAsia"/>
          <w:b/>
          <w:bCs/>
          <w:rtl/>
        </w:rPr>
        <w:t>שהוגשו</w:t>
      </w:r>
      <w:r w:rsidRPr="00FD1A3F">
        <w:rPr>
          <w:b/>
          <w:bCs/>
          <w:rtl/>
        </w:rPr>
        <w:t xml:space="preserve"> </w:t>
      </w:r>
      <w:r w:rsidRPr="00FD1A3F">
        <w:rPr>
          <w:rFonts w:hint="eastAsia"/>
          <w:b/>
          <w:bCs/>
          <w:rtl/>
        </w:rPr>
        <w:t>למסלול</w:t>
      </w:r>
      <w:r w:rsidRPr="00FD1A3F">
        <w:rPr>
          <w:b/>
          <w:bCs/>
          <w:rtl/>
        </w:rPr>
        <w:t xml:space="preserve"> </w:t>
      </w:r>
      <w:r w:rsidRPr="00FD1A3F">
        <w:rPr>
          <w:rFonts w:hint="eastAsia"/>
          <w:b/>
          <w:bCs/>
          <w:rtl/>
        </w:rPr>
        <w:t>המוגבר</w:t>
      </w:r>
      <w:r w:rsidRPr="00FD1A3F">
        <w:rPr>
          <w:b/>
          <w:bCs/>
          <w:rtl/>
        </w:rPr>
        <w:t xml:space="preserve">. </w:t>
      </w:r>
      <w:r w:rsidRPr="00FD1A3F">
        <w:rPr>
          <w:rFonts w:hint="eastAsia"/>
          <w:b/>
          <w:bCs/>
          <w:rtl/>
        </w:rPr>
        <w:t>ברוב</w:t>
      </w:r>
      <w:r w:rsidRPr="00FD1A3F">
        <w:rPr>
          <w:b/>
          <w:bCs/>
          <w:rtl/>
        </w:rPr>
        <w:t xml:space="preserve"> </w:t>
      </w:r>
      <w:r w:rsidRPr="00FD1A3F">
        <w:rPr>
          <w:rFonts w:hint="eastAsia"/>
          <w:b/>
          <w:bCs/>
          <w:rtl/>
        </w:rPr>
        <w:t>ענפי</w:t>
      </w:r>
      <w:r w:rsidRPr="00FD1A3F">
        <w:rPr>
          <w:b/>
          <w:bCs/>
          <w:rtl/>
        </w:rPr>
        <w:t xml:space="preserve"> </w:t>
      </w:r>
      <w:r w:rsidRPr="00FD1A3F">
        <w:rPr>
          <w:rFonts w:hint="eastAsia"/>
          <w:b/>
          <w:bCs/>
          <w:rtl/>
        </w:rPr>
        <w:t>הפעילות</w:t>
      </w:r>
      <w:r w:rsidRPr="00FD1A3F">
        <w:rPr>
          <w:b/>
          <w:bCs/>
          <w:rtl/>
        </w:rPr>
        <w:t xml:space="preserve"> </w:t>
      </w:r>
      <w:r w:rsidRPr="00FD1A3F">
        <w:rPr>
          <w:rFonts w:hint="eastAsia"/>
          <w:b/>
          <w:bCs/>
          <w:rtl/>
        </w:rPr>
        <w:t>תועד</w:t>
      </w:r>
      <w:r w:rsidRPr="00FD1A3F">
        <w:rPr>
          <w:b/>
          <w:bCs/>
          <w:rtl/>
        </w:rPr>
        <w:t xml:space="preserve"> </w:t>
      </w:r>
      <w:r w:rsidRPr="00FD1A3F">
        <w:rPr>
          <w:rFonts w:hint="eastAsia"/>
          <w:b/>
          <w:bCs/>
          <w:rtl/>
        </w:rPr>
        <w:t>שיעור</w:t>
      </w:r>
      <w:r w:rsidRPr="00FD1A3F">
        <w:rPr>
          <w:b/>
          <w:bCs/>
          <w:rtl/>
        </w:rPr>
        <w:t xml:space="preserve"> הגשות נמוך במסלול המוגבר ב</w:t>
      </w:r>
      <w:r>
        <w:rPr>
          <w:rFonts w:hint="cs"/>
          <w:b/>
          <w:bCs/>
          <w:rtl/>
        </w:rPr>
        <w:t>השוואה</w:t>
      </w:r>
      <w:r w:rsidRPr="00FD1A3F">
        <w:rPr>
          <w:b/>
          <w:bCs/>
          <w:rtl/>
        </w:rPr>
        <w:t xml:space="preserve"> למסלול הרגיל</w:t>
      </w:r>
      <w:r>
        <w:rPr>
          <w:rFonts w:hint="cs"/>
          <w:b/>
          <w:bCs/>
          <w:rtl/>
        </w:rPr>
        <w:t>.</w:t>
      </w:r>
      <w:r w:rsidRPr="00FD1A3F">
        <w:rPr>
          <w:b/>
          <w:bCs/>
          <w:rtl/>
        </w:rPr>
        <w:t xml:space="preserve"> עם זאת </w:t>
      </w:r>
      <w:r>
        <w:rPr>
          <w:rFonts w:hint="cs"/>
          <w:b/>
          <w:bCs/>
          <w:rtl/>
        </w:rPr>
        <w:t xml:space="preserve">ראוי לציין לחיוב כי </w:t>
      </w:r>
      <w:r w:rsidRPr="00FD1A3F">
        <w:rPr>
          <w:rFonts w:hint="eastAsia"/>
          <w:b/>
          <w:bCs/>
          <w:rtl/>
        </w:rPr>
        <w:t>בשני</w:t>
      </w:r>
      <w:r w:rsidRPr="00FD1A3F">
        <w:rPr>
          <w:b/>
          <w:bCs/>
          <w:rtl/>
        </w:rPr>
        <w:t xml:space="preserve"> </w:t>
      </w:r>
      <w:r w:rsidRPr="00FD1A3F">
        <w:rPr>
          <w:rFonts w:hint="eastAsia"/>
          <w:b/>
          <w:bCs/>
          <w:rtl/>
        </w:rPr>
        <w:t>ענפי</w:t>
      </w:r>
      <w:r w:rsidRPr="00FD1A3F">
        <w:rPr>
          <w:b/>
          <w:bCs/>
          <w:rtl/>
        </w:rPr>
        <w:t xml:space="preserve"> </w:t>
      </w:r>
      <w:r w:rsidRPr="00FD1A3F">
        <w:rPr>
          <w:rFonts w:hint="eastAsia"/>
          <w:b/>
          <w:bCs/>
          <w:rtl/>
        </w:rPr>
        <w:t>הפעילות</w:t>
      </w:r>
      <w:r w:rsidRPr="00FD1A3F">
        <w:rPr>
          <w:b/>
          <w:bCs/>
          <w:rtl/>
        </w:rPr>
        <w:t xml:space="preserve"> </w:t>
      </w:r>
      <w:r w:rsidRPr="00FD1A3F">
        <w:rPr>
          <w:rFonts w:hint="eastAsia"/>
          <w:b/>
          <w:bCs/>
          <w:rtl/>
        </w:rPr>
        <w:t>שחוו</w:t>
      </w:r>
      <w:r w:rsidRPr="00FD1A3F">
        <w:rPr>
          <w:b/>
          <w:bCs/>
          <w:rtl/>
        </w:rPr>
        <w:t xml:space="preserve"> </w:t>
      </w:r>
      <w:r w:rsidRPr="00FD1A3F">
        <w:rPr>
          <w:rFonts w:hint="eastAsia"/>
          <w:b/>
          <w:bCs/>
          <w:rtl/>
        </w:rPr>
        <w:t>את</w:t>
      </w:r>
      <w:r w:rsidRPr="00FD1A3F">
        <w:rPr>
          <w:b/>
          <w:bCs/>
          <w:rtl/>
        </w:rPr>
        <w:t xml:space="preserve"> </w:t>
      </w:r>
      <w:r w:rsidRPr="00FD1A3F">
        <w:rPr>
          <w:rFonts w:hint="eastAsia"/>
          <w:b/>
          <w:bCs/>
          <w:rtl/>
        </w:rPr>
        <w:t>עיקר</w:t>
      </w:r>
      <w:r w:rsidRPr="00FD1A3F">
        <w:rPr>
          <w:b/>
          <w:bCs/>
          <w:rtl/>
        </w:rPr>
        <w:t xml:space="preserve"> </w:t>
      </w:r>
      <w:r w:rsidRPr="00FD1A3F">
        <w:rPr>
          <w:rFonts w:hint="eastAsia"/>
          <w:b/>
          <w:bCs/>
          <w:rtl/>
        </w:rPr>
        <w:t>הפגיעה</w:t>
      </w:r>
      <w:r w:rsidRPr="00FD1A3F">
        <w:rPr>
          <w:b/>
          <w:bCs/>
          <w:rtl/>
        </w:rPr>
        <w:t xml:space="preserve">, </w:t>
      </w:r>
      <w:r w:rsidRPr="00FD1A3F">
        <w:rPr>
          <w:rFonts w:hint="eastAsia"/>
          <w:b/>
          <w:bCs/>
          <w:rtl/>
        </w:rPr>
        <w:t>בענף</w:t>
      </w:r>
      <w:r w:rsidRPr="00FD1A3F">
        <w:rPr>
          <w:b/>
          <w:bCs/>
          <w:rtl/>
        </w:rPr>
        <w:t xml:space="preserve"> </w:t>
      </w:r>
      <w:r w:rsidRPr="00FD1A3F">
        <w:rPr>
          <w:rFonts w:hint="eastAsia"/>
          <w:b/>
          <w:bCs/>
          <w:rtl/>
        </w:rPr>
        <w:t>שירות</w:t>
      </w:r>
      <w:r>
        <w:rPr>
          <w:rFonts w:hint="cs"/>
          <w:b/>
          <w:bCs/>
          <w:rtl/>
        </w:rPr>
        <w:t>י</w:t>
      </w:r>
      <w:r w:rsidRPr="00FD1A3F">
        <w:rPr>
          <w:b/>
          <w:bCs/>
          <w:rtl/>
        </w:rPr>
        <w:t xml:space="preserve"> </w:t>
      </w:r>
      <w:r w:rsidRPr="00FD1A3F">
        <w:rPr>
          <w:rFonts w:hint="eastAsia"/>
          <w:b/>
          <w:bCs/>
          <w:rtl/>
        </w:rPr>
        <w:t>אירוח</w:t>
      </w:r>
      <w:r w:rsidRPr="00FD1A3F">
        <w:rPr>
          <w:b/>
          <w:bCs/>
          <w:rtl/>
        </w:rPr>
        <w:t xml:space="preserve"> </w:t>
      </w:r>
      <w:r w:rsidRPr="00FD1A3F">
        <w:rPr>
          <w:rFonts w:hint="eastAsia"/>
          <w:b/>
          <w:bCs/>
          <w:rtl/>
        </w:rPr>
        <w:t>ואוכל</w:t>
      </w:r>
      <w:r w:rsidRPr="00FD1A3F">
        <w:rPr>
          <w:b/>
          <w:bCs/>
          <w:rtl/>
        </w:rPr>
        <w:t xml:space="preserve"> </w:t>
      </w:r>
      <w:r w:rsidRPr="00FD1A3F">
        <w:rPr>
          <w:rFonts w:hint="eastAsia"/>
          <w:b/>
          <w:bCs/>
          <w:rtl/>
        </w:rPr>
        <w:t>ובענף</w:t>
      </w:r>
      <w:r w:rsidRPr="00FD1A3F">
        <w:rPr>
          <w:b/>
          <w:bCs/>
          <w:rtl/>
        </w:rPr>
        <w:t xml:space="preserve"> </w:t>
      </w:r>
      <w:r w:rsidRPr="00FD1A3F">
        <w:rPr>
          <w:rFonts w:hint="eastAsia"/>
          <w:b/>
          <w:bCs/>
          <w:rtl/>
        </w:rPr>
        <w:t>א</w:t>
      </w:r>
      <w:r>
        <w:rPr>
          <w:rFonts w:hint="cs"/>
          <w:b/>
          <w:bCs/>
          <w:rtl/>
        </w:rPr>
        <w:t>ו</w:t>
      </w:r>
      <w:r w:rsidRPr="00FD1A3F">
        <w:rPr>
          <w:rFonts w:hint="eastAsia"/>
          <w:b/>
          <w:bCs/>
          <w:rtl/>
        </w:rPr>
        <w:t>מנות</w:t>
      </w:r>
      <w:r>
        <w:rPr>
          <w:rFonts w:hint="cs"/>
          <w:b/>
          <w:bCs/>
          <w:rtl/>
        </w:rPr>
        <w:t>,</w:t>
      </w:r>
      <w:r w:rsidRPr="00FD1A3F">
        <w:rPr>
          <w:b/>
          <w:bCs/>
          <w:rtl/>
        </w:rPr>
        <w:t xml:space="preserve"> </w:t>
      </w:r>
      <w:r w:rsidRPr="00FD1A3F">
        <w:rPr>
          <w:rFonts w:hint="eastAsia"/>
          <w:b/>
          <w:bCs/>
          <w:rtl/>
        </w:rPr>
        <w:t>בידור</w:t>
      </w:r>
      <w:r w:rsidRPr="00FD1A3F">
        <w:rPr>
          <w:b/>
          <w:bCs/>
          <w:rtl/>
        </w:rPr>
        <w:t xml:space="preserve"> </w:t>
      </w:r>
      <w:r w:rsidRPr="00FD1A3F">
        <w:rPr>
          <w:rFonts w:hint="eastAsia"/>
          <w:b/>
          <w:bCs/>
          <w:rtl/>
        </w:rPr>
        <w:t>ופנאי</w:t>
      </w:r>
      <w:r w:rsidRPr="00FD1A3F">
        <w:rPr>
          <w:b/>
          <w:bCs/>
          <w:rtl/>
        </w:rPr>
        <w:t xml:space="preserve"> תועד</w:t>
      </w:r>
      <w:r w:rsidRPr="00FD1A3F">
        <w:rPr>
          <w:rFonts w:hint="eastAsia"/>
          <w:b/>
          <w:bCs/>
          <w:rtl/>
        </w:rPr>
        <w:t>ה</w:t>
      </w:r>
      <w:r w:rsidRPr="00FD1A3F">
        <w:rPr>
          <w:b/>
          <w:bCs/>
          <w:rtl/>
        </w:rPr>
        <w:t xml:space="preserve"> </w:t>
      </w:r>
      <w:r w:rsidRPr="00FD1A3F">
        <w:rPr>
          <w:rFonts w:hint="eastAsia"/>
          <w:b/>
          <w:bCs/>
          <w:rtl/>
        </w:rPr>
        <w:t>מגמה</w:t>
      </w:r>
      <w:r w:rsidRPr="00FD1A3F">
        <w:rPr>
          <w:b/>
          <w:bCs/>
          <w:rtl/>
        </w:rPr>
        <w:t xml:space="preserve"> </w:t>
      </w:r>
      <w:r w:rsidRPr="00FD1A3F">
        <w:rPr>
          <w:rFonts w:hint="eastAsia"/>
          <w:b/>
          <w:bCs/>
          <w:rtl/>
        </w:rPr>
        <w:t>הפוכה</w:t>
      </w:r>
      <w:r w:rsidRPr="00FD1A3F">
        <w:rPr>
          <w:b/>
          <w:bCs/>
          <w:rtl/>
        </w:rPr>
        <w:t xml:space="preserve">, </w:t>
      </w:r>
      <w:r w:rsidRPr="00FD1A3F">
        <w:rPr>
          <w:rFonts w:hint="eastAsia"/>
          <w:b/>
          <w:bCs/>
          <w:rtl/>
        </w:rPr>
        <w:t>ושיעור</w:t>
      </w:r>
      <w:r w:rsidRPr="00FD1A3F">
        <w:rPr>
          <w:b/>
          <w:bCs/>
          <w:rtl/>
        </w:rPr>
        <w:t xml:space="preserve"> </w:t>
      </w:r>
      <w:r w:rsidRPr="00FD1A3F">
        <w:rPr>
          <w:rFonts w:hint="eastAsia"/>
          <w:b/>
          <w:bCs/>
          <w:rtl/>
        </w:rPr>
        <w:t>הבקשות</w:t>
      </w:r>
      <w:r w:rsidRPr="00FD1A3F">
        <w:rPr>
          <w:b/>
          <w:bCs/>
          <w:rtl/>
        </w:rPr>
        <w:t xml:space="preserve"> </w:t>
      </w:r>
      <w:r w:rsidRPr="00FD1A3F">
        <w:rPr>
          <w:rFonts w:hint="eastAsia"/>
          <w:b/>
          <w:bCs/>
          <w:rtl/>
        </w:rPr>
        <w:t>גדל</w:t>
      </w:r>
      <w:r w:rsidRPr="00FD1A3F">
        <w:rPr>
          <w:b/>
          <w:bCs/>
          <w:rtl/>
        </w:rPr>
        <w:t xml:space="preserve"> </w:t>
      </w:r>
      <w:r w:rsidRPr="00FD1A3F">
        <w:rPr>
          <w:rFonts w:hint="eastAsia"/>
          <w:b/>
          <w:bCs/>
          <w:rtl/>
        </w:rPr>
        <w:t>ב</w:t>
      </w:r>
      <w:r w:rsidRPr="00FD1A3F">
        <w:rPr>
          <w:b/>
          <w:bCs/>
          <w:rtl/>
        </w:rPr>
        <w:t xml:space="preserve">-171.2% </w:t>
      </w:r>
      <w:r w:rsidRPr="00FD1A3F">
        <w:rPr>
          <w:rFonts w:hint="eastAsia"/>
          <w:b/>
          <w:bCs/>
          <w:rtl/>
        </w:rPr>
        <w:t>וב</w:t>
      </w:r>
      <w:r w:rsidRPr="00FD1A3F">
        <w:rPr>
          <w:b/>
          <w:bCs/>
          <w:rtl/>
        </w:rPr>
        <w:t>-91.7%</w:t>
      </w:r>
      <w:r>
        <w:rPr>
          <w:rFonts w:hint="cs"/>
          <w:b/>
          <w:bCs/>
          <w:rtl/>
        </w:rPr>
        <w:t>,</w:t>
      </w:r>
      <w:r w:rsidRPr="00FD1A3F">
        <w:rPr>
          <w:b/>
          <w:bCs/>
          <w:rtl/>
        </w:rPr>
        <w:t xml:space="preserve"> </w:t>
      </w:r>
      <w:r w:rsidRPr="00FD1A3F">
        <w:rPr>
          <w:rFonts w:hint="eastAsia"/>
          <w:b/>
          <w:bCs/>
          <w:rtl/>
        </w:rPr>
        <w:t>בהתאמה</w:t>
      </w:r>
      <w:r w:rsidRPr="00FD1A3F">
        <w:rPr>
          <w:b/>
          <w:bCs/>
          <w:rtl/>
        </w:rPr>
        <w:t>.</w:t>
      </w:r>
      <w:r>
        <w:rPr>
          <w:rFonts w:hint="cs"/>
          <w:b/>
          <w:bCs/>
          <w:rtl/>
        </w:rPr>
        <w:t xml:space="preserve"> </w:t>
      </w:r>
      <w:r w:rsidRPr="00FD1A3F">
        <w:rPr>
          <w:rFonts w:hint="eastAsia"/>
          <w:b/>
          <w:bCs/>
          <w:rtl/>
        </w:rPr>
        <w:t>ניכר</w:t>
      </w:r>
      <w:r w:rsidRPr="00FD1A3F">
        <w:rPr>
          <w:b/>
          <w:bCs/>
          <w:rtl/>
        </w:rPr>
        <w:t xml:space="preserve"> </w:t>
      </w:r>
      <w:r w:rsidR="00847F7E">
        <w:rPr>
          <w:rFonts w:hint="cs"/>
          <w:b/>
          <w:bCs/>
          <w:rtl/>
        </w:rPr>
        <w:t>מהלוח</w:t>
      </w:r>
      <w:r w:rsidRPr="00FD1A3F">
        <w:rPr>
          <w:b/>
          <w:bCs/>
          <w:rtl/>
        </w:rPr>
        <w:t xml:space="preserve"> </w:t>
      </w:r>
      <w:r w:rsidRPr="00FD1A3F">
        <w:rPr>
          <w:rFonts w:hint="eastAsia"/>
          <w:b/>
          <w:bCs/>
          <w:rtl/>
        </w:rPr>
        <w:t>כי</w:t>
      </w:r>
      <w:r w:rsidRPr="00FD1A3F">
        <w:rPr>
          <w:b/>
          <w:bCs/>
          <w:rtl/>
        </w:rPr>
        <w:t xml:space="preserve"> </w:t>
      </w:r>
      <w:r w:rsidRPr="00FD1A3F">
        <w:rPr>
          <w:rFonts w:hint="eastAsia"/>
          <w:b/>
          <w:bCs/>
          <w:rtl/>
        </w:rPr>
        <w:t>בכל</w:t>
      </w:r>
      <w:r w:rsidRPr="00FD1A3F">
        <w:rPr>
          <w:b/>
          <w:bCs/>
          <w:rtl/>
        </w:rPr>
        <w:t xml:space="preserve"> </w:t>
      </w:r>
      <w:r w:rsidRPr="00FD1A3F">
        <w:rPr>
          <w:rFonts w:hint="eastAsia"/>
          <w:b/>
          <w:bCs/>
          <w:rtl/>
        </w:rPr>
        <w:t>ענפי</w:t>
      </w:r>
      <w:r w:rsidRPr="00FD1A3F">
        <w:rPr>
          <w:b/>
          <w:bCs/>
          <w:rtl/>
        </w:rPr>
        <w:t xml:space="preserve"> </w:t>
      </w:r>
      <w:r w:rsidRPr="00FD1A3F">
        <w:rPr>
          <w:rFonts w:hint="eastAsia"/>
          <w:b/>
          <w:bCs/>
          <w:rtl/>
        </w:rPr>
        <w:t>הפעילות</w:t>
      </w:r>
      <w:r w:rsidRPr="00FD1A3F">
        <w:rPr>
          <w:b/>
          <w:bCs/>
          <w:rtl/>
        </w:rPr>
        <w:t xml:space="preserve"> </w:t>
      </w:r>
      <w:r w:rsidRPr="00FD1A3F">
        <w:rPr>
          <w:rFonts w:hint="eastAsia"/>
          <w:b/>
          <w:bCs/>
          <w:rtl/>
        </w:rPr>
        <w:t>גדל</w:t>
      </w:r>
      <w:r w:rsidRPr="00FD1A3F">
        <w:rPr>
          <w:b/>
          <w:bCs/>
          <w:rtl/>
        </w:rPr>
        <w:t xml:space="preserve"> </w:t>
      </w:r>
      <w:r w:rsidRPr="00FD1A3F">
        <w:rPr>
          <w:rFonts w:hint="eastAsia"/>
          <w:b/>
          <w:bCs/>
          <w:rtl/>
        </w:rPr>
        <w:t>שיעור</w:t>
      </w:r>
      <w:r w:rsidRPr="00FD1A3F">
        <w:rPr>
          <w:b/>
          <w:bCs/>
          <w:rtl/>
        </w:rPr>
        <w:t xml:space="preserve"> </w:t>
      </w:r>
      <w:r w:rsidRPr="00FD1A3F">
        <w:rPr>
          <w:rFonts w:hint="eastAsia"/>
          <w:b/>
          <w:bCs/>
          <w:rtl/>
        </w:rPr>
        <w:t>האישור</w:t>
      </w:r>
      <w:r w:rsidRPr="00FD1A3F">
        <w:rPr>
          <w:b/>
          <w:bCs/>
          <w:rtl/>
        </w:rPr>
        <w:t xml:space="preserve"> בי</w:t>
      </w:r>
      <w:r>
        <w:rPr>
          <w:rFonts w:hint="cs"/>
          <w:b/>
          <w:bCs/>
          <w:rtl/>
        </w:rPr>
        <w:t xml:space="preserve">חס </w:t>
      </w:r>
      <w:r w:rsidRPr="00FD1A3F">
        <w:rPr>
          <w:b/>
          <w:bCs/>
          <w:rtl/>
        </w:rPr>
        <w:t xml:space="preserve">למסלול הרגיל </w:t>
      </w:r>
      <w:r>
        <w:rPr>
          <w:rFonts w:hint="cs"/>
          <w:b/>
          <w:bCs/>
          <w:rtl/>
        </w:rPr>
        <w:t xml:space="preserve">בעקבות </w:t>
      </w:r>
      <w:r w:rsidRPr="00FD1A3F">
        <w:rPr>
          <w:b/>
          <w:bCs/>
          <w:rtl/>
        </w:rPr>
        <w:t xml:space="preserve">העמדת ערבות </w:t>
      </w:r>
      <w:r w:rsidRPr="00FD1A3F">
        <w:rPr>
          <w:rFonts w:hint="eastAsia"/>
          <w:b/>
          <w:bCs/>
          <w:rtl/>
        </w:rPr>
        <w:t>בשיעור</w:t>
      </w:r>
      <w:r w:rsidRPr="00FD1A3F">
        <w:rPr>
          <w:b/>
          <w:bCs/>
          <w:rtl/>
        </w:rPr>
        <w:t xml:space="preserve"> </w:t>
      </w:r>
      <w:r w:rsidRPr="00FD1A3F">
        <w:rPr>
          <w:rFonts w:hint="eastAsia"/>
          <w:b/>
          <w:bCs/>
          <w:rtl/>
        </w:rPr>
        <w:t>גבוה</w:t>
      </w:r>
      <w:r w:rsidRPr="00FD1A3F">
        <w:rPr>
          <w:b/>
          <w:bCs/>
          <w:rtl/>
        </w:rPr>
        <w:t xml:space="preserve"> </w:t>
      </w:r>
      <w:r w:rsidRPr="00FD1A3F">
        <w:rPr>
          <w:rFonts w:hint="eastAsia"/>
          <w:b/>
          <w:bCs/>
          <w:rtl/>
        </w:rPr>
        <w:t>יותר</w:t>
      </w:r>
      <w:r w:rsidRPr="00FD1A3F">
        <w:rPr>
          <w:b/>
          <w:bCs/>
          <w:rtl/>
        </w:rPr>
        <w:t xml:space="preserve">. ואולם, נמצא כי ברוב הענפים </w:t>
      </w:r>
      <w:r>
        <w:rPr>
          <w:rFonts w:hint="cs"/>
          <w:b/>
          <w:bCs/>
          <w:rtl/>
        </w:rPr>
        <w:t xml:space="preserve">לוּוה </w:t>
      </w:r>
      <w:r w:rsidRPr="00FD1A3F">
        <w:rPr>
          <w:rFonts w:hint="eastAsia"/>
          <w:b/>
          <w:bCs/>
          <w:rtl/>
        </w:rPr>
        <w:t>הגידול</w:t>
      </w:r>
      <w:r w:rsidRPr="00FD1A3F">
        <w:rPr>
          <w:b/>
          <w:bCs/>
          <w:rtl/>
        </w:rPr>
        <w:t xml:space="preserve"> </w:t>
      </w:r>
      <w:r w:rsidRPr="00FD1A3F">
        <w:rPr>
          <w:rFonts w:hint="eastAsia"/>
          <w:b/>
          <w:bCs/>
          <w:rtl/>
        </w:rPr>
        <w:t>בשיעור</w:t>
      </w:r>
      <w:r w:rsidRPr="00FD1A3F">
        <w:rPr>
          <w:b/>
          <w:bCs/>
          <w:rtl/>
        </w:rPr>
        <w:t xml:space="preserve"> </w:t>
      </w:r>
      <w:r w:rsidRPr="00FD1A3F">
        <w:rPr>
          <w:rFonts w:hint="eastAsia"/>
          <w:b/>
          <w:bCs/>
          <w:rtl/>
        </w:rPr>
        <w:t>הבקשות</w:t>
      </w:r>
      <w:r>
        <w:rPr>
          <w:rFonts w:hint="cs"/>
          <w:b/>
          <w:bCs/>
          <w:rtl/>
        </w:rPr>
        <w:t xml:space="preserve"> שאושרו</w:t>
      </w:r>
      <w:r w:rsidRPr="00FD1A3F">
        <w:rPr>
          <w:b/>
          <w:bCs/>
          <w:rtl/>
        </w:rPr>
        <w:t xml:space="preserve"> </w:t>
      </w:r>
      <w:r w:rsidRPr="00FD1A3F">
        <w:rPr>
          <w:rFonts w:hint="eastAsia"/>
          <w:b/>
          <w:bCs/>
          <w:rtl/>
        </w:rPr>
        <w:t>בירידה</w:t>
      </w:r>
      <w:r w:rsidRPr="00FD1A3F">
        <w:rPr>
          <w:b/>
          <w:bCs/>
          <w:rtl/>
        </w:rPr>
        <w:t xml:space="preserve"> </w:t>
      </w:r>
      <w:r w:rsidRPr="00FD1A3F">
        <w:rPr>
          <w:rFonts w:hint="eastAsia"/>
          <w:b/>
          <w:bCs/>
          <w:rtl/>
        </w:rPr>
        <w:t>בשיעור</w:t>
      </w:r>
      <w:r w:rsidRPr="00FD1A3F">
        <w:rPr>
          <w:b/>
          <w:bCs/>
          <w:rtl/>
        </w:rPr>
        <w:t xml:space="preserve"> הסכום המאושר </w:t>
      </w:r>
      <w:r w:rsidRPr="00FD1A3F">
        <w:rPr>
          <w:rFonts w:hint="eastAsia"/>
          <w:b/>
          <w:bCs/>
          <w:rtl/>
        </w:rPr>
        <w:t>בהשוואה</w:t>
      </w:r>
      <w:r w:rsidRPr="00FD1A3F">
        <w:rPr>
          <w:b/>
          <w:bCs/>
          <w:rtl/>
        </w:rPr>
        <w:t xml:space="preserve"> </w:t>
      </w:r>
      <w:r w:rsidRPr="00FD1A3F">
        <w:rPr>
          <w:rFonts w:hint="eastAsia"/>
          <w:b/>
          <w:bCs/>
          <w:rtl/>
        </w:rPr>
        <w:t>למסלול</w:t>
      </w:r>
      <w:r w:rsidRPr="00FD1A3F">
        <w:rPr>
          <w:b/>
          <w:bCs/>
          <w:rtl/>
        </w:rPr>
        <w:t xml:space="preserve"> </w:t>
      </w:r>
      <w:r w:rsidRPr="00FD1A3F">
        <w:rPr>
          <w:rFonts w:hint="eastAsia"/>
          <w:b/>
          <w:bCs/>
          <w:rtl/>
        </w:rPr>
        <w:t>הרגיל</w:t>
      </w:r>
      <w:r w:rsidRPr="00FD1A3F">
        <w:rPr>
          <w:b/>
          <w:bCs/>
          <w:rtl/>
        </w:rPr>
        <w:t>.</w:t>
      </w:r>
      <w:r>
        <w:rPr>
          <w:rFonts w:hint="cs"/>
          <w:rtl/>
        </w:rPr>
        <w:t xml:space="preserve"> </w:t>
      </w:r>
    </w:p>
    <w:p w:rsidR="00253C38" w:rsidRPr="00FD1A3F" w:rsidP="00982BC1" w14:paraId="1D11CC29" w14:textId="408D922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ED1F066" w14:textId="77777777">
      <w:pPr>
        <w:spacing w:line="269" w:lineRule="auto"/>
        <w:rPr>
          <w:rtl/>
        </w:rPr>
      </w:pPr>
      <w:r>
        <w:rPr>
          <w:rFonts w:hint="cs"/>
          <w:rtl/>
        </w:rPr>
        <w:t xml:space="preserve">תרשים </w:t>
      </w:r>
      <w:r w:rsidR="00847F7E">
        <w:rPr>
          <w:rFonts w:hint="cs"/>
          <w:rtl/>
        </w:rPr>
        <w:t>27</w:t>
      </w:r>
      <w:r>
        <w:rPr>
          <w:rFonts w:hint="cs"/>
          <w:rtl/>
        </w:rPr>
        <w:t xml:space="preserve"> להלן מציג את התפלגות הסכום המאושר ביחס לבקשות שאושרו ואת התפלגות הבקשות שאושרו</w:t>
      </w:r>
      <w:r w:rsidR="00705D6F">
        <w:rPr>
          <w:rFonts w:hint="cs"/>
          <w:rtl/>
        </w:rPr>
        <w:t xml:space="preserve"> במלואן ביחס לכל הבקשות שהוגשו במסלול המוגבר.</w:t>
      </w:r>
    </w:p>
    <w:p w:rsidR="00982BC1" w14:paraId="07E77273" w14:textId="77777777">
      <w:pPr>
        <w:bidi w:val="0"/>
        <w:spacing w:after="200" w:line="276" w:lineRule="auto"/>
        <w:rPr>
          <w:szCs w:val="20"/>
          <w:rtl/>
        </w:rPr>
      </w:pPr>
      <w:r>
        <w:rPr>
          <w:rtl/>
        </w:rPr>
        <w:br w:type="page"/>
      </w:r>
    </w:p>
    <w:p w:rsidR="00253C38" w:rsidRPr="00FD1A3F" w:rsidP="00982BC1" w14:paraId="67005909" w14:textId="6CC2CAB5">
      <w:pPr>
        <w:pStyle w:val="a"/>
        <w:spacing w:line="269" w:lineRule="auto"/>
        <w:rPr>
          <w:highlight w:val="yellow"/>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1C6911" w:rsidP="00982BC1" w14:paraId="1364A243" w14:textId="77777777">
      <w:pPr>
        <w:spacing w:line="269" w:lineRule="auto"/>
        <w:jc w:val="center"/>
        <w:rPr>
          <w:b/>
          <w:bCs/>
          <w:rtl/>
        </w:rPr>
      </w:pPr>
      <w:r w:rsidRPr="001C6911">
        <w:rPr>
          <w:rFonts w:hint="eastAsia"/>
          <w:b/>
          <w:bCs/>
          <w:rtl/>
        </w:rPr>
        <w:t>תרשים</w:t>
      </w:r>
      <w:r w:rsidRPr="001C6911">
        <w:rPr>
          <w:b/>
          <w:bCs/>
          <w:rtl/>
        </w:rPr>
        <w:t xml:space="preserve"> </w:t>
      </w:r>
      <w:r w:rsidR="00847F7E">
        <w:rPr>
          <w:rFonts w:hint="cs"/>
          <w:b/>
          <w:bCs/>
          <w:rtl/>
        </w:rPr>
        <w:t>27</w:t>
      </w:r>
      <w:r w:rsidRPr="001C6911">
        <w:rPr>
          <w:b/>
          <w:bCs/>
          <w:rtl/>
        </w:rPr>
        <w:t>: התפלגות הסכום המאושר ביחס לבקשות שאושרו והתפלגות הבקשות שאושרו במלואן ביחס לכל הבקשות שהוגשו במסלול המוגבר</w:t>
      </w:r>
    </w:p>
    <w:p w:rsidR="00253C38" w:rsidP="00982BC1" w14:paraId="16B19EB6" w14:textId="77777777">
      <w:pPr>
        <w:spacing w:line="269" w:lineRule="auto"/>
        <w:ind w:left="-283"/>
        <w:jc w:val="center"/>
        <w:rPr>
          <w:b/>
          <w:bCs/>
          <w:highlight w:val="yellow"/>
          <w:rtl/>
        </w:rPr>
      </w:pPr>
      <w:r>
        <w:rPr>
          <w:noProof/>
        </w:rPr>
        <w:drawing>
          <wp:inline distT="0" distB="0" distL="0" distR="0">
            <wp:extent cx="5682615" cy="2908569"/>
            <wp:effectExtent l="0" t="0" r="0" b="635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29503" name=""/>
                    <pic:cNvPicPr/>
                  </pic:nvPicPr>
                  <pic:blipFill>
                    <a:blip xmlns:r="http://schemas.openxmlformats.org/officeDocument/2006/relationships" r:embed="rId35"/>
                    <a:stretch>
                      <a:fillRect/>
                    </a:stretch>
                  </pic:blipFill>
                  <pic:spPr>
                    <a:xfrm>
                      <a:off x="0" y="0"/>
                      <a:ext cx="5693010" cy="2913889"/>
                    </a:xfrm>
                    <a:prstGeom prst="rect">
                      <a:avLst/>
                    </a:prstGeom>
                  </pic:spPr>
                </pic:pic>
              </a:graphicData>
            </a:graphic>
          </wp:inline>
        </w:drawing>
      </w:r>
    </w:p>
    <w:p w:rsidR="00253C38" w:rsidRPr="00982BC1" w:rsidP="00982BC1" w14:paraId="372272B3" w14:textId="77777777">
      <w:pPr>
        <w:spacing w:line="269" w:lineRule="auto"/>
        <w:rPr>
          <w:sz w:val="22"/>
          <w:szCs w:val="22"/>
          <w:rtl/>
        </w:rPr>
      </w:pPr>
      <w:r w:rsidRPr="00982BC1">
        <w:rPr>
          <w:rFonts w:hint="cs"/>
          <w:sz w:val="22"/>
          <w:szCs w:val="22"/>
          <w:rtl/>
        </w:rPr>
        <w:t>נתוני החשכ"ל, בעיבוד משרד מבקר המדינה.</w:t>
      </w:r>
    </w:p>
    <w:p w:rsidR="00253C38" w:rsidRPr="000140FE" w:rsidP="00982BC1" w14:paraId="3F971AEA" w14:textId="18DB108E">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P="00982BC1" w14:paraId="22F04D57" w14:textId="77777777">
      <w:pPr>
        <w:spacing w:line="269" w:lineRule="auto"/>
        <w:rPr>
          <w:b/>
          <w:bCs/>
          <w:sz w:val="24"/>
          <w:rtl/>
        </w:rPr>
      </w:pPr>
      <w:r w:rsidRPr="000451E7">
        <w:rPr>
          <w:rFonts w:hint="cs"/>
          <w:b/>
          <w:bCs/>
          <w:sz w:val="24"/>
          <w:rtl/>
        </w:rPr>
        <w:t>נמצא כי הגידול</w:t>
      </w:r>
      <w:r>
        <w:rPr>
          <w:rFonts w:hint="cs"/>
          <w:b/>
          <w:bCs/>
          <w:sz w:val="24"/>
          <w:rtl/>
        </w:rPr>
        <w:t xml:space="preserve"> המוערך ב-11.8%</w:t>
      </w:r>
      <w:r w:rsidRPr="000451E7">
        <w:rPr>
          <w:rFonts w:hint="cs"/>
          <w:b/>
          <w:bCs/>
          <w:sz w:val="24"/>
          <w:rtl/>
        </w:rPr>
        <w:t xml:space="preserve"> בשיעור האישורים במסגרת המסלול המוגבר ב</w:t>
      </w:r>
      <w:r>
        <w:rPr>
          <w:rFonts w:hint="cs"/>
          <w:b/>
          <w:bCs/>
          <w:sz w:val="24"/>
          <w:rtl/>
        </w:rPr>
        <w:t>השוואה</w:t>
      </w:r>
      <w:r w:rsidRPr="000451E7">
        <w:rPr>
          <w:rFonts w:hint="cs"/>
          <w:b/>
          <w:bCs/>
          <w:sz w:val="24"/>
          <w:rtl/>
        </w:rPr>
        <w:t xml:space="preserve"> למסלול הרגיל לו</w:t>
      </w:r>
      <w:r>
        <w:rPr>
          <w:rFonts w:hint="cs"/>
          <w:b/>
          <w:bCs/>
          <w:sz w:val="24"/>
          <w:rtl/>
        </w:rPr>
        <w:t>ּ</w:t>
      </w:r>
      <w:r w:rsidRPr="000451E7">
        <w:rPr>
          <w:rFonts w:hint="cs"/>
          <w:b/>
          <w:bCs/>
          <w:sz w:val="24"/>
          <w:rtl/>
        </w:rPr>
        <w:t>וה בירידה הן בשיעור הסכום שאושר בממוצע</w:t>
      </w:r>
      <w:r>
        <w:rPr>
          <w:rFonts w:hint="cs"/>
          <w:b/>
          <w:bCs/>
          <w:sz w:val="24"/>
          <w:rtl/>
        </w:rPr>
        <w:t xml:space="preserve"> בשיעור של כ-7.6%</w:t>
      </w:r>
      <w:r w:rsidRPr="000451E7">
        <w:rPr>
          <w:rFonts w:hint="cs"/>
          <w:b/>
          <w:bCs/>
          <w:sz w:val="24"/>
          <w:rtl/>
        </w:rPr>
        <w:t xml:space="preserve"> והן בשיעור הבקשות שנענו במלואן</w:t>
      </w:r>
      <w:r>
        <w:rPr>
          <w:rFonts w:hint="cs"/>
          <w:b/>
          <w:bCs/>
          <w:sz w:val="24"/>
          <w:rtl/>
        </w:rPr>
        <w:t xml:space="preserve"> בשיעור של כ-1.8%</w:t>
      </w:r>
      <w:r w:rsidRPr="000451E7">
        <w:rPr>
          <w:rFonts w:hint="cs"/>
          <w:b/>
          <w:bCs/>
          <w:sz w:val="24"/>
          <w:rtl/>
        </w:rPr>
        <w:t>.</w:t>
      </w:r>
      <w:r>
        <w:rPr>
          <w:rFonts w:hint="cs"/>
          <w:b/>
          <w:bCs/>
          <w:sz w:val="24"/>
          <w:rtl/>
        </w:rPr>
        <w:t xml:space="preserve"> משכך, אף שהמסלול המוגבר איפשר העמדת אשראי לעסקים שלא אושרו במסגרת המסלול הרגיל, סיפקה הקמתו פתרון חלקי בלבד</w:t>
      </w:r>
      <w:r w:rsidRPr="00D73EA0">
        <w:rPr>
          <w:rFonts w:hint="cs"/>
          <w:b/>
          <w:bCs/>
          <w:sz w:val="24"/>
          <w:rtl/>
        </w:rPr>
        <w:t xml:space="preserve">. </w:t>
      </w:r>
    </w:p>
    <w:p w:rsidR="00253C38" w:rsidP="00982BC1" w14:paraId="77D3BD45" w14:textId="34BEAE44">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RPr="000451E7" w:rsidP="00982BC1" w14:paraId="111108E3" w14:textId="77777777">
      <w:pPr>
        <w:spacing w:line="269" w:lineRule="auto"/>
        <w:rPr>
          <w:b/>
          <w:bCs/>
          <w:sz w:val="24"/>
          <w:rtl/>
        </w:rPr>
      </w:pPr>
      <w:r>
        <w:rPr>
          <w:rFonts w:hint="cs"/>
          <w:b/>
          <w:bCs/>
          <w:sz w:val="24"/>
          <w:rtl/>
        </w:rPr>
        <w:t xml:space="preserve">מומלץ כי </w:t>
      </w:r>
      <w:r w:rsidRPr="00D73EA0">
        <w:rPr>
          <w:rFonts w:hint="cs"/>
          <w:b/>
          <w:bCs/>
          <w:sz w:val="24"/>
          <w:rtl/>
        </w:rPr>
        <w:t xml:space="preserve">החשכ"ל ובנק ישראל </w:t>
      </w:r>
      <w:r>
        <w:rPr>
          <w:rFonts w:hint="cs"/>
          <w:b/>
          <w:bCs/>
          <w:sz w:val="24"/>
          <w:rtl/>
        </w:rPr>
        <w:t>י</w:t>
      </w:r>
      <w:r w:rsidRPr="00D73EA0">
        <w:rPr>
          <w:rFonts w:hint="cs"/>
          <w:b/>
          <w:bCs/>
          <w:sz w:val="24"/>
          <w:rtl/>
        </w:rPr>
        <w:t>בח</w:t>
      </w:r>
      <w:r>
        <w:rPr>
          <w:rFonts w:hint="cs"/>
          <w:b/>
          <w:bCs/>
          <w:sz w:val="24"/>
          <w:rtl/>
        </w:rPr>
        <w:t>נ</w:t>
      </w:r>
      <w:r w:rsidRPr="00D73EA0">
        <w:rPr>
          <w:rFonts w:hint="cs"/>
          <w:b/>
          <w:bCs/>
          <w:sz w:val="24"/>
          <w:rtl/>
        </w:rPr>
        <w:t xml:space="preserve">ו דרכים לעודד את המערכת הבנקאית </w:t>
      </w:r>
      <w:r>
        <w:rPr>
          <w:rFonts w:hint="cs"/>
          <w:b/>
          <w:bCs/>
          <w:sz w:val="24"/>
          <w:rtl/>
        </w:rPr>
        <w:t>להתאים</w:t>
      </w:r>
      <w:r w:rsidRPr="00D73EA0">
        <w:rPr>
          <w:rFonts w:hint="cs"/>
          <w:b/>
          <w:bCs/>
          <w:sz w:val="24"/>
          <w:rtl/>
        </w:rPr>
        <w:t xml:space="preserve"> את</w:t>
      </w:r>
      <w:r>
        <w:rPr>
          <w:rFonts w:hint="cs"/>
          <w:b/>
          <w:bCs/>
          <w:sz w:val="24"/>
          <w:rtl/>
        </w:rPr>
        <w:t xml:space="preserve"> מסלולי</w:t>
      </w:r>
      <w:r w:rsidRPr="00D73EA0">
        <w:rPr>
          <w:rFonts w:hint="cs"/>
          <w:b/>
          <w:bCs/>
          <w:sz w:val="24"/>
          <w:rtl/>
        </w:rPr>
        <w:t xml:space="preserve"> האשראי </w:t>
      </w:r>
      <w:r>
        <w:rPr>
          <w:rFonts w:hint="cs"/>
          <w:b/>
          <w:bCs/>
          <w:sz w:val="24"/>
          <w:rtl/>
        </w:rPr>
        <w:t>במסגרת הקרנות לצורכי האשראי במשק בכלל ובענפים שנפגעו בעת המשבר בפרט.</w:t>
      </w:r>
    </w:p>
    <w:p w:rsidR="00253C38" w:rsidP="00982BC1" w14:paraId="558EBA04" w14:textId="362E3FA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0140FE" w:rsidP="00982BC1" w14:paraId="5F830537" w14:textId="77777777">
      <w:pPr>
        <w:spacing w:line="269" w:lineRule="auto"/>
        <w:rPr>
          <w:sz w:val="24"/>
          <w:rtl/>
        </w:rPr>
      </w:pPr>
      <w:r>
        <w:rPr>
          <w:rFonts w:hint="cs"/>
          <w:sz w:val="24"/>
          <w:rtl/>
        </w:rPr>
        <w:t>התרשים להלן מציג את סך הבקשות ואת היקף הסכומים המבוקשים במסלול הרגיל ובמסלול המוגבר בפריסה חודשית.</w:t>
      </w:r>
    </w:p>
    <w:p w:rsidR="00847F7E" w:rsidP="00982BC1" w14:paraId="406C000C" w14:textId="3A82571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0A4AA9E0" w14:textId="22B35DD1">
      <w:pPr>
        <w:spacing w:line="269" w:lineRule="auto"/>
        <w:jc w:val="center"/>
        <w:rPr>
          <w:b/>
          <w:bCs/>
          <w:rtl/>
        </w:rPr>
      </w:pPr>
      <w:r w:rsidRPr="001C6911">
        <w:rPr>
          <w:rFonts w:hint="eastAsia"/>
          <w:b/>
          <w:bCs/>
          <w:rtl/>
        </w:rPr>
        <w:t>תרשים</w:t>
      </w:r>
      <w:r w:rsidRPr="001C6911">
        <w:rPr>
          <w:b/>
          <w:bCs/>
          <w:rtl/>
        </w:rPr>
        <w:t xml:space="preserve"> </w:t>
      </w:r>
      <w:r w:rsidR="00847F7E">
        <w:rPr>
          <w:rFonts w:hint="cs"/>
          <w:b/>
          <w:bCs/>
          <w:rtl/>
        </w:rPr>
        <w:t>28</w:t>
      </w:r>
      <w:r w:rsidRPr="001C6911">
        <w:rPr>
          <w:b/>
          <w:bCs/>
          <w:rtl/>
        </w:rPr>
        <w:t xml:space="preserve">: סך הבקשות </w:t>
      </w:r>
      <w:r w:rsidRPr="001C6911">
        <w:rPr>
          <w:rFonts w:hint="eastAsia"/>
          <w:b/>
          <w:bCs/>
          <w:rtl/>
        </w:rPr>
        <w:t>והסכום</w:t>
      </w:r>
      <w:r w:rsidRPr="001C6911">
        <w:rPr>
          <w:b/>
          <w:bCs/>
          <w:rtl/>
        </w:rPr>
        <w:t xml:space="preserve"> </w:t>
      </w:r>
      <w:r w:rsidRPr="001C6911">
        <w:rPr>
          <w:rFonts w:hint="eastAsia"/>
          <w:b/>
          <w:bCs/>
          <w:rtl/>
        </w:rPr>
        <w:t>המבוקש</w:t>
      </w:r>
      <w:r w:rsidRPr="001C6911">
        <w:rPr>
          <w:b/>
          <w:bCs/>
          <w:rtl/>
        </w:rPr>
        <w:t xml:space="preserve"> </w:t>
      </w:r>
      <w:r w:rsidRPr="001C6911">
        <w:rPr>
          <w:rFonts w:hint="eastAsia"/>
          <w:b/>
          <w:bCs/>
          <w:rtl/>
        </w:rPr>
        <w:t>במסלול</w:t>
      </w:r>
      <w:r w:rsidRPr="001C6911">
        <w:rPr>
          <w:b/>
          <w:bCs/>
          <w:rtl/>
        </w:rPr>
        <w:t xml:space="preserve"> </w:t>
      </w:r>
      <w:r w:rsidRPr="001C6911">
        <w:rPr>
          <w:rFonts w:hint="eastAsia"/>
          <w:b/>
          <w:bCs/>
          <w:rtl/>
        </w:rPr>
        <w:t>הרגיל</w:t>
      </w:r>
      <w:r w:rsidRPr="001C6911">
        <w:rPr>
          <w:b/>
          <w:bCs/>
          <w:rtl/>
        </w:rPr>
        <w:t xml:space="preserve"> </w:t>
      </w:r>
      <w:r w:rsidRPr="001C6911">
        <w:rPr>
          <w:rFonts w:hint="eastAsia"/>
          <w:b/>
          <w:bCs/>
          <w:rtl/>
        </w:rPr>
        <w:t>והמוגבר</w:t>
      </w:r>
      <w:r>
        <w:rPr>
          <w:rFonts w:hint="cs"/>
          <w:b/>
          <w:bCs/>
          <w:rtl/>
        </w:rPr>
        <w:t>, אפריל - אוקטובר 2020</w:t>
      </w:r>
    </w:p>
    <w:p w:rsidR="00253C38" w:rsidRPr="00FD1A3F" w:rsidP="00982BC1" w14:paraId="6D639DDC" w14:textId="77777777">
      <w:pPr>
        <w:spacing w:line="269" w:lineRule="auto"/>
        <w:ind w:left="-708"/>
        <w:jc w:val="center"/>
        <w:rPr>
          <w:rtl/>
        </w:rPr>
      </w:pPr>
      <w:r>
        <w:rPr>
          <w:noProof/>
        </w:rPr>
        <w:drawing>
          <wp:inline distT="0" distB="0" distL="0" distR="0">
            <wp:extent cx="6381115" cy="2562225"/>
            <wp:effectExtent l="0" t="0" r="635"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10271" name=""/>
                    <pic:cNvPicPr/>
                  </pic:nvPicPr>
                  <pic:blipFill>
                    <a:blip xmlns:r="http://schemas.openxmlformats.org/officeDocument/2006/relationships" r:embed="rId36"/>
                    <a:stretch>
                      <a:fillRect/>
                    </a:stretch>
                  </pic:blipFill>
                  <pic:spPr>
                    <a:xfrm>
                      <a:off x="0" y="0"/>
                      <a:ext cx="6393762" cy="2567303"/>
                    </a:xfrm>
                    <a:prstGeom prst="rect">
                      <a:avLst/>
                    </a:prstGeom>
                  </pic:spPr>
                </pic:pic>
              </a:graphicData>
            </a:graphic>
          </wp:inline>
        </w:drawing>
      </w:r>
    </w:p>
    <w:p w:rsidR="00253C38" w:rsidRPr="00982BC1" w:rsidP="00982BC1" w14:paraId="21ABF690" w14:textId="77777777">
      <w:pPr>
        <w:spacing w:line="269" w:lineRule="auto"/>
        <w:rPr>
          <w:sz w:val="22"/>
          <w:szCs w:val="22"/>
          <w:rtl/>
        </w:rPr>
      </w:pPr>
      <w:r w:rsidRPr="00982BC1">
        <w:rPr>
          <w:rFonts w:hint="cs"/>
          <w:sz w:val="22"/>
          <w:szCs w:val="22"/>
          <w:rtl/>
        </w:rPr>
        <w:t>נתוני החשכ"ל, בעיבוד משרד מבקר המדינה.</w:t>
      </w:r>
    </w:p>
    <w:p w:rsidR="00253C38" w:rsidRPr="00982BC1" w:rsidP="00982BC1" w14:paraId="5D1EACAE" w14:textId="77777777">
      <w:pPr>
        <w:spacing w:line="269" w:lineRule="auto"/>
        <w:rPr>
          <w:sz w:val="22"/>
          <w:szCs w:val="22"/>
          <w:rtl/>
        </w:rPr>
      </w:pPr>
      <w:r w:rsidRPr="00982BC1">
        <w:rPr>
          <w:sz w:val="22"/>
          <w:szCs w:val="22"/>
          <w:rtl/>
        </w:rPr>
        <w:t xml:space="preserve">* </w:t>
      </w:r>
      <w:r w:rsidRPr="00982BC1">
        <w:rPr>
          <w:rFonts w:hint="eastAsia"/>
          <w:sz w:val="22"/>
          <w:szCs w:val="22"/>
          <w:rtl/>
        </w:rPr>
        <w:t>עד</w:t>
      </w:r>
      <w:r w:rsidRPr="00982BC1">
        <w:rPr>
          <w:sz w:val="22"/>
          <w:szCs w:val="22"/>
          <w:rtl/>
        </w:rPr>
        <w:t xml:space="preserve"> </w:t>
      </w:r>
      <w:r w:rsidRPr="00982BC1">
        <w:rPr>
          <w:rFonts w:hint="cs"/>
          <w:sz w:val="22"/>
          <w:szCs w:val="22"/>
          <w:rtl/>
        </w:rPr>
        <w:t>יום</w:t>
      </w:r>
      <w:r w:rsidRPr="00982BC1">
        <w:rPr>
          <w:sz w:val="22"/>
          <w:szCs w:val="22"/>
          <w:rtl/>
        </w:rPr>
        <w:t xml:space="preserve"> 19.10.</w:t>
      </w:r>
      <w:r w:rsidRPr="00982BC1">
        <w:rPr>
          <w:rFonts w:hint="cs"/>
          <w:sz w:val="22"/>
          <w:szCs w:val="22"/>
          <w:rtl/>
        </w:rPr>
        <w:t>20</w:t>
      </w:r>
      <w:r w:rsidRPr="00982BC1">
        <w:rPr>
          <w:sz w:val="22"/>
          <w:szCs w:val="22"/>
          <w:rtl/>
        </w:rPr>
        <w:t xml:space="preserve">. </w:t>
      </w:r>
    </w:p>
    <w:p w:rsidR="00253C38" w:rsidP="00982BC1" w14:paraId="7CD37C27" w14:textId="30EF529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84EE86A" w14:textId="77777777">
      <w:pPr>
        <w:spacing w:line="269" w:lineRule="auto"/>
        <w:rPr>
          <w:sz w:val="24"/>
          <w:rtl/>
        </w:rPr>
      </w:pPr>
      <w:r w:rsidRPr="00EA473F">
        <w:rPr>
          <w:rFonts w:hint="eastAsia"/>
          <w:b/>
          <w:bCs/>
          <w:sz w:val="24"/>
          <w:rtl/>
        </w:rPr>
        <w:t>מתרשים</w:t>
      </w:r>
      <w:r>
        <w:rPr>
          <w:rFonts w:hint="cs"/>
          <w:b/>
          <w:bCs/>
          <w:sz w:val="24"/>
          <w:rtl/>
        </w:rPr>
        <w:t xml:space="preserve"> </w:t>
      </w:r>
      <w:r w:rsidR="00847F7E">
        <w:rPr>
          <w:rFonts w:hint="cs"/>
          <w:b/>
          <w:bCs/>
          <w:sz w:val="24"/>
          <w:rtl/>
        </w:rPr>
        <w:t>28</w:t>
      </w:r>
      <w:r w:rsidRPr="00EA473F">
        <w:rPr>
          <w:b/>
          <w:bCs/>
          <w:sz w:val="24"/>
          <w:rtl/>
        </w:rPr>
        <w:t xml:space="preserve"> ניכר כי הביקוש במסלול המוגבר, הן במספר הבקשות והן בהיקפן, נמוך</w:t>
      </w:r>
      <w:r w:rsidR="00847F7E">
        <w:rPr>
          <w:rFonts w:hint="cs"/>
          <w:b/>
          <w:bCs/>
          <w:sz w:val="24"/>
          <w:rtl/>
        </w:rPr>
        <w:t xml:space="preserve"> מהותית</w:t>
      </w:r>
      <w:r w:rsidRPr="00EA473F">
        <w:rPr>
          <w:b/>
          <w:bCs/>
          <w:sz w:val="24"/>
          <w:rtl/>
        </w:rPr>
        <w:t xml:space="preserve"> ב</w:t>
      </w:r>
      <w:r>
        <w:rPr>
          <w:rFonts w:hint="cs"/>
          <w:b/>
          <w:bCs/>
          <w:sz w:val="24"/>
          <w:rtl/>
        </w:rPr>
        <w:t>השוואה</w:t>
      </w:r>
      <w:r w:rsidRPr="00EA473F">
        <w:rPr>
          <w:b/>
          <w:bCs/>
          <w:sz w:val="24"/>
          <w:rtl/>
        </w:rPr>
        <w:t xml:space="preserve"> למס</w:t>
      </w:r>
      <w:r w:rsidRPr="00EA473F">
        <w:rPr>
          <w:rFonts w:hint="eastAsia"/>
          <w:b/>
          <w:bCs/>
          <w:sz w:val="24"/>
          <w:rtl/>
        </w:rPr>
        <w:t>לול</w:t>
      </w:r>
      <w:r w:rsidRPr="00EA473F">
        <w:rPr>
          <w:b/>
          <w:bCs/>
          <w:sz w:val="24"/>
          <w:rtl/>
        </w:rPr>
        <w:t xml:space="preserve"> הרגיל </w:t>
      </w:r>
      <w:r w:rsidRPr="00EA473F">
        <w:rPr>
          <w:rFonts w:hint="eastAsia"/>
          <w:b/>
          <w:bCs/>
          <w:sz w:val="24"/>
          <w:rtl/>
        </w:rPr>
        <w:t>במהלך</w:t>
      </w:r>
      <w:r w:rsidRPr="00EA473F">
        <w:rPr>
          <w:b/>
          <w:bCs/>
          <w:sz w:val="24"/>
          <w:rtl/>
        </w:rPr>
        <w:t xml:space="preserve"> כל חודשי </w:t>
      </w:r>
      <w:r w:rsidRPr="00EA473F">
        <w:rPr>
          <w:rFonts w:hint="eastAsia"/>
          <w:b/>
          <w:bCs/>
          <w:sz w:val="24"/>
          <w:rtl/>
        </w:rPr>
        <w:t>הפעילות</w:t>
      </w:r>
      <w:r w:rsidRPr="00EA473F">
        <w:rPr>
          <w:b/>
          <w:bCs/>
          <w:sz w:val="24"/>
          <w:rtl/>
        </w:rPr>
        <w:t>.</w:t>
      </w:r>
      <w:r>
        <w:rPr>
          <w:rFonts w:hint="cs"/>
          <w:sz w:val="24"/>
          <w:rtl/>
        </w:rPr>
        <w:t xml:space="preserve"> </w:t>
      </w:r>
    </w:p>
    <w:p w:rsidR="00253C38" w:rsidP="00982BC1" w14:paraId="66371B46" w14:textId="16CF458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B1E346E" w14:textId="77777777">
      <w:pPr>
        <w:spacing w:line="269" w:lineRule="auto"/>
        <w:rPr>
          <w:sz w:val="24"/>
          <w:rtl/>
        </w:rPr>
      </w:pPr>
      <w:r w:rsidRPr="00847F7E">
        <w:rPr>
          <w:rFonts w:hint="cs"/>
          <w:sz w:val="24"/>
          <w:rtl/>
        </w:rPr>
        <w:t xml:space="preserve">הקמת המסלול המוגבר נועדה להגדיל את היקף האשראי, ואולם טרם החל המסלול לפעול עלה חשש כי נוכח הגידול בשיעור הערבות המוצע במסלול זה עלולים הגופים המממנים להסיט את כל ההלוואות המועמדות בקרנות אליו. לפיכך הוחלט להגביל את המענה במסלול המוגבר, ולייעדו רק לקבוצת העסקים שכלל לא נענו במסגרת המסלול הרגיל בלבד. במסגרת השיח השוטף של החשכ"ל עם הגופים המממנים הובהר כי חלק מהעסקים קיבלו סכומים נמוכים במסלול הרגיל כדי לסייע להם בטווח הקצר, אף שאלה עונים לרמת הסיכון המאפיינת את המסלול המוגבר. על רקע זה בוטלה ביום </w:t>
      </w:r>
      <w:r w:rsidRPr="00847F7E">
        <w:rPr>
          <w:sz w:val="24"/>
          <w:rtl/>
        </w:rPr>
        <w:t>16.7.20</w:t>
      </w:r>
      <w:r w:rsidRPr="00847F7E">
        <w:rPr>
          <w:rFonts w:hint="cs"/>
          <w:sz w:val="24"/>
          <w:rtl/>
        </w:rPr>
        <w:t xml:space="preserve"> המגבלה.</w:t>
      </w:r>
      <w:r>
        <w:rPr>
          <w:rFonts w:hint="cs"/>
          <w:sz w:val="24"/>
          <w:rtl/>
        </w:rPr>
        <w:t xml:space="preserve"> </w:t>
      </w:r>
    </w:p>
    <w:p w:rsidR="00253C38" w:rsidP="00982BC1" w14:paraId="00CE3E4D" w14:textId="4B5A3D2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338B777" w14:textId="77777777">
      <w:pPr>
        <w:spacing w:line="269" w:lineRule="auto"/>
        <w:rPr>
          <w:sz w:val="24"/>
          <w:rtl/>
        </w:rPr>
      </w:pPr>
      <w:r>
        <w:rPr>
          <w:rFonts w:hint="cs"/>
          <w:sz w:val="24"/>
          <w:rtl/>
        </w:rPr>
        <w:t xml:space="preserve">הפערים הגדולים בין סכומי הבקשות לסכומים שאושרו במסגרת המסלול הרגיל המשתקפים בתרשים </w:t>
      </w:r>
      <w:r w:rsidR="00847F7E">
        <w:rPr>
          <w:rFonts w:hint="cs"/>
          <w:sz w:val="24"/>
          <w:rtl/>
        </w:rPr>
        <w:t>28</w:t>
      </w:r>
      <w:r>
        <w:rPr>
          <w:rFonts w:hint="cs"/>
          <w:sz w:val="24"/>
          <w:rtl/>
        </w:rPr>
        <w:t xml:space="preserve"> לעיל, והסרת המגבלה שהוטלה בדבר הגשת בקשות לשני המסלולים - היו צפויים להגדיל את הביקוש למסלול המוגבר. עם זאת, הביקוש הנמוך להלוואות במסלול המוגבר והעובדה כי עסקים רבים עדיין נמצאים במצוקה מעידים על כך שמסלול זה לא מספק מענה שלם. ייתכן שהסיבה נעוצה בכך שמסלול זה נפתח מאוחר מדי עבור חלק מהעסקים. בפגישות שקיים צוות הביקורת עם נציגי הגופים המממנים נמצא כי קיימים עסקים רבים שבקשותיהם לקבלת אשראי נדחו, אולם עסקים אלה היו נענים בחיוב אילו היה מוקם המסלול המוגבר בשלב מוקדם יותר.</w:t>
      </w:r>
    </w:p>
    <w:p w:rsidR="00253C38" w:rsidP="00982BC1" w14:paraId="31E2F925" w14:textId="4118BE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B7CC628" w14:textId="77777777">
      <w:pPr>
        <w:spacing w:line="269" w:lineRule="auto"/>
        <w:rPr>
          <w:b/>
          <w:bCs/>
          <w:sz w:val="24"/>
          <w:rtl/>
        </w:rPr>
      </w:pPr>
      <w:r>
        <w:rPr>
          <w:rFonts w:hint="cs"/>
          <w:b/>
          <w:bCs/>
          <w:sz w:val="24"/>
          <w:rtl/>
        </w:rPr>
        <w:t>הקמת המסלול המוגבר בחודש יוני נעשתה בשלב מאוחר, ולכן ייתכן שפגעה במידת נחיצותו ובהיתכנות העסקים לקבל</w:t>
      </w:r>
      <w:r w:rsidRPr="003A36FA">
        <w:rPr>
          <w:rFonts w:hint="cs"/>
          <w:b/>
          <w:bCs/>
          <w:sz w:val="24"/>
          <w:rtl/>
        </w:rPr>
        <w:t xml:space="preserve"> אשראי בשלב מוקדם</w:t>
      </w:r>
      <w:r>
        <w:rPr>
          <w:rFonts w:hint="cs"/>
          <w:b/>
          <w:bCs/>
          <w:sz w:val="24"/>
          <w:rtl/>
        </w:rPr>
        <w:t xml:space="preserve"> </w:t>
      </w:r>
      <w:r w:rsidRPr="00BB57D4">
        <w:rPr>
          <w:rFonts w:hint="cs"/>
          <w:b/>
          <w:bCs/>
          <w:sz w:val="24"/>
          <w:rtl/>
        </w:rPr>
        <w:t xml:space="preserve">כדי לצלוח את </w:t>
      </w:r>
      <w:r w:rsidRPr="00AD47FF">
        <w:rPr>
          <w:rFonts w:hint="cs"/>
          <w:b/>
          <w:bCs/>
          <w:sz w:val="24"/>
          <w:rtl/>
        </w:rPr>
        <w:t>המשבר. התנהלות זו</w:t>
      </w:r>
      <w:r w:rsidRPr="00AD47FF" w:rsidR="00BB57D4">
        <w:rPr>
          <w:rFonts w:hint="cs"/>
          <w:b/>
          <w:bCs/>
          <w:sz w:val="24"/>
          <w:rtl/>
        </w:rPr>
        <w:t xml:space="preserve"> </w:t>
      </w:r>
      <w:r w:rsidRPr="00AD47FF">
        <w:rPr>
          <w:rFonts w:hint="cs"/>
          <w:b/>
          <w:bCs/>
          <w:sz w:val="24"/>
          <w:rtl/>
        </w:rPr>
        <w:t>מחדדת את הצורך בזיהוי מוקדי הפגיעה ומתן מענה ממוקד ומהיר ככל</w:t>
      </w:r>
      <w:r w:rsidRPr="00BB57D4">
        <w:rPr>
          <w:rFonts w:hint="cs"/>
          <w:b/>
          <w:bCs/>
          <w:sz w:val="24"/>
          <w:rtl/>
        </w:rPr>
        <w:t xml:space="preserve"> שניתן.</w:t>
      </w:r>
    </w:p>
    <w:p w:rsidR="00253C38" w:rsidP="00982BC1" w14:paraId="2CCAE98D" w14:textId="05892696">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F6E8F93" w14:textId="270EB9ED">
      <w:pPr>
        <w:spacing w:line="269" w:lineRule="auto"/>
        <w:rPr>
          <w:b/>
          <w:bCs/>
          <w:sz w:val="24"/>
          <w:rtl/>
        </w:rPr>
      </w:pPr>
      <w:r>
        <w:rPr>
          <w:rFonts w:hint="cs"/>
          <w:b/>
          <w:bCs/>
          <w:sz w:val="24"/>
          <w:rtl/>
        </w:rPr>
        <w:t>מומלץ כי החשב הכללי יפעל לכך שבעת דחיית בקשות אשראי במסלול הרגיל יציינו הגופים המממנים את האפשרות לפנות למסלול המוגבר.</w:t>
      </w:r>
    </w:p>
    <w:p w:rsidR="00982BC1" w:rsidP="00982BC1" w14:paraId="7AFF6E5E" w14:textId="77777777">
      <w:pPr>
        <w:spacing w:line="269" w:lineRule="auto"/>
        <w:rPr>
          <w:b/>
          <w:bCs/>
          <w:sz w:val="24"/>
          <w:rtl/>
        </w:rPr>
      </w:pPr>
    </w:p>
    <w:p w:rsidR="00253C38" w:rsidRPr="00AE0731" w:rsidP="00982BC1" w14:paraId="4F86F3EF" w14:textId="77777777">
      <w:pPr>
        <w:pStyle w:val="Heading6"/>
        <w:spacing w:line="269" w:lineRule="auto"/>
        <w:rPr>
          <w:rtl/>
        </w:rPr>
      </w:pPr>
      <w:r w:rsidRPr="001541B6">
        <w:rPr>
          <w:rFonts w:hint="cs"/>
          <w:rtl/>
        </w:rPr>
        <w:t>השתתפות גופים חוץ-בנקאיים</w:t>
      </w:r>
    </w:p>
    <w:p w:rsidR="00253C38" w:rsidP="00982BC1" w14:paraId="074909A5" w14:textId="5BF0A04D">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3C38" w:rsidP="00982BC1" w14:paraId="1803AF0C" w14:textId="77777777">
      <w:pPr>
        <w:spacing w:line="269" w:lineRule="auto"/>
        <w:rPr>
          <w:rtl/>
          <w:lang w:eastAsia="he-IL"/>
        </w:rPr>
      </w:pPr>
      <w:r>
        <w:rPr>
          <w:rFonts w:hint="cs"/>
          <w:rtl/>
          <w:lang w:eastAsia="he-IL"/>
        </w:rPr>
        <w:t>בעוד שעסקים שהוגדרו "טובים" זכו למענה במסגרת המסלול הרגיל, המענה ליתר ה</w:t>
      </w:r>
      <w:r w:rsidRPr="001541B6">
        <w:rPr>
          <w:rFonts w:hint="cs"/>
          <w:rtl/>
          <w:lang w:eastAsia="he-IL"/>
        </w:rPr>
        <w:t>עסקים</w:t>
      </w:r>
      <w:r>
        <w:rPr>
          <w:rFonts w:hint="cs"/>
          <w:rtl/>
          <w:lang w:eastAsia="he-IL"/>
        </w:rPr>
        <w:t xml:space="preserve"> יועד להינתן במסגרת המסלול המוגבר. מדובר בקבוצת עסקים רחבה, הכוללת עסקים יעילים שנפגעו נוכח השתייכותם הענפית, לצד עסקים יעילים פחות אשר נקלעו לקשיי תזרים שאיימו על קיומם בשל השפעות המשבר. ואולם, בדיקה מעלה כי גם לאחר הגדלת ערבות המדינה על התיק לשיעור של 60% במסגרת המסלול המוגבר לא נפתרה בעיית מימוש ההלוואות.</w:t>
      </w:r>
    </w:p>
    <w:p w:rsidR="00253C38" w:rsidP="00982BC1" w14:paraId="605F2A5C" w14:textId="02655410">
      <w:pPr>
        <w:pStyle w:val="a"/>
        <w:spacing w:line="269" w:lineRule="auto"/>
        <w:rPr>
          <w:rtl/>
          <w:lang w:eastAsia="he-IL"/>
        </w:rPr>
      </w:pPr>
      <w:r>
        <w:rPr>
          <w:rtl/>
          <w:lang w:eastAsia="he-IL"/>
        </w:rPr>
        <w:fldChar w:fldCharType="begin"/>
      </w:r>
      <w:r>
        <w:rPr>
          <w:rtl/>
          <w:lang w:eastAsia="he-IL"/>
        </w:rPr>
        <w:instrText xml:space="preserve"> </w:instrText>
      </w:r>
      <w:r>
        <w:rPr>
          <w:lang w:eastAsia="he-IL"/>
        </w:rPr>
        <w:instrText>AUTONUMLGL \e  \* MERGEFORMAT</w:instrText>
      </w:r>
      <w:r>
        <w:rPr>
          <w:rtl/>
          <w:lang w:eastAsia="he-IL"/>
        </w:rPr>
        <w:instrText xml:space="preserve"> </w:instrText>
      </w:r>
      <w:r>
        <w:rPr>
          <w:rtl/>
          <w:lang w:eastAsia="he-IL"/>
        </w:rPr>
        <w:fldChar w:fldCharType="end"/>
      </w:r>
    </w:p>
    <w:p w:rsidR="00253C38" w:rsidRPr="0073731D" w:rsidP="00982BC1" w14:paraId="3DE904CE" w14:textId="77777777">
      <w:pPr>
        <w:spacing w:line="269" w:lineRule="auto"/>
        <w:rPr>
          <w:rtl/>
        </w:rPr>
      </w:pPr>
      <w:r w:rsidRPr="0073731D">
        <w:rPr>
          <w:rFonts w:hint="cs"/>
          <w:rtl/>
        </w:rPr>
        <w:t>ירידה ניכרת במחזור פעילותם של עסקים רבים, בייחוד בענפים מסוימים, פגעה ברצון הגופים המממנים להעמיד הלוואות במסגרת הקרנות, לנוכח היעדר מקורות זמינים לפירעונן. הקמת המסלול המוגבר צמצמה אומנם את הסיכון של הגופים המממנים אך לא הסירה אותו לחלוטין. משכך, נקטו הגופים המממנים משנה זהירות, ובקשות רבות לאשראי סורבו למרות התקווה שתלו עסקים רבים במסלול המוגבר.</w:t>
      </w:r>
    </w:p>
    <w:p w:rsidR="00253C38" w:rsidRPr="0073731D" w:rsidP="00982BC1" w14:paraId="2F6A3691" w14:textId="3C26F2A6">
      <w:pPr>
        <w:pStyle w:val="a"/>
        <w:spacing w:line="269" w:lineRule="auto"/>
        <w:rPr>
          <w:rtl/>
        </w:rPr>
      </w:pPr>
      <w:r w:rsidRPr="0073731D">
        <w:rPr>
          <w:rtl/>
        </w:rPr>
        <w:fldChar w:fldCharType="begin"/>
      </w:r>
      <w:r w:rsidRPr="0092578D">
        <w:rPr>
          <w:rtl/>
        </w:rPr>
        <w:instrText xml:space="preserve"> </w:instrText>
      </w:r>
      <w:r w:rsidRPr="0092578D">
        <w:instrText>AUTONUMLGL \e  \* MERGEFORMAT</w:instrText>
      </w:r>
      <w:r w:rsidRPr="0092578D">
        <w:rPr>
          <w:rtl/>
        </w:rPr>
        <w:instrText xml:space="preserve"> </w:instrText>
      </w:r>
      <w:r w:rsidRPr="0073731D">
        <w:rPr>
          <w:rtl/>
        </w:rPr>
        <w:fldChar w:fldCharType="end"/>
      </w:r>
    </w:p>
    <w:p w:rsidR="00253C38" w:rsidRPr="00AE0731" w:rsidP="00982BC1" w14:paraId="18BC2974" w14:textId="16AC5CF8">
      <w:pPr>
        <w:spacing w:line="269" w:lineRule="auto"/>
        <w:rPr>
          <w:b/>
          <w:bCs/>
          <w:rtl/>
        </w:rPr>
      </w:pPr>
      <w:r w:rsidRPr="0073731D">
        <w:rPr>
          <w:rFonts w:hint="cs"/>
          <w:b/>
          <w:bCs/>
          <w:rtl/>
        </w:rPr>
        <w:t>לדעת משרד מבקר המדינה</w:t>
      </w:r>
      <w:r w:rsidRPr="0073731D" w:rsidR="005549AD">
        <w:rPr>
          <w:rFonts w:hint="cs"/>
          <w:b/>
          <w:bCs/>
          <w:rtl/>
        </w:rPr>
        <w:t xml:space="preserve"> </w:t>
      </w:r>
      <w:r w:rsidRPr="0073731D" w:rsidR="005549AD">
        <w:rPr>
          <w:rFonts w:hint="eastAsia"/>
          <w:b/>
          <w:bCs/>
          <w:rtl/>
        </w:rPr>
        <w:t>נוכח</w:t>
      </w:r>
      <w:r w:rsidRPr="0073731D" w:rsidR="005549AD">
        <w:rPr>
          <w:b/>
          <w:bCs/>
          <w:rtl/>
        </w:rPr>
        <w:t xml:space="preserve"> </w:t>
      </w:r>
      <w:r w:rsidRPr="0073731D" w:rsidR="005549AD">
        <w:rPr>
          <w:rFonts w:hint="eastAsia"/>
          <w:b/>
          <w:bCs/>
          <w:rtl/>
        </w:rPr>
        <w:t>שיעורי</w:t>
      </w:r>
      <w:r w:rsidRPr="0073731D" w:rsidR="005549AD">
        <w:rPr>
          <w:b/>
          <w:bCs/>
          <w:rtl/>
        </w:rPr>
        <w:t xml:space="preserve"> </w:t>
      </w:r>
      <w:r w:rsidRPr="0073731D" w:rsidR="005549AD">
        <w:rPr>
          <w:rFonts w:hint="eastAsia"/>
          <w:b/>
          <w:bCs/>
          <w:rtl/>
        </w:rPr>
        <w:t>הדחייה</w:t>
      </w:r>
      <w:r w:rsidRPr="0073731D" w:rsidR="005549AD">
        <w:rPr>
          <w:b/>
          <w:bCs/>
          <w:rtl/>
        </w:rPr>
        <w:t xml:space="preserve"> </w:t>
      </w:r>
      <w:r w:rsidRPr="0073731D" w:rsidR="00654A1D">
        <w:rPr>
          <w:rFonts w:hint="eastAsia"/>
          <w:b/>
          <w:bCs/>
          <w:rtl/>
        </w:rPr>
        <w:t>של</w:t>
      </w:r>
      <w:r w:rsidRPr="0073731D" w:rsidR="00654A1D">
        <w:rPr>
          <w:b/>
          <w:bCs/>
          <w:rtl/>
        </w:rPr>
        <w:t xml:space="preserve"> </w:t>
      </w:r>
      <w:r w:rsidRPr="0073731D" w:rsidR="005549AD">
        <w:rPr>
          <w:b/>
          <w:bCs/>
          <w:rtl/>
        </w:rPr>
        <w:t>כ-20%</w:t>
      </w:r>
      <w:r w:rsidR="0073731D">
        <w:rPr>
          <w:rFonts w:hint="cs"/>
          <w:b/>
          <w:bCs/>
          <w:rtl/>
        </w:rPr>
        <w:t xml:space="preserve"> ב</w:t>
      </w:r>
      <w:r w:rsidRPr="0073731D" w:rsidR="005549AD">
        <w:rPr>
          <w:rFonts w:hint="eastAsia"/>
          <w:b/>
          <w:bCs/>
          <w:rtl/>
        </w:rPr>
        <w:t>בקשות</w:t>
      </w:r>
      <w:r w:rsidRPr="0073731D" w:rsidR="005549AD">
        <w:rPr>
          <w:b/>
          <w:bCs/>
          <w:rtl/>
        </w:rPr>
        <w:t xml:space="preserve"> </w:t>
      </w:r>
      <w:r w:rsidRPr="0073731D" w:rsidR="005549AD">
        <w:rPr>
          <w:rFonts w:hint="eastAsia"/>
          <w:b/>
          <w:bCs/>
          <w:rtl/>
        </w:rPr>
        <w:t>האשראי</w:t>
      </w:r>
      <w:r w:rsidRPr="0073731D" w:rsidR="005549AD">
        <w:rPr>
          <w:b/>
          <w:bCs/>
          <w:rtl/>
        </w:rPr>
        <w:t xml:space="preserve"> </w:t>
      </w:r>
      <w:r w:rsidRPr="0073731D" w:rsidR="005549AD">
        <w:rPr>
          <w:rFonts w:hint="eastAsia"/>
          <w:b/>
          <w:bCs/>
          <w:rtl/>
        </w:rPr>
        <w:t>במסלול</w:t>
      </w:r>
      <w:r w:rsidRPr="0073731D">
        <w:rPr>
          <w:b/>
          <w:bCs/>
          <w:rtl/>
        </w:rPr>
        <w:t xml:space="preserve"> המוגבר </w:t>
      </w:r>
      <w:r w:rsidRPr="0073731D" w:rsidR="005549AD">
        <w:rPr>
          <w:rFonts w:hint="eastAsia"/>
          <w:b/>
          <w:bCs/>
          <w:rtl/>
        </w:rPr>
        <w:t>והקיטון</w:t>
      </w:r>
      <w:r w:rsidRPr="0073731D" w:rsidR="005549AD">
        <w:rPr>
          <w:b/>
          <w:bCs/>
          <w:rtl/>
        </w:rPr>
        <w:t xml:space="preserve"> </w:t>
      </w:r>
      <w:r w:rsidRPr="0073731D" w:rsidR="005549AD">
        <w:rPr>
          <w:rFonts w:hint="eastAsia"/>
          <w:b/>
          <w:bCs/>
          <w:rtl/>
        </w:rPr>
        <w:t>בשיעורי</w:t>
      </w:r>
      <w:r w:rsidRPr="0073731D" w:rsidR="005549AD">
        <w:rPr>
          <w:b/>
          <w:bCs/>
          <w:rtl/>
        </w:rPr>
        <w:t xml:space="preserve"> </w:t>
      </w:r>
      <w:r w:rsidRPr="0073731D" w:rsidR="005549AD">
        <w:rPr>
          <w:rFonts w:hint="eastAsia"/>
          <w:b/>
          <w:bCs/>
          <w:rtl/>
        </w:rPr>
        <w:t>הסכומים</w:t>
      </w:r>
      <w:r w:rsidRPr="0073731D" w:rsidR="005549AD">
        <w:rPr>
          <w:b/>
          <w:bCs/>
          <w:rtl/>
        </w:rPr>
        <w:t xml:space="preserve"> </w:t>
      </w:r>
      <w:r w:rsidRPr="0073731D" w:rsidR="005549AD">
        <w:rPr>
          <w:rFonts w:hint="eastAsia"/>
          <w:b/>
          <w:bCs/>
          <w:rtl/>
        </w:rPr>
        <w:t>שאושרו</w:t>
      </w:r>
      <w:r w:rsidR="0073731D">
        <w:rPr>
          <w:rFonts w:hint="cs"/>
          <w:b/>
          <w:bCs/>
          <w:rtl/>
        </w:rPr>
        <w:t xml:space="preserve"> במסלול זה</w:t>
      </w:r>
      <w:r w:rsidRPr="0073731D">
        <w:rPr>
          <w:b/>
          <w:bCs/>
          <w:rtl/>
        </w:rPr>
        <w:t xml:space="preserve">, </w:t>
      </w:r>
      <w:r w:rsidRPr="0073731D">
        <w:rPr>
          <w:rFonts w:hint="eastAsia"/>
          <w:b/>
          <w:bCs/>
          <w:rtl/>
        </w:rPr>
        <w:t>מומלץ</w:t>
      </w:r>
      <w:r w:rsidRPr="0073731D">
        <w:rPr>
          <w:rFonts w:hint="cs"/>
          <w:b/>
          <w:bCs/>
          <w:rtl/>
        </w:rPr>
        <w:t xml:space="preserve"> כי החשכ</w:t>
      </w:r>
      <w:r>
        <w:rPr>
          <w:rFonts w:hint="cs"/>
          <w:b/>
          <w:bCs/>
          <w:rtl/>
        </w:rPr>
        <w:t>"ל י</w:t>
      </w:r>
      <w:r w:rsidRPr="00AE0731">
        <w:rPr>
          <w:rFonts w:hint="cs"/>
          <w:b/>
          <w:bCs/>
          <w:rtl/>
        </w:rPr>
        <w:t>בחן</w:t>
      </w:r>
      <w:r>
        <w:rPr>
          <w:rFonts w:hint="cs"/>
          <w:b/>
          <w:bCs/>
          <w:rtl/>
        </w:rPr>
        <w:t xml:space="preserve"> דרכים חלופיות לגיוון מקורות האשראי, לרבות באמצעות גופים חוץ-בנקאיים, תוך כדי ביצוע בקרה לבחינת יעילותם. </w:t>
      </w:r>
    </w:p>
    <w:p w:rsidR="00253C38" w:rsidRPr="001541B6" w:rsidP="00982BC1" w14:paraId="058EF347" w14:textId="7478E8F9">
      <w:pPr>
        <w:pStyle w:val="a"/>
        <w:spacing w:line="269" w:lineRule="auto"/>
        <w:rPr>
          <w:rtl/>
          <w:lang w:eastAsia="he-IL"/>
        </w:rPr>
      </w:pPr>
      <w:r w:rsidRPr="001541B6">
        <w:rPr>
          <w:rtl/>
          <w:lang w:eastAsia="he-IL"/>
        </w:rPr>
        <w:fldChar w:fldCharType="begin"/>
      </w:r>
      <w:r w:rsidRPr="001541B6">
        <w:rPr>
          <w:rtl/>
          <w:lang w:eastAsia="he-IL"/>
        </w:rPr>
        <w:instrText xml:space="preserve"> </w:instrText>
      </w:r>
      <w:r w:rsidRPr="001541B6">
        <w:rPr>
          <w:lang w:eastAsia="he-IL"/>
        </w:rPr>
        <w:instrText>AUTONUMLGL \e  \* MERGEFORMAT</w:instrText>
      </w:r>
      <w:r w:rsidRPr="001541B6">
        <w:rPr>
          <w:rtl/>
          <w:lang w:eastAsia="he-IL"/>
        </w:rPr>
        <w:instrText xml:space="preserve"> </w:instrText>
      </w:r>
      <w:r w:rsidRPr="001541B6">
        <w:rPr>
          <w:rtl/>
          <w:lang w:eastAsia="he-IL"/>
        </w:rPr>
        <w:fldChar w:fldCharType="end"/>
      </w:r>
    </w:p>
    <w:p w:rsidR="00253C38" w:rsidP="00982BC1" w14:paraId="58179DBE" w14:textId="6E610980">
      <w:pPr>
        <w:spacing w:line="269" w:lineRule="auto"/>
        <w:rPr>
          <w:rtl/>
        </w:rPr>
      </w:pPr>
      <w:r>
        <w:rPr>
          <w:rFonts w:hint="cs"/>
          <w:rtl/>
        </w:rPr>
        <w:t xml:space="preserve">משק תחרותי </w:t>
      </w:r>
      <w:r w:rsidRPr="00BB57D4">
        <w:rPr>
          <w:rFonts w:hint="cs"/>
          <w:rtl/>
        </w:rPr>
        <w:t xml:space="preserve">הוא הבסיס להוזלת עלויות האשראי ולהרחבת מקורות ההיצע. בישיבת הוועדה לענייני ביקורת המדינה מיום </w:t>
      </w:r>
      <w:r w:rsidRPr="00BB57D4">
        <w:rPr>
          <w:rtl/>
        </w:rPr>
        <w:t>4.8.20</w:t>
      </w:r>
      <w:r w:rsidRPr="00BB57D4">
        <w:rPr>
          <w:rFonts w:hint="cs"/>
          <w:rtl/>
        </w:rPr>
        <w:t xml:space="preserve"> נידונה סוגיית מצב האשראי במשק בעת המשבר. בין היתר נבחנה סוגיית הימנעותם של</w:t>
      </w:r>
      <w:r>
        <w:rPr>
          <w:rFonts w:hint="cs"/>
          <w:rtl/>
        </w:rPr>
        <w:t xml:space="preserve"> גופים חוץ-בנקאיים רבים מהצטרפות למסלולי הקרנות השונים שהוקמו למתן הלוואות בערבות מדינה, למרות פניית אגף החשכ"ל להצטרפותם בתנאים המסחריים שהוצעו לתאגידים הבנקאיים.</w:t>
      </w:r>
    </w:p>
    <w:p w:rsidR="00982BC1" w:rsidP="00982BC1" w14:paraId="1BB66F82" w14:textId="530DA1EB">
      <w:pPr>
        <w:spacing w:line="269" w:lineRule="auto"/>
        <w:rPr>
          <w:rtl/>
        </w:rPr>
      </w:pPr>
    </w:p>
    <w:p w:rsidR="00982BC1" w:rsidP="00982BC1" w14:paraId="0C47C475" w14:textId="77777777">
      <w:pPr>
        <w:pStyle w:val="a"/>
        <w:spacing w:line="269" w:lineRule="auto"/>
        <w:rPr>
          <w:rtl/>
        </w:rPr>
      </w:pPr>
    </w:p>
    <w:p w:rsidR="00253C38" w:rsidP="00982BC1" w14:paraId="1D0B6FA5" w14:textId="73EAA84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AC6DCD0" w14:textId="77777777">
      <w:pPr>
        <w:spacing w:line="269" w:lineRule="auto"/>
        <w:rPr>
          <w:rtl/>
        </w:rPr>
      </w:pPr>
      <w:r>
        <w:rPr>
          <w:rFonts w:hint="cs"/>
          <w:rtl/>
        </w:rPr>
        <w:t>גופים פיננסיים חוץ-בנקאיים כוללים חברות אשראי גדולות, חברות פינטק</w:t>
      </w:r>
      <w:r>
        <w:rPr>
          <w:rStyle w:val="FootnoteReference"/>
          <w:rtl/>
        </w:rPr>
        <w:footnoteReference w:id="43"/>
      </w:r>
      <w:r>
        <w:rPr>
          <w:rFonts w:hint="cs"/>
          <w:rtl/>
        </w:rPr>
        <w:t xml:space="preserve">, מטבעות וירטואליים וחלפנים, שפעילותם מוסדרת בחוק הפיקוח על שירותים פיננסיים (שירותים פיננסיים מוסדרים), התשע"ו-2016. לטענת נציגת רשות שוק ההון, שנכחה בישיבה, מדובר בכ-2,000 גופים העונים על דרישת האשראי של עסקים, שחלקם אינם לקוחות של המערכת הבנקאית וייתכן שידם אינה משגת אליה. </w:t>
      </w:r>
      <w:r>
        <w:rPr>
          <w:rtl/>
        </w:rPr>
        <w:t>יו"ר איגוד חברות האשראי</w:t>
      </w:r>
      <w:r>
        <w:rPr>
          <w:rFonts w:hint="cs"/>
          <w:rtl/>
        </w:rPr>
        <w:t xml:space="preserve"> הבהיר כי גופים אלה "משרתים היום עשרות אלפי עסקים, נותנים מיליארדים על גבי עשרות מיליארדים של אשראי לעסקים קטנים ובינוניים".</w:t>
      </w:r>
    </w:p>
    <w:p w:rsidR="00253C38" w:rsidP="00982BC1" w14:paraId="1A120988" w14:textId="2E2D484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1046472" w14:textId="77777777">
      <w:pPr>
        <w:spacing w:line="269" w:lineRule="auto"/>
        <w:rPr>
          <w:rtl/>
          <w:lang w:eastAsia="he-IL"/>
        </w:rPr>
      </w:pPr>
      <w:r>
        <w:rPr>
          <w:rFonts w:hint="cs"/>
          <w:rtl/>
        </w:rPr>
        <w:t xml:space="preserve">מפרוטוקול הישיבה עולה כי ניסיון הצירוף של גופים חוץ-בנקאיים לקרנות לא צלח בשל חוסר הלימה בין התנאים המסחריים שהוצעו בקרנות לבין אופי פעילותם. להבדיל מתאגידים בנקאיים, הגופים החוץ-בנקאיים פונים לקהל יעד שהעמדת אשראי לטובתו כרוכה בסיכון גבוה, ובהתאם נקבעים התנאים המסחריים בין הצדדים. יתרה מכך, עלויות הגיוס והתפעול של הגופים החוץ-בנקאיים גבוהות בהשוואה לתאגידים הבנקאיים. לפיכך התנאים המיטיבים שהוצעו בקרנות הובילו להיעדר השתתפותם של רוב הגופים הנמנים עם אוכלוסייה זו, זולת ארבעה גופים שנטלו חלק בתוכנית. תרשים </w:t>
      </w:r>
      <w:r w:rsidR="00BB57D4">
        <w:rPr>
          <w:rFonts w:hint="cs"/>
          <w:rtl/>
        </w:rPr>
        <w:t>29</w:t>
      </w:r>
      <w:r>
        <w:rPr>
          <w:rFonts w:hint="cs"/>
          <w:rtl/>
        </w:rPr>
        <w:t xml:space="preserve"> להלן מציג את התפלגות הבקשות בקרן לעסקים קטנים ובינוניים, על שני מסלוליה, בחלוקה לשתי הקבוצות במונחים של מספר הבקשות והיקפן.</w:t>
      </w:r>
    </w:p>
    <w:p w:rsidR="00253C38" w:rsidP="00982BC1" w14:paraId="608E5289" w14:textId="3AB4B26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4F014BE7" w14:textId="1465EA49">
      <w:pPr>
        <w:spacing w:line="269" w:lineRule="auto"/>
        <w:jc w:val="center"/>
        <w:rPr>
          <w:b/>
          <w:bCs/>
          <w:rtl/>
        </w:rPr>
      </w:pPr>
      <w:r w:rsidRPr="001C6911">
        <w:rPr>
          <w:rFonts w:hint="eastAsia"/>
          <w:b/>
          <w:bCs/>
          <w:rtl/>
        </w:rPr>
        <w:t>תרשים</w:t>
      </w:r>
      <w:r w:rsidRPr="001C6911">
        <w:rPr>
          <w:b/>
          <w:bCs/>
          <w:rtl/>
        </w:rPr>
        <w:t xml:space="preserve"> </w:t>
      </w:r>
      <w:r w:rsidR="00BB57D4">
        <w:rPr>
          <w:rFonts w:hint="cs"/>
          <w:b/>
          <w:bCs/>
          <w:rtl/>
        </w:rPr>
        <w:t>29</w:t>
      </w:r>
      <w:r w:rsidRPr="001C6911">
        <w:rPr>
          <w:b/>
          <w:bCs/>
          <w:rtl/>
        </w:rPr>
        <w:t>: התפלגות שיעור אישור הבקשות בחלוקה לגופים מממנים ב</w:t>
      </w:r>
      <w:r w:rsidRPr="001C6911" w:rsidR="00BB57D4">
        <w:rPr>
          <w:b/>
          <w:bCs/>
          <w:rtl/>
        </w:rPr>
        <w:t>קרן לעסקים קטנים ובינוניים</w:t>
      </w:r>
    </w:p>
    <w:p w:rsidR="00253C38" w:rsidRPr="00A329B4" w:rsidP="00982BC1" w14:paraId="7FC9B99A" w14:textId="77777777">
      <w:pPr>
        <w:spacing w:line="269" w:lineRule="auto"/>
        <w:ind w:left="-992"/>
        <w:jc w:val="center"/>
        <w:rPr>
          <w:rtl/>
        </w:rPr>
      </w:pPr>
      <w:r>
        <w:rPr>
          <w:noProof/>
        </w:rPr>
        <w:drawing>
          <wp:inline distT="0" distB="0" distL="0" distR="0">
            <wp:extent cx="6642783" cy="2733675"/>
            <wp:effectExtent l="0" t="0" r="571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29927" name=""/>
                    <pic:cNvPicPr/>
                  </pic:nvPicPr>
                  <pic:blipFill>
                    <a:blip xmlns:r="http://schemas.openxmlformats.org/officeDocument/2006/relationships" r:embed="rId37"/>
                    <a:stretch>
                      <a:fillRect/>
                    </a:stretch>
                  </pic:blipFill>
                  <pic:spPr>
                    <a:xfrm>
                      <a:off x="0" y="0"/>
                      <a:ext cx="6651395" cy="2737219"/>
                    </a:xfrm>
                    <a:prstGeom prst="rect">
                      <a:avLst/>
                    </a:prstGeom>
                  </pic:spPr>
                </pic:pic>
              </a:graphicData>
            </a:graphic>
          </wp:inline>
        </w:drawing>
      </w:r>
    </w:p>
    <w:p w:rsidR="00253C38" w:rsidRPr="00982BC1" w:rsidP="00982BC1" w14:paraId="78E23D3B" w14:textId="77777777">
      <w:pPr>
        <w:spacing w:line="269" w:lineRule="auto"/>
        <w:rPr>
          <w:sz w:val="22"/>
          <w:szCs w:val="22"/>
          <w:rtl/>
        </w:rPr>
      </w:pPr>
      <w:r w:rsidRPr="00982BC1">
        <w:rPr>
          <w:rFonts w:hint="cs"/>
          <w:sz w:val="22"/>
          <w:szCs w:val="22"/>
          <w:rtl/>
        </w:rPr>
        <w:t>נתוני החשכ"ל, בעיבוד משרד מבקר המדינה.</w:t>
      </w:r>
    </w:p>
    <w:p w:rsidR="00253C38" w:rsidP="00982BC1" w14:paraId="1A53FD0B" w14:textId="2B63DC0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E10977" w:rsidP="00982BC1" w14:paraId="231F452C" w14:textId="77777777">
      <w:pPr>
        <w:spacing w:line="269" w:lineRule="auto"/>
        <w:rPr>
          <w:b/>
          <w:bCs/>
          <w:rtl/>
        </w:rPr>
      </w:pPr>
      <w:r w:rsidRPr="00E10977">
        <w:rPr>
          <w:rFonts w:hint="eastAsia"/>
          <w:b/>
          <w:bCs/>
          <w:rtl/>
        </w:rPr>
        <w:t>מתרשים</w:t>
      </w:r>
      <w:r>
        <w:rPr>
          <w:rFonts w:hint="cs"/>
          <w:b/>
          <w:bCs/>
          <w:rtl/>
        </w:rPr>
        <w:t xml:space="preserve"> </w:t>
      </w:r>
      <w:r w:rsidR="00BB57D4">
        <w:rPr>
          <w:rFonts w:hint="cs"/>
          <w:b/>
          <w:bCs/>
          <w:rtl/>
        </w:rPr>
        <w:t>29</w:t>
      </w:r>
      <w:r w:rsidRPr="00E10977">
        <w:rPr>
          <w:b/>
          <w:bCs/>
          <w:rtl/>
        </w:rPr>
        <w:t xml:space="preserve"> </w:t>
      </w:r>
      <w:r w:rsidRPr="00E10977">
        <w:rPr>
          <w:rFonts w:hint="eastAsia"/>
          <w:b/>
          <w:bCs/>
          <w:rtl/>
        </w:rPr>
        <w:t>ניכר</w:t>
      </w:r>
      <w:r w:rsidRPr="00E10977">
        <w:rPr>
          <w:b/>
          <w:bCs/>
          <w:rtl/>
        </w:rPr>
        <w:t xml:space="preserve"> </w:t>
      </w:r>
      <w:r w:rsidRPr="00E10977">
        <w:rPr>
          <w:rFonts w:hint="eastAsia"/>
          <w:b/>
          <w:bCs/>
          <w:rtl/>
        </w:rPr>
        <w:t>כי</w:t>
      </w:r>
      <w:r w:rsidRPr="00E10977">
        <w:rPr>
          <w:b/>
          <w:bCs/>
          <w:rtl/>
        </w:rPr>
        <w:t xml:space="preserve"> </w:t>
      </w:r>
      <w:r w:rsidRPr="00E10977">
        <w:rPr>
          <w:rFonts w:hint="eastAsia"/>
          <w:b/>
          <w:bCs/>
          <w:rtl/>
        </w:rPr>
        <w:t>הגדלת</w:t>
      </w:r>
      <w:r w:rsidRPr="00E10977">
        <w:rPr>
          <w:b/>
          <w:bCs/>
          <w:rtl/>
        </w:rPr>
        <w:t xml:space="preserve"> </w:t>
      </w:r>
      <w:r w:rsidRPr="00E10977">
        <w:rPr>
          <w:rFonts w:hint="eastAsia"/>
          <w:b/>
          <w:bCs/>
          <w:rtl/>
        </w:rPr>
        <w:t>שיעור</w:t>
      </w:r>
      <w:r w:rsidRPr="00E10977">
        <w:rPr>
          <w:b/>
          <w:bCs/>
          <w:rtl/>
        </w:rPr>
        <w:t xml:space="preserve"> </w:t>
      </w:r>
      <w:r w:rsidRPr="00E10977">
        <w:rPr>
          <w:rFonts w:hint="eastAsia"/>
          <w:b/>
          <w:bCs/>
          <w:rtl/>
        </w:rPr>
        <w:t>הערבות</w:t>
      </w:r>
      <w:r w:rsidRPr="00E10977">
        <w:rPr>
          <w:b/>
          <w:bCs/>
          <w:rtl/>
        </w:rPr>
        <w:t xml:space="preserve"> </w:t>
      </w:r>
      <w:r w:rsidRPr="00E10977">
        <w:rPr>
          <w:rFonts w:hint="eastAsia"/>
          <w:b/>
          <w:bCs/>
          <w:rtl/>
        </w:rPr>
        <w:t>על</w:t>
      </w:r>
      <w:r w:rsidRPr="00E10977">
        <w:rPr>
          <w:b/>
          <w:bCs/>
          <w:rtl/>
        </w:rPr>
        <w:t xml:space="preserve"> </w:t>
      </w:r>
      <w:r w:rsidRPr="00E10977">
        <w:rPr>
          <w:rFonts w:hint="eastAsia"/>
          <w:b/>
          <w:bCs/>
          <w:rtl/>
        </w:rPr>
        <w:t>התיק</w:t>
      </w:r>
      <w:r w:rsidRPr="00E10977">
        <w:rPr>
          <w:b/>
          <w:bCs/>
          <w:rtl/>
        </w:rPr>
        <w:t xml:space="preserve"> </w:t>
      </w:r>
      <w:r w:rsidRPr="00E10977">
        <w:rPr>
          <w:rFonts w:hint="eastAsia"/>
          <w:b/>
          <w:bCs/>
          <w:rtl/>
        </w:rPr>
        <w:t>השפיעה</w:t>
      </w:r>
      <w:r w:rsidRPr="00E10977">
        <w:rPr>
          <w:b/>
          <w:bCs/>
          <w:rtl/>
        </w:rPr>
        <w:t xml:space="preserve"> </w:t>
      </w:r>
      <w:r w:rsidRPr="00E10977">
        <w:rPr>
          <w:rFonts w:hint="eastAsia"/>
          <w:b/>
          <w:bCs/>
          <w:rtl/>
        </w:rPr>
        <w:t>יותר</w:t>
      </w:r>
      <w:r w:rsidRPr="00E10977">
        <w:rPr>
          <w:b/>
          <w:bCs/>
          <w:rtl/>
        </w:rPr>
        <w:t xml:space="preserve"> </w:t>
      </w:r>
      <w:r w:rsidRPr="00E10977">
        <w:rPr>
          <w:rFonts w:hint="eastAsia"/>
          <w:b/>
          <w:bCs/>
          <w:rtl/>
        </w:rPr>
        <w:t>על</w:t>
      </w:r>
      <w:r w:rsidRPr="00E10977">
        <w:rPr>
          <w:b/>
          <w:bCs/>
          <w:rtl/>
        </w:rPr>
        <w:t xml:space="preserve"> </w:t>
      </w:r>
      <w:r w:rsidRPr="00E10977">
        <w:rPr>
          <w:rFonts w:hint="eastAsia"/>
          <w:b/>
          <w:bCs/>
          <w:rtl/>
        </w:rPr>
        <w:t>קבוצת</w:t>
      </w:r>
      <w:r w:rsidRPr="00E10977">
        <w:rPr>
          <w:b/>
          <w:bCs/>
          <w:rtl/>
        </w:rPr>
        <w:t xml:space="preserve"> </w:t>
      </w:r>
      <w:r w:rsidRPr="00E10977">
        <w:rPr>
          <w:rFonts w:hint="eastAsia"/>
          <w:b/>
          <w:bCs/>
          <w:rtl/>
        </w:rPr>
        <w:t>החוץ</w:t>
      </w:r>
      <w:r w:rsidRPr="00E10977">
        <w:rPr>
          <w:b/>
          <w:bCs/>
          <w:rtl/>
        </w:rPr>
        <w:t xml:space="preserve">-בנקאיים </w:t>
      </w:r>
      <w:r w:rsidRPr="00E10977">
        <w:rPr>
          <w:rFonts w:hint="eastAsia"/>
          <w:b/>
          <w:bCs/>
          <w:rtl/>
        </w:rPr>
        <w:t>מאשר</w:t>
      </w:r>
      <w:r w:rsidRPr="00E10977">
        <w:rPr>
          <w:b/>
          <w:bCs/>
          <w:rtl/>
        </w:rPr>
        <w:t xml:space="preserve"> </w:t>
      </w:r>
      <w:r w:rsidRPr="00E10977">
        <w:rPr>
          <w:rFonts w:hint="eastAsia"/>
          <w:b/>
          <w:bCs/>
          <w:rtl/>
        </w:rPr>
        <w:t>על</w:t>
      </w:r>
      <w:r w:rsidRPr="00E10977">
        <w:rPr>
          <w:b/>
          <w:bCs/>
          <w:rtl/>
        </w:rPr>
        <w:t xml:space="preserve"> </w:t>
      </w:r>
      <w:r w:rsidRPr="00E10977">
        <w:rPr>
          <w:rFonts w:hint="eastAsia"/>
          <w:b/>
          <w:bCs/>
          <w:rtl/>
        </w:rPr>
        <w:t>התאגידים</w:t>
      </w:r>
      <w:r w:rsidRPr="00E10977">
        <w:rPr>
          <w:b/>
          <w:bCs/>
          <w:rtl/>
        </w:rPr>
        <w:t xml:space="preserve"> </w:t>
      </w:r>
      <w:r w:rsidRPr="00E10977">
        <w:rPr>
          <w:rFonts w:hint="eastAsia"/>
          <w:b/>
          <w:bCs/>
          <w:rtl/>
        </w:rPr>
        <w:t>הבנקאיים</w:t>
      </w:r>
      <w:r>
        <w:rPr>
          <w:rFonts w:hint="cs"/>
          <w:b/>
          <w:bCs/>
          <w:rtl/>
        </w:rPr>
        <w:t>,</w:t>
      </w:r>
      <w:r w:rsidRPr="00E10977">
        <w:rPr>
          <w:b/>
          <w:bCs/>
          <w:rtl/>
        </w:rPr>
        <w:t xml:space="preserve"> </w:t>
      </w:r>
      <w:r w:rsidRPr="00E10977">
        <w:rPr>
          <w:rFonts w:hint="eastAsia"/>
          <w:b/>
          <w:bCs/>
          <w:rtl/>
        </w:rPr>
        <w:t>הן</w:t>
      </w:r>
      <w:r w:rsidRPr="00E10977">
        <w:rPr>
          <w:b/>
          <w:bCs/>
          <w:rtl/>
        </w:rPr>
        <w:t xml:space="preserve"> </w:t>
      </w:r>
      <w:r w:rsidRPr="00E10977">
        <w:rPr>
          <w:rFonts w:hint="eastAsia"/>
          <w:b/>
          <w:bCs/>
          <w:rtl/>
        </w:rPr>
        <w:t>במספר</w:t>
      </w:r>
      <w:r w:rsidRPr="00E10977">
        <w:rPr>
          <w:b/>
          <w:bCs/>
          <w:rtl/>
        </w:rPr>
        <w:t xml:space="preserve"> </w:t>
      </w:r>
      <w:r w:rsidRPr="00E10977">
        <w:rPr>
          <w:rFonts w:hint="eastAsia"/>
          <w:b/>
          <w:bCs/>
          <w:rtl/>
        </w:rPr>
        <w:t>הבקשות</w:t>
      </w:r>
      <w:r w:rsidRPr="00E10977">
        <w:rPr>
          <w:b/>
          <w:bCs/>
          <w:rtl/>
        </w:rPr>
        <w:t xml:space="preserve"> </w:t>
      </w:r>
      <w:r w:rsidRPr="00E10977">
        <w:rPr>
          <w:rFonts w:hint="eastAsia"/>
          <w:b/>
          <w:bCs/>
          <w:rtl/>
        </w:rPr>
        <w:t>שאושרו</w:t>
      </w:r>
      <w:r w:rsidRPr="00E10977">
        <w:rPr>
          <w:b/>
          <w:bCs/>
          <w:rtl/>
        </w:rPr>
        <w:t xml:space="preserve"> </w:t>
      </w:r>
      <w:r w:rsidRPr="00E10977">
        <w:rPr>
          <w:rFonts w:hint="eastAsia"/>
          <w:b/>
          <w:bCs/>
          <w:rtl/>
        </w:rPr>
        <w:t>והן</w:t>
      </w:r>
      <w:r w:rsidRPr="00E10977">
        <w:rPr>
          <w:b/>
          <w:bCs/>
          <w:rtl/>
        </w:rPr>
        <w:t xml:space="preserve"> </w:t>
      </w:r>
      <w:r w:rsidRPr="00E10977">
        <w:rPr>
          <w:rFonts w:hint="eastAsia"/>
          <w:b/>
          <w:bCs/>
          <w:rtl/>
        </w:rPr>
        <w:t>בסכומים</w:t>
      </w:r>
      <w:r w:rsidRPr="00E10977">
        <w:rPr>
          <w:b/>
          <w:bCs/>
          <w:rtl/>
        </w:rPr>
        <w:t xml:space="preserve"> </w:t>
      </w:r>
      <w:r w:rsidRPr="00E10977">
        <w:rPr>
          <w:rFonts w:hint="eastAsia"/>
          <w:b/>
          <w:bCs/>
          <w:rtl/>
        </w:rPr>
        <w:t>שאושרו</w:t>
      </w:r>
      <w:r w:rsidRPr="00E10977">
        <w:rPr>
          <w:b/>
          <w:bCs/>
          <w:rtl/>
        </w:rPr>
        <w:t>.</w:t>
      </w:r>
    </w:p>
    <w:p w:rsidR="00253C38" w:rsidP="00982BC1" w14:paraId="01AD68FA" w14:textId="7545394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4A0F6F0" w14:textId="1F6C878F">
      <w:pPr>
        <w:spacing w:line="269" w:lineRule="auto"/>
        <w:rPr>
          <w:rtl/>
        </w:rPr>
      </w:pPr>
      <w:r>
        <w:rPr>
          <w:rFonts w:hint="cs"/>
          <w:rtl/>
          <w:lang w:eastAsia="he-IL"/>
        </w:rPr>
        <w:t>יו"ר איגוד חברות האשראי ציין בישיבת הוועדה לענייני ביקורת המדינה של הכנסת כי "</w:t>
      </w:r>
      <w:r w:rsidRPr="00085FE9">
        <w:rPr>
          <w:rFonts w:hint="cs"/>
          <w:rtl/>
          <w:lang w:eastAsia="he-IL"/>
        </w:rPr>
        <w:t xml:space="preserve">מתן הערבויות צריך להיות ברמת חברת המממן, לא ברמת הלקוח המקבל. זה היה מאפשר לשוק החוץ בנקאי להרחיב את הפעילות שלו </w:t>
      </w:r>
      <w:bookmarkStart w:id="1" w:name="_ETM_Q1_4280147"/>
      <w:bookmarkEnd w:id="1"/>
      <w:r w:rsidRPr="00085FE9">
        <w:rPr>
          <w:rFonts w:hint="cs"/>
          <w:rtl/>
          <w:lang w:eastAsia="he-IL"/>
        </w:rPr>
        <w:t>בתקופה הנוכחית. מה שקרה בתקופה הזאת זה שהשוק החוץ בנקאי הקטין את הפעילות שלו כי הו</w:t>
      </w:r>
      <w:r>
        <w:rPr>
          <w:rFonts w:hint="cs"/>
          <w:rtl/>
          <w:lang w:eastAsia="he-IL"/>
        </w:rPr>
        <w:t>א ראה רק סיכון" (ראו להלן תרשים 4).</w:t>
      </w:r>
      <w:r>
        <w:rPr>
          <w:rFonts w:hint="cs"/>
          <w:rtl/>
        </w:rPr>
        <w:t xml:space="preserve"> דבריו מחזקים את מקור השוני בין התאגידים הבנקאיים לגופים החוץ-בנקאיים בעקבות הגדלת שיעור הערבות על התיק. הסיכון הניצב לפני הגופים החוץ-בנקאיים מושפע מן התנאים שנקבעו בקרנות, שהיוו חסם להשתתפותם ולהרחבת האשראי לקבוצות העסקים שסיכונן גבוה יותר. </w:t>
      </w:r>
    </w:p>
    <w:p w:rsidR="0006005F" w:rsidRPr="00DD1A67" w:rsidP="00982BC1" w14:paraId="21993498" w14:textId="77777777">
      <w:pPr>
        <w:spacing w:line="269" w:lineRule="auto"/>
        <w:rPr>
          <w:rtl/>
        </w:rPr>
      </w:pPr>
    </w:p>
    <w:p w:rsidR="00253C38" w:rsidP="00982BC1" w14:paraId="5E2E5744" w14:textId="1579BE5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2F11BD" w:rsidP="00982BC1" w14:paraId="32D6A2D9" w14:textId="77777777">
      <w:pPr>
        <w:spacing w:line="269" w:lineRule="auto"/>
        <w:rPr>
          <w:b/>
          <w:bCs/>
          <w:rtl/>
        </w:rPr>
      </w:pPr>
      <w:r>
        <w:rPr>
          <w:rFonts w:hint="cs"/>
          <w:b/>
          <w:bCs/>
          <w:rtl/>
        </w:rPr>
        <w:t>נוכח הרצון להרחיב את היצע האשראי לעסקים בסיכון גבוה, המשתקף בהקמת המסלול המוגבר, לצד ה</w:t>
      </w:r>
      <w:r w:rsidRPr="00AA0B8A">
        <w:rPr>
          <w:rFonts w:hint="cs"/>
          <w:b/>
          <w:bCs/>
          <w:rtl/>
        </w:rPr>
        <w:t xml:space="preserve">מימוש </w:t>
      </w:r>
      <w:r>
        <w:rPr>
          <w:rFonts w:hint="cs"/>
          <w:b/>
          <w:bCs/>
          <w:rtl/>
        </w:rPr>
        <w:t>ה</w:t>
      </w:r>
      <w:r w:rsidRPr="00AA0B8A">
        <w:rPr>
          <w:rFonts w:hint="cs"/>
          <w:b/>
          <w:bCs/>
          <w:rtl/>
        </w:rPr>
        <w:t>נמוך</w:t>
      </w:r>
      <w:r>
        <w:rPr>
          <w:rFonts w:hint="cs"/>
          <w:b/>
          <w:bCs/>
          <w:rtl/>
        </w:rPr>
        <w:t xml:space="preserve"> ו</w:t>
      </w:r>
      <w:r w:rsidRPr="00AA0B8A">
        <w:rPr>
          <w:rFonts w:hint="cs"/>
          <w:b/>
          <w:bCs/>
          <w:rtl/>
        </w:rPr>
        <w:t>פוטנציאל המענה הטמון ברתימ</w:t>
      </w:r>
      <w:r>
        <w:rPr>
          <w:rFonts w:hint="cs"/>
          <w:b/>
          <w:bCs/>
          <w:rtl/>
        </w:rPr>
        <w:t>ת</w:t>
      </w:r>
      <w:r w:rsidRPr="00AA0B8A">
        <w:rPr>
          <w:rFonts w:hint="cs"/>
          <w:b/>
          <w:bCs/>
          <w:rtl/>
        </w:rPr>
        <w:t xml:space="preserve"> גופים חוץ-בנקאיים</w:t>
      </w:r>
      <w:r>
        <w:rPr>
          <w:rFonts w:hint="cs"/>
          <w:b/>
          <w:bCs/>
          <w:rtl/>
        </w:rPr>
        <w:t>,</w:t>
      </w:r>
      <w:r w:rsidRPr="00AA0B8A">
        <w:rPr>
          <w:rFonts w:hint="cs"/>
          <w:b/>
          <w:bCs/>
          <w:rtl/>
        </w:rPr>
        <w:t xml:space="preserve"> </w:t>
      </w:r>
      <w:r>
        <w:rPr>
          <w:rFonts w:hint="cs"/>
          <w:b/>
          <w:bCs/>
          <w:rtl/>
        </w:rPr>
        <w:t>מומלץ כי החש</w:t>
      </w:r>
      <w:r w:rsidR="00D92ADD">
        <w:rPr>
          <w:rFonts w:hint="cs"/>
          <w:b/>
          <w:bCs/>
          <w:rtl/>
        </w:rPr>
        <w:t>כ"ל</w:t>
      </w:r>
      <w:r w:rsidRPr="00AA0B8A">
        <w:rPr>
          <w:rFonts w:hint="cs"/>
          <w:b/>
          <w:bCs/>
          <w:rtl/>
        </w:rPr>
        <w:t xml:space="preserve"> </w:t>
      </w:r>
      <w:r>
        <w:rPr>
          <w:rFonts w:hint="cs"/>
          <w:b/>
          <w:bCs/>
          <w:rtl/>
        </w:rPr>
        <w:t>י</w:t>
      </w:r>
      <w:r w:rsidRPr="00AA0B8A">
        <w:rPr>
          <w:rFonts w:hint="cs"/>
          <w:b/>
          <w:bCs/>
          <w:rtl/>
        </w:rPr>
        <w:t>שקול העמ</w:t>
      </w:r>
      <w:r>
        <w:rPr>
          <w:rFonts w:hint="cs"/>
          <w:b/>
          <w:bCs/>
          <w:rtl/>
        </w:rPr>
        <w:t xml:space="preserve">דת ערבות מדינה לקבוצת הגופים החוץ-בנקאיים בתנאים מסחריים שיוגדרו בין </w:t>
      </w:r>
      <w:r w:rsidRPr="00AD47FF">
        <w:rPr>
          <w:rFonts w:hint="cs"/>
          <w:b/>
          <w:bCs/>
          <w:rtl/>
        </w:rPr>
        <w:t>הצדדים.</w:t>
      </w:r>
    </w:p>
    <w:p w:rsidR="00253C38" w:rsidRPr="001C6911" w:rsidP="00982BC1" w14:paraId="6F321BD2" w14:textId="77777777">
      <w:pPr>
        <w:spacing w:line="269" w:lineRule="auto"/>
        <w:rPr>
          <w:b/>
          <w:bCs/>
          <w:sz w:val="24"/>
          <w:rtl/>
        </w:rPr>
      </w:pPr>
    </w:p>
    <w:p w:rsidR="00253C38" w:rsidRPr="0046046A" w:rsidP="00982BC1" w14:paraId="706241F2" w14:textId="77777777">
      <w:pPr>
        <w:pStyle w:val="Heading6"/>
        <w:spacing w:line="269" w:lineRule="auto"/>
        <w:rPr>
          <w:rtl/>
        </w:rPr>
      </w:pPr>
      <w:r>
        <w:rPr>
          <w:rFonts w:hint="cs"/>
          <w:rtl/>
        </w:rPr>
        <w:t>משך הטיפול והיבטים תפעוליים בפעילות הקרנות</w:t>
      </w:r>
    </w:p>
    <w:p w:rsidR="00253C38" w:rsidP="00982BC1" w14:paraId="0488C818" w14:textId="7EA5201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73084" w:rsidP="00982BC1" w14:paraId="0E70F8D8" w14:textId="77777777">
      <w:pPr>
        <w:spacing w:line="269" w:lineRule="auto"/>
        <w:rPr>
          <w:rtl/>
        </w:rPr>
      </w:pPr>
      <w:r>
        <w:rPr>
          <w:rFonts w:hint="cs"/>
          <w:rtl/>
        </w:rPr>
        <w:t xml:space="preserve">במסגרת הקרן הקיימת, הפועלת בשגרה להעמדת הלוואות לעסקים קטנים ובינוניים, </w:t>
      </w:r>
      <w:r>
        <w:rPr>
          <w:rFonts w:hint="cs"/>
          <w:sz w:val="24"/>
          <w:rtl/>
        </w:rPr>
        <w:t>מתקבלות זה שנים בקשות להעמדת אשראי באופן מסודר, אחרי שנבדקו בידי חברה מתאמת שמכינה את המסמכים הנחוצים להשלמת תהליך החתימה (חיתום) מול המערכת הבנקאית.</w:t>
      </w:r>
      <w:r>
        <w:rPr>
          <w:rFonts w:hint="cs"/>
          <w:rtl/>
        </w:rPr>
        <w:t xml:space="preserve"> </w:t>
      </w:r>
      <w:r>
        <w:rPr>
          <w:rFonts w:hint="cs"/>
          <w:sz w:val="24"/>
          <w:rtl/>
        </w:rPr>
        <w:t xml:space="preserve">במטרה לספק מענה מהיר למגזר העסקי, לנוכח התפרצות נגיף הקורונה, הוחלט במשרד האוצר </w:t>
      </w:r>
      <w:r w:rsidRPr="002E04A3">
        <w:rPr>
          <w:rFonts w:hint="eastAsia"/>
          <w:sz w:val="24"/>
          <w:rtl/>
        </w:rPr>
        <w:t>להסיר</w:t>
      </w:r>
      <w:r>
        <w:rPr>
          <w:rFonts w:hint="cs"/>
          <w:sz w:val="24"/>
          <w:rtl/>
        </w:rPr>
        <w:t xml:space="preserve"> את החברות המתאמות מתהליך החיתום ולעשות שימוש בחלקן לצורכי בקרה בקרנות הייעודיות. כמו כן הוחלט לשנות את מנגנון פעילותן של הקרנות ולבצע את ההתקשרות למתן אשראי ישירות בין מבקשי ההלוואות לגופים המממנים באמצעות אתר אינטרנט ייעודי. מגיש בקשה נדרש לשלוח</w:t>
      </w:r>
      <w:r w:rsidRPr="00F337B6">
        <w:rPr>
          <w:rFonts w:hint="cs"/>
          <w:rtl/>
        </w:rPr>
        <w:t xml:space="preserve"> </w:t>
      </w:r>
      <w:r>
        <w:rPr>
          <w:rFonts w:hint="cs"/>
          <w:rtl/>
        </w:rPr>
        <w:t xml:space="preserve">את בקשתו </w:t>
      </w:r>
      <w:r w:rsidRPr="00F337B6">
        <w:rPr>
          <w:rFonts w:hint="cs"/>
          <w:rtl/>
        </w:rPr>
        <w:t xml:space="preserve">בטופס </w:t>
      </w:r>
      <w:r>
        <w:rPr>
          <w:rFonts w:hint="cs"/>
          <w:rtl/>
        </w:rPr>
        <w:t>מקוון</w:t>
      </w:r>
      <w:r w:rsidRPr="00F337B6">
        <w:rPr>
          <w:rFonts w:hint="cs"/>
          <w:rtl/>
        </w:rPr>
        <w:t xml:space="preserve"> </w:t>
      </w:r>
      <w:r w:rsidRPr="00D8298F">
        <w:rPr>
          <w:rFonts w:hint="eastAsia"/>
          <w:rtl/>
        </w:rPr>
        <w:t>מאתר</w:t>
      </w:r>
      <w:r w:rsidRPr="00D8298F">
        <w:rPr>
          <w:rtl/>
        </w:rPr>
        <w:t xml:space="preserve"> </w:t>
      </w:r>
      <w:r w:rsidRPr="00D8298F">
        <w:rPr>
          <w:rFonts w:hint="eastAsia"/>
          <w:rtl/>
        </w:rPr>
        <w:t>הקרן</w:t>
      </w:r>
      <w:r>
        <w:rPr>
          <w:rFonts w:hint="cs"/>
          <w:rtl/>
        </w:rPr>
        <w:t xml:space="preserve"> ולכלול בה מידע אודות פרטי העסק ופרטי ההלוואה המבוקשת</w:t>
      </w:r>
      <w:r>
        <w:rPr>
          <w:rFonts w:hint="cs"/>
          <w:sz w:val="24"/>
          <w:rtl/>
        </w:rPr>
        <w:t>.</w:t>
      </w:r>
    </w:p>
    <w:p w:rsidR="00253C38" w:rsidP="00982BC1" w14:paraId="1F072BD2" w14:textId="29B4B8D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645E5" w:rsidP="00982BC1" w14:paraId="7128D75A" w14:textId="77777777">
      <w:pPr>
        <w:spacing w:line="269" w:lineRule="auto"/>
        <w:rPr>
          <w:rtl/>
        </w:rPr>
      </w:pPr>
      <w:r>
        <w:rPr>
          <w:rFonts w:hint="cs"/>
          <w:rtl/>
        </w:rPr>
        <w:t>ה</w:t>
      </w:r>
      <w:r w:rsidRPr="00F337B6">
        <w:rPr>
          <w:rFonts w:hint="cs"/>
          <w:rtl/>
        </w:rPr>
        <w:t xml:space="preserve">בקשות </w:t>
      </w:r>
      <w:r>
        <w:rPr>
          <w:rFonts w:hint="cs"/>
          <w:rtl/>
        </w:rPr>
        <w:t xml:space="preserve">שהתקבלו נקלטו </w:t>
      </w:r>
      <w:r w:rsidRPr="00F337B6">
        <w:rPr>
          <w:rFonts w:hint="cs"/>
          <w:rtl/>
        </w:rPr>
        <w:t>ב</w:t>
      </w:r>
      <w:r>
        <w:rPr>
          <w:rFonts w:hint="cs"/>
          <w:rtl/>
        </w:rPr>
        <w:t xml:space="preserve">מערכות </w:t>
      </w:r>
      <w:r w:rsidRPr="00F337B6">
        <w:rPr>
          <w:rFonts w:hint="cs"/>
          <w:rtl/>
        </w:rPr>
        <w:t xml:space="preserve">משרד האוצר </w:t>
      </w:r>
      <w:r w:rsidRPr="00363F03">
        <w:rPr>
          <w:rFonts w:hint="eastAsia"/>
          <w:rtl/>
        </w:rPr>
        <w:t>והגופים</w:t>
      </w:r>
      <w:r w:rsidRPr="00363F03">
        <w:rPr>
          <w:rtl/>
        </w:rPr>
        <w:t xml:space="preserve"> </w:t>
      </w:r>
      <w:r w:rsidRPr="00363F03">
        <w:rPr>
          <w:rFonts w:hint="eastAsia"/>
          <w:rtl/>
        </w:rPr>
        <w:t>המתאמים</w:t>
      </w:r>
      <w:r>
        <w:rPr>
          <w:rFonts w:hint="cs"/>
          <w:rtl/>
        </w:rPr>
        <w:t>,</w:t>
      </w:r>
      <w:r w:rsidRPr="00363F03">
        <w:rPr>
          <w:rtl/>
        </w:rPr>
        <w:t xml:space="preserve"> </w:t>
      </w:r>
      <w:r>
        <w:rPr>
          <w:rFonts w:hint="eastAsia"/>
          <w:rtl/>
        </w:rPr>
        <w:t>ו</w:t>
      </w:r>
      <w:r>
        <w:rPr>
          <w:rFonts w:hint="cs"/>
          <w:rtl/>
        </w:rPr>
        <w:t>ה</w:t>
      </w:r>
      <w:r w:rsidRPr="00363F03">
        <w:rPr>
          <w:rFonts w:hint="eastAsia"/>
          <w:rtl/>
        </w:rPr>
        <w:t>ועברו</w:t>
      </w:r>
      <w:r w:rsidRPr="00363F03">
        <w:rPr>
          <w:rtl/>
        </w:rPr>
        <w:t xml:space="preserve"> </w:t>
      </w:r>
      <w:r w:rsidRPr="00363F03">
        <w:rPr>
          <w:rFonts w:hint="eastAsia"/>
          <w:rtl/>
        </w:rPr>
        <w:t>ל</w:t>
      </w:r>
      <w:r>
        <w:rPr>
          <w:rFonts w:hint="cs"/>
          <w:rtl/>
        </w:rPr>
        <w:t>גופים המממנים</w:t>
      </w:r>
      <w:r w:rsidRPr="00363F03">
        <w:rPr>
          <w:rtl/>
        </w:rPr>
        <w:t xml:space="preserve"> </w:t>
      </w:r>
      <w:r>
        <w:rPr>
          <w:rFonts w:hint="cs"/>
          <w:rtl/>
        </w:rPr>
        <w:t xml:space="preserve">שמהם </w:t>
      </w:r>
      <w:r>
        <w:rPr>
          <w:rFonts w:hint="eastAsia"/>
          <w:rtl/>
        </w:rPr>
        <w:t>מעוניי</w:t>
      </w:r>
      <w:r>
        <w:rPr>
          <w:rFonts w:hint="cs"/>
          <w:rtl/>
        </w:rPr>
        <w:t>נים</w:t>
      </w:r>
      <w:r w:rsidRPr="00363F03">
        <w:rPr>
          <w:rtl/>
        </w:rPr>
        <w:t xml:space="preserve"> </w:t>
      </w:r>
      <w:r w:rsidRPr="00363F03">
        <w:rPr>
          <w:rFonts w:hint="eastAsia"/>
          <w:rtl/>
        </w:rPr>
        <w:t>העסק</w:t>
      </w:r>
      <w:r>
        <w:rPr>
          <w:rFonts w:hint="cs"/>
          <w:rtl/>
        </w:rPr>
        <w:t>ים</w:t>
      </w:r>
      <w:r w:rsidRPr="00363F03">
        <w:rPr>
          <w:rtl/>
        </w:rPr>
        <w:t xml:space="preserve"> </w:t>
      </w:r>
      <w:r w:rsidRPr="00363F03">
        <w:rPr>
          <w:rFonts w:hint="eastAsia"/>
          <w:rtl/>
        </w:rPr>
        <w:t>לקבל</w:t>
      </w:r>
      <w:r w:rsidRPr="00363F03">
        <w:rPr>
          <w:rtl/>
        </w:rPr>
        <w:t xml:space="preserve"> </w:t>
      </w:r>
      <w:r w:rsidRPr="00363F03">
        <w:rPr>
          <w:rFonts w:hint="eastAsia"/>
          <w:rtl/>
        </w:rPr>
        <w:t>את</w:t>
      </w:r>
      <w:r w:rsidRPr="00363F03">
        <w:rPr>
          <w:rtl/>
        </w:rPr>
        <w:t xml:space="preserve"> </w:t>
      </w:r>
      <w:r w:rsidRPr="00363F03">
        <w:rPr>
          <w:rFonts w:hint="eastAsia"/>
          <w:rtl/>
        </w:rPr>
        <w:t>ההלוואה</w:t>
      </w:r>
      <w:r>
        <w:rPr>
          <w:rFonts w:hint="cs"/>
          <w:rtl/>
        </w:rPr>
        <w:t xml:space="preserve">, באופן תדיר לפחות פעם ביום. נוסף על כך, הוטל על הגופים המממנים ליצור קשר עם בעלי העסקים ולעדכן אותם בדבר קליטת הבקשות והמשך הטיפול בהן בתוך יום עסקים אחד, וכן לערוך בדיקות באופן זהיר ומיומן, אגב שימוש בכלים להערכת סיכון. </w:t>
      </w:r>
      <w:r w:rsidR="00273D78">
        <w:rPr>
          <w:rFonts w:hint="cs"/>
          <w:rtl/>
        </w:rPr>
        <w:t xml:space="preserve">עוד </w:t>
      </w:r>
      <w:r>
        <w:rPr>
          <w:rFonts w:hint="cs"/>
          <w:rtl/>
        </w:rPr>
        <w:t>הוטל על</w:t>
      </w:r>
      <w:r w:rsidR="00273D78">
        <w:rPr>
          <w:rFonts w:hint="cs"/>
          <w:rtl/>
        </w:rPr>
        <w:t xml:space="preserve"> הגופים המממנים</w:t>
      </w:r>
      <w:r>
        <w:rPr>
          <w:rFonts w:hint="cs"/>
          <w:rtl/>
        </w:rPr>
        <w:t xml:space="preserve"> לדון בבקשות בוועדות האשראי שלהם בתוך שבעה ימי עסקים לכל היותר מיום קבלת הבקשה. תרשים </w:t>
      </w:r>
      <w:r w:rsidR="00273D78">
        <w:rPr>
          <w:rFonts w:hint="cs"/>
          <w:rtl/>
        </w:rPr>
        <w:t>30</w:t>
      </w:r>
      <w:r>
        <w:rPr>
          <w:rFonts w:hint="cs"/>
          <w:rtl/>
        </w:rPr>
        <w:t xml:space="preserve"> להלן מציג את התהליך לקבלת הלוואה במסגרת הקרנות הייעודיות מרגע קליטת הבקשה.</w:t>
      </w:r>
    </w:p>
    <w:p w:rsidR="00982BC1" w14:paraId="38B00CA7" w14:textId="77777777">
      <w:pPr>
        <w:bidi w:val="0"/>
        <w:spacing w:after="200" w:line="276" w:lineRule="auto"/>
        <w:rPr>
          <w:szCs w:val="20"/>
        </w:rPr>
      </w:pPr>
      <w:r>
        <w:rPr>
          <w:rtl/>
        </w:rPr>
        <w:br w:type="page"/>
      </w:r>
    </w:p>
    <w:p w:rsidR="00253C38" w:rsidP="00982BC1" w14:paraId="46DA7D26" w14:textId="35E1F63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46FFF28C" w14:textId="77777777">
      <w:pPr>
        <w:spacing w:line="269" w:lineRule="auto"/>
        <w:jc w:val="center"/>
        <w:rPr>
          <w:b/>
          <w:bCs/>
          <w:rtl/>
        </w:rPr>
      </w:pPr>
      <w:r w:rsidRPr="001C6911">
        <w:rPr>
          <w:rFonts w:hint="eastAsia"/>
          <w:b/>
          <w:bCs/>
          <w:rtl/>
        </w:rPr>
        <w:t>תרשים</w:t>
      </w:r>
      <w:r w:rsidRPr="001C6911">
        <w:rPr>
          <w:b/>
          <w:bCs/>
          <w:rtl/>
        </w:rPr>
        <w:t xml:space="preserve"> </w:t>
      </w:r>
      <w:r w:rsidR="00273D78">
        <w:rPr>
          <w:rFonts w:hint="cs"/>
          <w:b/>
          <w:bCs/>
          <w:rtl/>
        </w:rPr>
        <w:t>30</w:t>
      </w:r>
      <w:r w:rsidRPr="001C6911">
        <w:rPr>
          <w:b/>
          <w:bCs/>
          <w:rtl/>
        </w:rPr>
        <w:t xml:space="preserve">: התהליך לקבלת הלוואה </w:t>
      </w:r>
      <w:r w:rsidRPr="00B22478">
        <w:rPr>
          <w:rFonts w:hint="cs"/>
          <w:b/>
          <w:bCs/>
          <w:rtl/>
        </w:rPr>
        <w:t>מ</w:t>
      </w:r>
      <w:r>
        <w:rPr>
          <w:rFonts w:hint="cs"/>
          <w:b/>
          <w:bCs/>
          <w:rtl/>
        </w:rPr>
        <w:t xml:space="preserve">ן </w:t>
      </w:r>
      <w:r w:rsidRPr="00B22478">
        <w:rPr>
          <w:rFonts w:hint="cs"/>
          <w:b/>
          <w:bCs/>
          <w:rtl/>
        </w:rPr>
        <w:t>הקרנות</w:t>
      </w:r>
      <w:r w:rsidRPr="001C6911">
        <w:rPr>
          <w:b/>
          <w:bCs/>
          <w:rtl/>
        </w:rPr>
        <w:t xml:space="preserve"> הייעודיות</w:t>
      </w:r>
    </w:p>
    <w:p w:rsidR="00253C38" w:rsidP="00982BC1" w14:paraId="6408B33C" w14:textId="77777777">
      <w:pPr>
        <w:spacing w:line="269" w:lineRule="auto"/>
        <w:jc w:val="center"/>
        <w:rPr>
          <w:rtl/>
        </w:rPr>
      </w:pPr>
      <w:r>
        <w:rPr>
          <w:noProof/>
        </w:rPr>
        <w:drawing>
          <wp:inline distT="0" distB="0" distL="0" distR="0">
            <wp:extent cx="5625465" cy="4391952"/>
            <wp:effectExtent l="0" t="0" r="0" b="889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26278" name=""/>
                    <pic:cNvPicPr/>
                  </pic:nvPicPr>
                  <pic:blipFill>
                    <a:blip xmlns:r="http://schemas.openxmlformats.org/officeDocument/2006/relationships" r:embed="rId38"/>
                    <a:stretch>
                      <a:fillRect/>
                    </a:stretch>
                  </pic:blipFill>
                  <pic:spPr>
                    <a:xfrm>
                      <a:off x="0" y="0"/>
                      <a:ext cx="5629596" cy="4395177"/>
                    </a:xfrm>
                    <a:prstGeom prst="rect">
                      <a:avLst/>
                    </a:prstGeom>
                  </pic:spPr>
                </pic:pic>
              </a:graphicData>
            </a:graphic>
          </wp:inline>
        </w:drawing>
      </w:r>
    </w:p>
    <w:p w:rsidR="00253C38" w:rsidRPr="00982BC1" w:rsidP="00982BC1" w14:paraId="3CD0DE7D" w14:textId="77777777">
      <w:pPr>
        <w:spacing w:line="269" w:lineRule="auto"/>
        <w:rPr>
          <w:sz w:val="22"/>
          <w:szCs w:val="22"/>
          <w:rtl/>
        </w:rPr>
      </w:pPr>
      <w:r w:rsidRPr="00982BC1">
        <w:rPr>
          <w:rFonts w:hint="cs"/>
          <w:sz w:val="22"/>
          <w:szCs w:val="22"/>
          <w:rtl/>
        </w:rPr>
        <w:t>נתוני החשכ"ל, בעיבוד משרד מבקר המדינה.</w:t>
      </w:r>
    </w:p>
    <w:p w:rsidR="00253C38" w:rsidRPr="00982BC1" w:rsidP="00982BC1" w14:paraId="33F42525" w14:textId="77777777">
      <w:pPr>
        <w:spacing w:line="269" w:lineRule="auto"/>
        <w:rPr>
          <w:sz w:val="22"/>
          <w:szCs w:val="22"/>
          <w:rtl/>
        </w:rPr>
      </w:pPr>
      <w:r w:rsidRPr="00982BC1">
        <w:rPr>
          <w:sz w:val="22"/>
          <w:szCs w:val="22"/>
          <w:rtl/>
        </w:rPr>
        <w:t xml:space="preserve">* הסכום </w:t>
      </w:r>
      <w:r w:rsidRPr="00982BC1">
        <w:rPr>
          <w:rFonts w:hint="eastAsia"/>
          <w:sz w:val="22"/>
          <w:szCs w:val="22"/>
          <w:rtl/>
        </w:rPr>
        <w:t>שהוגדר</w:t>
      </w:r>
      <w:r w:rsidRPr="00982BC1">
        <w:rPr>
          <w:sz w:val="22"/>
          <w:szCs w:val="22"/>
          <w:rtl/>
        </w:rPr>
        <w:t xml:space="preserve"> השתנה </w:t>
      </w:r>
      <w:r w:rsidRPr="00982BC1">
        <w:rPr>
          <w:rFonts w:hint="eastAsia"/>
          <w:sz w:val="22"/>
          <w:szCs w:val="22"/>
          <w:rtl/>
        </w:rPr>
        <w:t>פעמים</w:t>
      </w:r>
      <w:r w:rsidRPr="00982BC1">
        <w:rPr>
          <w:rFonts w:hint="cs"/>
          <w:sz w:val="22"/>
          <w:szCs w:val="22"/>
          <w:rtl/>
        </w:rPr>
        <w:t xml:space="preserve"> מספר</w:t>
      </w:r>
      <w:r w:rsidRPr="00982BC1">
        <w:rPr>
          <w:sz w:val="22"/>
          <w:szCs w:val="22"/>
          <w:rtl/>
        </w:rPr>
        <w:t xml:space="preserve">. במועד סיום הביקורת </w:t>
      </w:r>
      <w:r w:rsidRPr="00982BC1">
        <w:rPr>
          <w:rFonts w:hint="cs"/>
          <w:sz w:val="22"/>
          <w:szCs w:val="22"/>
          <w:rtl/>
        </w:rPr>
        <w:t>הוגדרו</w:t>
      </w:r>
      <w:r w:rsidRPr="00982BC1">
        <w:rPr>
          <w:sz w:val="22"/>
          <w:szCs w:val="22"/>
          <w:rtl/>
        </w:rPr>
        <w:t xml:space="preserve"> במסלול הרגיל 1 מיליון ש"ח </w:t>
      </w:r>
      <w:r w:rsidRPr="00982BC1">
        <w:rPr>
          <w:rFonts w:hint="cs"/>
          <w:sz w:val="22"/>
          <w:szCs w:val="22"/>
          <w:rtl/>
        </w:rPr>
        <w:t>ו-</w:t>
      </w:r>
      <w:r w:rsidRPr="00982BC1">
        <w:rPr>
          <w:sz w:val="22"/>
          <w:szCs w:val="22"/>
          <w:rtl/>
        </w:rPr>
        <w:t>500</w:t>
      </w:r>
      <w:r w:rsidRPr="00982BC1">
        <w:rPr>
          <w:rFonts w:hint="cs"/>
          <w:sz w:val="22"/>
          <w:szCs w:val="22"/>
          <w:rtl/>
        </w:rPr>
        <w:t>,000</w:t>
      </w:r>
      <w:r w:rsidRPr="00982BC1" w:rsidR="00273D78">
        <w:rPr>
          <w:sz w:val="22"/>
          <w:szCs w:val="22"/>
          <w:rtl/>
        </w:rPr>
        <w:t xml:space="preserve"> ש"ח במסלול המוגבר.</w:t>
      </w:r>
    </w:p>
    <w:p w:rsidR="00253C38" w:rsidRPr="00982BC1" w:rsidP="00982BC1" w14:paraId="3841DE13" w14:textId="77777777">
      <w:pPr>
        <w:spacing w:line="269" w:lineRule="auto"/>
        <w:rPr>
          <w:sz w:val="22"/>
          <w:szCs w:val="22"/>
          <w:rtl/>
        </w:rPr>
      </w:pPr>
      <w:r w:rsidRPr="00982BC1">
        <w:rPr>
          <w:sz w:val="22"/>
          <w:szCs w:val="22"/>
          <w:rtl/>
        </w:rPr>
        <w:t xml:space="preserve">** </w:t>
      </w:r>
      <w:r w:rsidRPr="00982BC1">
        <w:rPr>
          <w:rFonts w:hint="eastAsia"/>
          <w:sz w:val="22"/>
          <w:szCs w:val="22"/>
          <w:rtl/>
        </w:rPr>
        <w:t>אם</w:t>
      </w:r>
      <w:r w:rsidRPr="00982BC1">
        <w:rPr>
          <w:sz w:val="22"/>
          <w:szCs w:val="22"/>
          <w:rtl/>
        </w:rPr>
        <w:t xml:space="preserve"> </w:t>
      </w:r>
      <w:r w:rsidRPr="00982BC1">
        <w:rPr>
          <w:rFonts w:hint="eastAsia"/>
          <w:sz w:val="22"/>
          <w:szCs w:val="22"/>
          <w:rtl/>
        </w:rPr>
        <w:t>ועדת</w:t>
      </w:r>
      <w:r w:rsidRPr="00982BC1">
        <w:rPr>
          <w:sz w:val="22"/>
          <w:szCs w:val="22"/>
          <w:rtl/>
        </w:rPr>
        <w:t xml:space="preserve"> </w:t>
      </w:r>
      <w:r w:rsidRPr="00982BC1">
        <w:rPr>
          <w:rFonts w:hint="eastAsia"/>
          <w:sz w:val="22"/>
          <w:szCs w:val="22"/>
          <w:rtl/>
        </w:rPr>
        <w:t>האשראי</w:t>
      </w:r>
      <w:r w:rsidRPr="00982BC1">
        <w:rPr>
          <w:sz w:val="22"/>
          <w:szCs w:val="22"/>
          <w:rtl/>
        </w:rPr>
        <w:t xml:space="preserve"> </w:t>
      </w:r>
      <w:r w:rsidRPr="00982BC1">
        <w:rPr>
          <w:rFonts w:hint="eastAsia"/>
          <w:sz w:val="22"/>
          <w:szCs w:val="22"/>
          <w:rtl/>
        </w:rPr>
        <w:t>אישרה</w:t>
      </w:r>
      <w:r w:rsidRPr="00982BC1">
        <w:rPr>
          <w:sz w:val="22"/>
          <w:szCs w:val="22"/>
          <w:rtl/>
        </w:rPr>
        <w:t xml:space="preserve"> את הבקשה, </w:t>
      </w:r>
      <w:r w:rsidRPr="00982BC1">
        <w:rPr>
          <w:rFonts w:hint="eastAsia"/>
          <w:sz w:val="22"/>
          <w:szCs w:val="22"/>
          <w:rtl/>
        </w:rPr>
        <w:t>תועמד</w:t>
      </w:r>
      <w:r w:rsidRPr="00982BC1">
        <w:rPr>
          <w:sz w:val="22"/>
          <w:szCs w:val="22"/>
          <w:rtl/>
        </w:rPr>
        <w:t xml:space="preserve"> </w:t>
      </w:r>
      <w:r w:rsidRPr="00982BC1">
        <w:rPr>
          <w:rFonts w:hint="eastAsia"/>
          <w:sz w:val="22"/>
          <w:szCs w:val="22"/>
          <w:rtl/>
        </w:rPr>
        <w:t>ההלוואה</w:t>
      </w:r>
      <w:r w:rsidRPr="00982BC1">
        <w:rPr>
          <w:sz w:val="22"/>
          <w:szCs w:val="22"/>
          <w:rtl/>
        </w:rPr>
        <w:t xml:space="preserve"> </w:t>
      </w:r>
      <w:r w:rsidRPr="00982BC1">
        <w:rPr>
          <w:rFonts w:hint="eastAsia"/>
          <w:sz w:val="22"/>
          <w:szCs w:val="22"/>
          <w:rtl/>
        </w:rPr>
        <w:t>לפונה</w:t>
      </w:r>
      <w:r w:rsidRPr="00982BC1">
        <w:rPr>
          <w:sz w:val="22"/>
          <w:szCs w:val="22"/>
          <w:rtl/>
        </w:rPr>
        <w:t>.</w:t>
      </w:r>
    </w:p>
    <w:p w:rsidR="00253C38" w:rsidRPr="00982BC1" w:rsidP="00982BC1" w14:paraId="51F14C61" w14:textId="77777777">
      <w:pPr>
        <w:spacing w:line="269" w:lineRule="auto"/>
        <w:rPr>
          <w:sz w:val="22"/>
          <w:szCs w:val="22"/>
          <w:rtl/>
        </w:rPr>
      </w:pPr>
      <w:r w:rsidRPr="00982BC1">
        <w:rPr>
          <w:sz w:val="22"/>
          <w:szCs w:val="22"/>
          <w:rtl/>
        </w:rPr>
        <w:t xml:space="preserve">*** גוף שמונה </w:t>
      </w:r>
      <w:r w:rsidRPr="00982BC1">
        <w:rPr>
          <w:rFonts w:hint="cs"/>
          <w:sz w:val="22"/>
          <w:szCs w:val="22"/>
          <w:rtl/>
        </w:rPr>
        <w:t>על ידי</w:t>
      </w:r>
      <w:r w:rsidRPr="00982BC1">
        <w:rPr>
          <w:sz w:val="22"/>
          <w:szCs w:val="22"/>
          <w:rtl/>
        </w:rPr>
        <w:t xml:space="preserve"> אגף </w:t>
      </w:r>
      <w:r w:rsidRPr="00982BC1">
        <w:rPr>
          <w:rFonts w:hint="cs"/>
          <w:sz w:val="22"/>
          <w:szCs w:val="22"/>
          <w:rtl/>
        </w:rPr>
        <w:t>החשכ"ל</w:t>
      </w:r>
      <w:r w:rsidRPr="00982BC1">
        <w:rPr>
          <w:sz w:val="22"/>
          <w:szCs w:val="22"/>
          <w:rtl/>
        </w:rPr>
        <w:t xml:space="preserve"> לוודא עמידה בכללי המתווה ולביצוע בדיקה מקבילה של בקשות הפונים לקרנות לפי דרישה.</w:t>
      </w:r>
    </w:p>
    <w:p w:rsidR="00253C38" w:rsidP="00982BC1" w14:paraId="310BF809" w14:textId="5C2AB71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3374018" w14:textId="77777777">
      <w:pPr>
        <w:tabs>
          <w:tab w:val="left" w:pos="374"/>
        </w:tabs>
        <w:spacing w:line="269" w:lineRule="auto"/>
        <w:rPr>
          <w:sz w:val="24"/>
          <w:rtl/>
        </w:rPr>
      </w:pPr>
      <w:r>
        <w:rPr>
          <w:rFonts w:hint="cs"/>
          <w:sz w:val="24"/>
          <w:rtl/>
        </w:rPr>
        <w:t xml:space="preserve">הביקוש הגבוה לקרנות, בייחוד במועד פתיחתן, התבטא בחריגה מלוחות הזמנים שהוגדרו בהסכמי ההתקשרות. התרשים להלן מציג נתונים שסיפק אגף החשכ"ל על זמני הטיפול בבקשות במסגרת הקרן לעסקים קטנים ובינוניים על שני מסלוליה, בפריסה חודשית ובחלוקה לבקשות שנדונו במסלול המהיר ובמסלול הדורש נוכחות של נציג ציבור בוועדות האשראי הנגזר מהסכום המבוקש. </w:t>
      </w:r>
    </w:p>
    <w:p w:rsidR="00982BC1" w14:paraId="1EB704CB" w14:textId="77777777">
      <w:pPr>
        <w:bidi w:val="0"/>
        <w:spacing w:after="200" w:line="276" w:lineRule="auto"/>
        <w:rPr>
          <w:szCs w:val="20"/>
          <w:rtl/>
        </w:rPr>
      </w:pPr>
      <w:r>
        <w:rPr>
          <w:rtl/>
        </w:rPr>
        <w:br w:type="page"/>
      </w:r>
    </w:p>
    <w:p w:rsidR="00253C38" w:rsidP="00982BC1" w14:paraId="69A2B5DA" w14:textId="5A8AED1B">
      <w:pPr>
        <w:pStyle w:val="a"/>
        <w:spacing w:line="269" w:lineRule="auto"/>
        <w:rPr>
          <w:rFonts w:hint="cs"/>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C6911" w:rsidP="00982BC1" w14:paraId="222763EF" w14:textId="77777777">
      <w:pPr>
        <w:spacing w:line="269" w:lineRule="auto"/>
        <w:jc w:val="center"/>
        <w:rPr>
          <w:b/>
          <w:bCs/>
          <w:rtl/>
        </w:rPr>
      </w:pPr>
      <w:r w:rsidRPr="001C6911">
        <w:rPr>
          <w:rFonts w:hint="eastAsia"/>
          <w:b/>
          <w:bCs/>
          <w:rtl/>
        </w:rPr>
        <w:t>תרשים</w:t>
      </w:r>
      <w:r w:rsidRPr="001C6911">
        <w:rPr>
          <w:b/>
          <w:bCs/>
          <w:rtl/>
        </w:rPr>
        <w:t xml:space="preserve"> </w:t>
      </w:r>
      <w:r w:rsidR="00273D78">
        <w:rPr>
          <w:rFonts w:hint="cs"/>
          <w:b/>
          <w:bCs/>
          <w:rtl/>
        </w:rPr>
        <w:t>31</w:t>
      </w:r>
      <w:r w:rsidRPr="001C6911">
        <w:rPr>
          <w:b/>
          <w:bCs/>
          <w:rtl/>
        </w:rPr>
        <w:t xml:space="preserve">: </w:t>
      </w:r>
      <w:r w:rsidRPr="001C6911">
        <w:rPr>
          <w:rFonts w:hint="eastAsia"/>
          <w:b/>
          <w:bCs/>
          <w:rtl/>
        </w:rPr>
        <w:t>זמני</w:t>
      </w:r>
      <w:r w:rsidRPr="001C6911">
        <w:rPr>
          <w:b/>
          <w:bCs/>
          <w:rtl/>
        </w:rPr>
        <w:t xml:space="preserve"> הטיפול (בימים) </w:t>
      </w:r>
      <w:r w:rsidRPr="001C6911">
        <w:rPr>
          <w:rFonts w:hint="eastAsia"/>
          <w:b/>
          <w:bCs/>
          <w:rtl/>
        </w:rPr>
        <w:t>בבקשות</w:t>
      </w:r>
      <w:r w:rsidRPr="001C6911">
        <w:rPr>
          <w:b/>
          <w:bCs/>
          <w:rtl/>
        </w:rPr>
        <w:t xml:space="preserve"> </w:t>
      </w:r>
      <w:r w:rsidRPr="001C6911">
        <w:rPr>
          <w:rFonts w:hint="eastAsia"/>
          <w:b/>
          <w:bCs/>
          <w:rtl/>
        </w:rPr>
        <w:t>במסגרת</w:t>
      </w:r>
      <w:r w:rsidRPr="001C6911">
        <w:rPr>
          <w:b/>
          <w:bCs/>
          <w:rtl/>
        </w:rPr>
        <w:t xml:space="preserve"> </w:t>
      </w:r>
      <w:r w:rsidRPr="001C6911">
        <w:rPr>
          <w:rFonts w:hint="eastAsia"/>
          <w:b/>
          <w:bCs/>
          <w:rtl/>
        </w:rPr>
        <w:t>הקרנות</w:t>
      </w:r>
      <w:r w:rsidRPr="001C6911">
        <w:rPr>
          <w:b/>
          <w:bCs/>
          <w:rtl/>
        </w:rPr>
        <w:t xml:space="preserve"> </w:t>
      </w:r>
      <w:r w:rsidRPr="001C6911">
        <w:rPr>
          <w:rFonts w:hint="eastAsia"/>
          <w:b/>
          <w:bCs/>
          <w:rtl/>
        </w:rPr>
        <w:t>הייעודיות</w:t>
      </w:r>
      <w:r w:rsidRPr="001C6911">
        <w:rPr>
          <w:b/>
          <w:bCs/>
          <w:rtl/>
        </w:rPr>
        <w:t xml:space="preserve"> </w:t>
      </w:r>
      <w:r w:rsidRPr="001C6911">
        <w:rPr>
          <w:rFonts w:hint="eastAsia"/>
          <w:b/>
          <w:bCs/>
          <w:rtl/>
        </w:rPr>
        <w:t>בפריסה</w:t>
      </w:r>
      <w:r w:rsidRPr="001C6911">
        <w:rPr>
          <w:b/>
          <w:bCs/>
          <w:rtl/>
        </w:rPr>
        <w:t xml:space="preserve"> </w:t>
      </w:r>
      <w:r w:rsidRPr="001C6911">
        <w:rPr>
          <w:rFonts w:hint="eastAsia"/>
          <w:b/>
          <w:bCs/>
          <w:rtl/>
        </w:rPr>
        <w:t>חודשית</w:t>
      </w:r>
      <w:r w:rsidRPr="00273D78">
        <w:rPr>
          <w:b/>
          <w:bCs/>
          <w:rtl/>
        </w:rPr>
        <w:t>, 2020</w:t>
      </w:r>
      <w:r w:rsidRPr="001C6911">
        <w:rPr>
          <w:b/>
          <w:bCs/>
          <w:rtl/>
        </w:rPr>
        <w:t>*</w:t>
      </w:r>
    </w:p>
    <w:p w:rsidR="00253C38" w:rsidRPr="00290C66" w:rsidP="00982BC1" w14:paraId="5C318557" w14:textId="77777777">
      <w:pPr>
        <w:spacing w:line="269" w:lineRule="auto"/>
        <w:ind w:left="-1701"/>
        <w:rPr>
          <w:sz w:val="24"/>
          <w:rtl/>
        </w:rPr>
      </w:pPr>
      <w:r>
        <w:rPr>
          <w:noProof/>
        </w:rPr>
        <w:drawing>
          <wp:inline distT="0" distB="0" distL="0" distR="0">
            <wp:extent cx="7368540" cy="5714935"/>
            <wp:effectExtent l="0" t="0" r="3810" b="635"/>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93564" name=""/>
                    <pic:cNvPicPr/>
                  </pic:nvPicPr>
                  <pic:blipFill>
                    <a:blip xmlns:r="http://schemas.openxmlformats.org/officeDocument/2006/relationships" r:embed="rId39"/>
                    <a:stretch>
                      <a:fillRect/>
                    </a:stretch>
                  </pic:blipFill>
                  <pic:spPr>
                    <a:xfrm>
                      <a:off x="0" y="0"/>
                      <a:ext cx="7383566" cy="5726589"/>
                    </a:xfrm>
                    <a:prstGeom prst="rect">
                      <a:avLst/>
                    </a:prstGeom>
                  </pic:spPr>
                </pic:pic>
              </a:graphicData>
            </a:graphic>
          </wp:inline>
        </w:drawing>
      </w:r>
    </w:p>
    <w:p w:rsidR="00253C38" w:rsidRPr="00982BC1" w:rsidP="00982BC1" w14:paraId="72D53950" w14:textId="77777777">
      <w:pPr>
        <w:spacing w:line="269" w:lineRule="auto"/>
        <w:rPr>
          <w:sz w:val="22"/>
          <w:szCs w:val="22"/>
          <w:rtl/>
        </w:rPr>
      </w:pPr>
      <w:r w:rsidRPr="00982BC1">
        <w:rPr>
          <w:rFonts w:hint="cs"/>
          <w:sz w:val="22"/>
          <w:szCs w:val="22"/>
          <w:rtl/>
        </w:rPr>
        <w:t xml:space="preserve">נתוני החשכ"ל, בעיבוד משרד מבקר המדינה. </w:t>
      </w:r>
    </w:p>
    <w:p w:rsidR="00253C38" w:rsidRPr="00982BC1" w:rsidP="00982BC1" w14:paraId="7904A2AD" w14:textId="77777777">
      <w:pPr>
        <w:spacing w:line="269" w:lineRule="auto"/>
        <w:rPr>
          <w:sz w:val="22"/>
          <w:szCs w:val="22"/>
          <w:rtl/>
        </w:rPr>
      </w:pPr>
      <w:r w:rsidRPr="00982BC1">
        <w:rPr>
          <w:sz w:val="22"/>
          <w:szCs w:val="22"/>
          <w:rtl/>
        </w:rPr>
        <w:t xml:space="preserve">* הנתונים מתייחסים לבקשות שנידונו בוועדות האשראי בלבד. נתונים על הקרן לעסקים גדולים </w:t>
      </w:r>
      <w:r w:rsidRPr="00982BC1">
        <w:rPr>
          <w:rFonts w:hint="cs"/>
          <w:sz w:val="22"/>
          <w:szCs w:val="22"/>
          <w:rtl/>
        </w:rPr>
        <w:t>לא</w:t>
      </w:r>
      <w:r w:rsidRPr="00982BC1">
        <w:rPr>
          <w:sz w:val="22"/>
          <w:szCs w:val="22"/>
          <w:rtl/>
        </w:rPr>
        <w:t xml:space="preserve"> מוצגי</w:t>
      </w:r>
      <w:r w:rsidRPr="00982BC1">
        <w:rPr>
          <w:rFonts w:hint="eastAsia"/>
          <w:sz w:val="22"/>
          <w:szCs w:val="22"/>
          <w:rtl/>
        </w:rPr>
        <w:t>ם</w:t>
      </w:r>
      <w:r w:rsidRPr="00982BC1">
        <w:rPr>
          <w:sz w:val="22"/>
          <w:szCs w:val="22"/>
          <w:rtl/>
        </w:rPr>
        <w:t xml:space="preserve"> בשל מספר הבקשות הנמוך שנידונו </w:t>
      </w:r>
      <w:r w:rsidRPr="00982BC1">
        <w:rPr>
          <w:rFonts w:hint="eastAsia"/>
          <w:sz w:val="22"/>
          <w:szCs w:val="22"/>
          <w:rtl/>
        </w:rPr>
        <w:t>בוועדות</w:t>
      </w:r>
      <w:r w:rsidRPr="00982BC1">
        <w:rPr>
          <w:sz w:val="22"/>
          <w:szCs w:val="22"/>
          <w:rtl/>
        </w:rPr>
        <w:t xml:space="preserve"> </w:t>
      </w:r>
      <w:r w:rsidRPr="00982BC1">
        <w:rPr>
          <w:rFonts w:hint="eastAsia"/>
          <w:sz w:val="22"/>
          <w:szCs w:val="22"/>
          <w:rtl/>
        </w:rPr>
        <w:t>האשראי</w:t>
      </w:r>
      <w:r w:rsidRPr="00982BC1">
        <w:rPr>
          <w:sz w:val="22"/>
          <w:szCs w:val="22"/>
          <w:rtl/>
        </w:rPr>
        <w:t xml:space="preserve"> </w:t>
      </w:r>
      <w:r w:rsidRPr="00982BC1">
        <w:rPr>
          <w:rFonts w:hint="eastAsia"/>
          <w:sz w:val="22"/>
          <w:szCs w:val="22"/>
          <w:rtl/>
        </w:rPr>
        <w:t>מתוך</w:t>
      </w:r>
      <w:r w:rsidRPr="00982BC1">
        <w:rPr>
          <w:sz w:val="22"/>
          <w:szCs w:val="22"/>
          <w:rtl/>
        </w:rPr>
        <w:t xml:space="preserve"> </w:t>
      </w:r>
      <w:r w:rsidRPr="00982BC1">
        <w:rPr>
          <w:rFonts w:hint="eastAsia"/>
          <w:sz w:val="22"/>
          <w:szCs w:val="22"/>
          <w:rtl/>
        </w:rPr>
        <w:t>הבקשות</w:t>
      </w:r>
      <w:r w:rsidRPr="00982BC1">
        <w:rPr>
          <w:sz w:val="22"/>
          <w:szCs w:val="22"/>
          <w:rtl/>
        </w:rPr>
        <w:t xml:space="preserve"> </w:t>
      </w:r>
      <w:r w:rsidRPr="00982BC1">
        <w:rPr>
          <w:rFonts w:hint="eastAsia"/>
          <w:sz w:val="22"/>
          <w:szCs w:val="22"/>
          <w:rtl/>
        </w:rPr>
        <w:t>שהוגשו</w:t>
      </w:r>
      <w:r w:rsidRPr="00982BC1">
        <w:rPr>
          <w:sz w:val="22"/>
          <w:szCs w:val="22"/>
          <w:rtl/>
        </w:rPr>
        <w:t xml:space="preserve"> </w:t>
      </w:r>
      <w:r w:rsidRPr="00982BC1">
        <w:rPr>
          <w:rFonts w:hint="eastAsia"/>
          <w:sz w:val="22"/>
          <w:szCs w:val="22"/>
          <w:rtl/>
        </w:rPr>
        <w:t>בקרן</w:t>
      </w:r>
      <w:r w:rsidRPr="00982BC1">
        <w:rPr>
          <w:sz w:val="22"/>
          <w:szCs w:val="22"/>
          <w:rtl/>
        </w:rPr>
        <w:t xml:space="preserve"> </w:t>
      </w:r>
      <w:r w:rsidRPr="00982BC1">
        <w:rPr>
          <w:rFonts w:hint="eastAsia"/>
          <w:sz w:val="22"/>
          <w:szCs w:val="22"/>
          <w:rtl/>
        </w:rPr>
        <w:t>זו</w:t>
      </w:r>
      <w:r w:rsidRPr="00982BC1">
        <w:rPr>
          <w:sz w:val="22"/>
          <w:szCs w:val="22"/>
          <w:rtl/>
        </w:rPr>
        <w:t>.</w:t>
      </w:r>
    </w:p>
    <w:p w:rsidR="00253C38" w:rsidP="00982BC1" w14:paraId="41E1C75A" w14:textId="17B2B96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DA98EF5" w14:textId="77777777">
      <w:pPr>
        <w:spacing w:line="269" w:lineRule="auto"/>
        <w:rPr>
          <w:b/>
          <w:bCs/>
          <w:sz w:val="24"/>
          <w:rtl/>
        </w:rPr>
      </w:pPr>
      <w:r>
        <w:rPr>
          <w:rFonts w:hint="cs"/>
          <w:b/>
          <w:bCs/>
          <w:sz w:val="24"/>
          <w:rtl/>
        </w:rPr>
        <w:t>מתרשים 31</w:t>
      </w:r>
      <w:r>
        <w:rPr>
          <w:b/>
          <w:bCs/>
          <w:sz w:val="24"/>
          <w:rtl/>
        </w:rPr>
        <w:t xml:space="preserve"> ניכרת </w:t>
      </w:r>
      <w:r w:rsidRPr="006D768D">
        <w:rPr>
          <w:b/>
          <w:bCs/>
          <w:sz w:val="24"/>
          <w:rtl/>
        </w:rPr>
        <w:t xml:space="preserve">חריגה </w:t>
      </w:r>
      <w:r>
        <w:rPr>
          <w:rFonts w:hint="cs"/>
          <w:b/>
          <w:bCs/>
          <w:sz w:val="24"/>
          <w:rtl/>
        </w:rPr>
        <w:t xml:space="preserve">מהותית </w:t>
      </w:r>
      <w:r w:rsidRPr="006D768D">
        <w:rPr>
          <w:b/>
          <w:bCs/>
          <w:sz w:val="24"/>
          <w:rtl/>
        </w:rPr>
        <w:t>מלוחות הזמנים שהוגדרו לטיפול בבקשות בשני המסלולים</w:t>
      </w:r>
      <w:r>
        <w:rPr>
          <w:rFonts w:hint="cs"/>
          <w:b/>
          <w:bCs/>
          <w:sz w:val="24"/>
          <w:rtl/>
        </w:rPr>
        <w:t>. במסלול הרגיל חריגה של כ-15 ימים בממוצע בטיפול בבקשות שנותבו למסלול המהיר וחריגה של כ-18 ימים בטיפול בבקשות האחרות. במסלול המוגבר חריגה של כ-14 ימים בממוצע בטיפול בבקשות שנותבו למסלול המהיר וחריגה של כ-20 ימים בטיפול בבקשות האחרות</w:t>
      </w:r>
      <w:r w:rsidRPr="006D768D">
        <w:rPr>
          <w:b/>
          <w:bCs/>
          <w:sz w:val="24"/>
          <w:rtl/>
        </w:rPr>
        <w:t xml:space="preserve">. </w:t>
      </w:r>
    </w:p>
    <w:p w:rsidR="00253C38" w:rsidP="00982BC1" w14:paraId="3CDDF684" w14:textId="39673A4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51E56" w:rsidP="00982BC1" w14:paraId="2A46F18F" w14:textId="77777777">
      <w:pPr>
        <w:spacing w:line="269" w:lineRule="auto"/>
        <w:rPr>
          <w:sz w:val="24"/>
          <w:rtl/>
        </w:rPr>
      </w:pPr>
      <w:r w:rsidRPr="00151E56">
        <w:rPr>
          <w:sz w:val="24"/>
          <w:rtl/>
        </w:rPr>
        <w:t xml:space="preserve">עוד עולה </w:t>
      </w:r>
      <w:r w:rsidR="00273D78">
        <w:rPr>
          <w:rFonts w:hint="cs"/>
          <w:sz w:val="24"/>
          <w:rtl/>
        </w:rPr>
        <w:t>מתרשים 31</w:t>
      </w:r>
      <w:r w:rsidRPr="00151E56">
        <w:rPr>
          <w:sz w:val="24"/>
          <w:rtl/>
        </w:rPr>
        <w:t xml:space="preserve"> </w:t>
      </w:r>
      <w:r w:rsidRPr="00151E56">
        <w:rPr>
          <w:rFonts w:hint="cs"/>
          <w:sz w:val="24"/>
          <w:rtl/>
        </w:rPr>
        <w:t xml:space="preserve">כי </w:t>
      </w:r>
      <w:r w:rsidRPr="00151E56">
        <w:rPr>
          <w:sz w:val="24"/>
          <w:rtl/>
        </w:rPr>
        <w:t>קיים פער בזמני הטיפול בהתאם להיקפן בשני המסלולים</w:t>
      </w:r>
      <w:r w:rsidR="00273D78">
        <w:rPr>
          <w:rFonts w:hint="cs"/>
          <w:sz w:val="24"/>
          <w:rtl/>
        </w:rPr>
        <w:t xml:space="preserve"> המשפיע על אופן ניתוב מסלול בחינת הבקשות. </w:t>
      </w:r>
      <w:r w:rsidRPr="00151E56">
        <w:rPr>
          <w:rFonts w:hint="cs"/>
          <w:sz w:val="24"/>
          <w:rtl/>
        </w:rPr>
        <w:t xml:space="preserve">טיפול בבקשות להלוואות בסכום העולה על </w:t>
      </w:r>
      <w:r>
        <w:rPr>
          <w:rFonts w:hint="cs"/>
          <w:sz w:val="24"/>
          <w:rtl/>
        </w:rPr>
        <w:t>500,000</w:t>
      </w:r>
      <w:r w:rsidRPr="00151E56">
        <w:rPr>
          <w:rFonts w:hint="cs"/>
          <w:sz w:val="24"/>
          <w:rtl/>
        </w:rPr>
        <w:t xml:space="preserve"> </w:t>
      </w:r>
      <w:r>
        <w:rPr>
          <w:rFonts w:hint="cs"/>
          <w:sz w:val="24"/>
          <w:rtl/>
        </w:rPr>
        <w:t>ש"ח</w:t>
      </w:r>
      <w:r w:rsidRPr="00151E56">
        <w:rPr>
          <w:rFonts w:hint="cs"/>
          <w:sz w:val="24"/>
          <w:rtl/>
        </w:rPr>
        <w:t xml:space="preserve"> </w:t>
      </w:r>
      <w:r>
        <w:rPr>
          <w:rFonts w:hint="cs"/>
          <w:sz w:val="24"/>
          <w:rtl/>
        </w:rPr>
        <w:t xml:space="preserve">במסלול המוגבר </w:t>
      </w:r>
      <w:r w:rsidRPr="00151E56">
        <w:rPr>
          <w:rFonts w:hint="cs"/>
          <w:sz w:val="24"/>
          <w:rtl/>
        </w:rPr>
        <w:t>ו</w:t>
      </w:r>
      <w:r>
        <w:rPr>
          <w:rFonts w:hint="cs"/>
          <w:sz w:val="24"/>
          <w:rtl/>
        </w:rPr>
        <w:t xml:space="preserve">על </w:t>
      </w:r>
      <w:r w:rsidRPr="00151E56">
        <w:rPr>
          <w:rFonts w:hint="cs"/>
          <w:sz w:val="24"/>
          <w:rtl/>
        </w:rPr>
        <w:t xml:space="preserve">1 מיליון </w:t>
      </w:r>
      <w:r>
        <w:rPr>
          <w:rFonts w:hint="cs"/>
          <w:sz w:val="24"/>
          <w:rtl/>
        </w:rPr>
        <w:t>ש"ח</w:t>
      </w:r>
      <w:r w:rsidRPr="00151E56">
        <w:rPr>
          <w:rFonts w:hint="cs"/>
          <w:sz w:val="24"/>
          <w:rtl/>
        </w:rPr>
        <w:t xml:space="preserve"> </w:t>
      </w:r>
      <w:r w:rsidR="00273D78">
        <w:rPr>
          <w:rFonts w:hint="cs"/>
          <w:sz w:val="24"/>
          <w:rtl/>
        </w:rPr>
        <w:t xml:space="preserve">במסלול </w:t>
      </w:r>
      <w:r>
        <w:rPr>
          <w:rFonts w:hint="cs"/>
          <w:sz w:val="24"/>
          <w:rtl/>
        </w:rPr>
        <w:t xml:space="preserve">הרגיל כרוך בהתכנסות ועדות אשראי בשיתוף נציג הציבור ובאיסוף מידע נוסף לקבלת ההחלטה המובילים לעיכוב נוסף בבחינתן. </w:t>
      </w:r>
      <w:r w:rsidRPr="00151E56">
        <w:rPr>
          <w:sz w:val="24"/>
          <w:rtl/>
        </w:rPr>
        <w:t xml:space="preserve">ניכרת בתרשים </w:t>
      </w:r>
      <w:r w:rsidRPr="00151E56">
        <w:rPr>
          <w:rFonts w:hint="eastAsia"/>
          <w:sz w:val="24"/>
          <w:rtl/>
        </w:rPr>
        <w:t>מגמת</w:t>
      </w:r>
      <w:r w:rsidRPr="00151E56">
        <w:rPr>
          <w:sz w:val="24"/>
          <w:rtl/>
        </w:rPr>
        <w:t xml:space="preserve"> ירידה</w:t>
      </w:r>
      <w:r w:rsidRPr="00151E56">
        <w:rPr>
          <w:rFonts w:hint="cs"/>
          <w:sz w:val="24"/>
          <w:rtl/>
        </w:rPr>
        <w:t xml:space="preserve"> רציפה</w:t>
      </w:r>
      <w:r w:rsidRPr="00151E56">
        <w:rPr>
          <w:sz w:val="24"/>
          <w:rtl/>
        </w:rPr>
        <w:t xml:space="preserve"> בזמני הטיפול בבקשות </w:t>
      </w:r>
      <w:r w:rsidRPr="00151E56">
        <w:rPr>
          <w:rFonts w:hint="eastAsia"/>
          <w:sz w:val="24"/>
          <w:rtl/>
        </w:rPr>
        <w:t>במהלך</w:t>
      </w:r>
      <w:r w:rsidRPr="00151E56">
        <w:rPr>
          <w:sz w:val="24"/>
          <w:rtl/>
        </w:rPr>
        <w:t xml:space="preserve"> חודשי פעילות הקרנות</w:t>
      </w:r>
      <w:r>
        <w:rPr>
          <w:rFonts w:hint="cs"/>
          <w:sz w:val="24"/>
          <w:rtl/>
        </w:rPr>
        <w:t>, אך</w:t>
      </w:r>
      <w:r w:rsidRPr="00151E56">
        <w:rPr>
          <w:sz w:val="24"/>
          <w:rtl/>
        </w:rPr>
        <w:t xml:space="preserve"> משך הטיפול בבקשות רחוק מהיעד שהוגדר בהסכמי ההתקשרות</w:t>
      </w:r>
      <w:r w:rsidR="00DB4F38">
        <w:rPr>
          <w:rFonts w:hint="cs"/>
          <w:sz w:val="24"/>
          <w:rtl/>
        </w:rPr>
        <w:t xml:space="preserve">: </w:t>
      </w:r>
      <w:r w:rsidRPr="00151E56" w:rsidR="00DB4F38">
        <w:rPr>
          <w:sz w:val="24"/>
          <w:rtl/>
        </w:rPr>
        <w:t>שבעה ימי עסקים לכל היותר</w:t>
      </w:r>
      <w:r w:rsidR="00DB4F38">
        <w:rPr>
          <w:rFonts w:hint="cs"/>
          <w:sz w:val="24"/>
          <w:rtl/>
        </w:rPr>
        <w:t xml:space="preserve"> לאחר קליטת הבקשה, גם לאחר </w:t>
      </w:r>
      <w:r w:rsidR="00DB4F38">
        <w:rPr>
          <w:rFonts w:hint="cs"/>
          <w:sz w:val="24"/>
          <w:rtl/>
        </w:rPr>
        <w:t>שישה חודשי פעילות</w:t>
      </w:r>
      <w:r>
        <w:rPr>
          <w:rFonts w:hint="cs"/>
          <w:sz w:val="24"/>
          <w:rtl/>
        </w:rPr>
        <w:t>.</w:t>
      </w:r>
      <w:r w:rsidRPr="00151E56">
        <w:rPr>
          <w:sz w:val="24"/>
          <w:rtl/>
        </w:rPr>
        <w:t xml:space="preserve"> </w:t>
      </w:r>
      <w:r w:rsidR="00DB4F38">
        <w:rPr>
          <w:rFonts w:hint="cs"/>
          <w:sz w:val="24"/>
          <w:rtl/>
        </w:rPr>
        <w:t xml:space="preserve">זאת ועוד </w:t>
      </w:r>
      <w:r w:rsidRPr="00151E56">
        <w:rPr>
          <w:sz w:val="24"/>
          <w:rtl/>
        </w:rPr>
        <w:t>ניתן לייחס את מגמת השיפור לירידה ב</w:t>
      </w:r>
      <w:r>
        <w:rPr>
          <w:rFonts w:hint="cs"/>
          <w:sz w:val="24"/>
          <w:rtl/>
        </w:rPr>
        <w:t>מספר</w:t>
      </w:r>
      <w:r w:rsidRPr="00151E56">
        <w:rPr>
          <w:sz w:val="24"/>
          <w:rtl/>
        </w:rPr>
        <w:t xml:space="preserve"> הבקשות שהוגשו בקרנות </w:t>
      </w:r>
      <w:r w:rsidRPr="00151E56">
        <w:rPr>
          <w:rFonts w:hint="eastAsia"/>
          <w:sz w:val="24"/>
          <w:rtl/>
        </w:rPr>
        <w:t>במהלך</w:t>
      </w:r>
      <w:r w:rsidRPr="00151E56">
        <w:rPr>
          <w:sz w:val="24"/>
          <w:rtl/>
        </w:rPr>
        <w:t xml:space="preserve"> חודשי פעילותן</w:t>
      </w:r>
      <w:r w:rsidRPr="00151E56">
        <w:rPr>
          <w:rFonts w:hint="cs"/>
          <w:sz w:val="24"/>
          <w:rtl/>
        </w:rPr>
        <w:t>.</w:t>
      </w:r>
    </w:p>
    <w:p w:rsidR="00253C38" w:rsidP="00982BC1" w14:paraId="7EADB8FD" w14:textId="76A1D875">
      <w:pPr>
        <w:pStyle w:val="a"/>
        <w:spacing w:line="269" w:lineRule="auto"/>
        <w:rPr>
          <w:sz w:val="24"/>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99EAB08" w14:textId="77777777">
      <w:pPr>
        <w:spacing w:line="269" w:lineRule="auto"/>
        <w:rPr>
          <w:b/>
          <w:bCs/>
          <w:sz w:val="24"/>
          <w:rtl/>
        </w:rPr>
      </w:pPr>
      <w:r w:rsidRPr="00773084">
        <w:rPr>
          <w:rFonts w:hint="cs"/>
          <w:b/>
          <w:bCs/>
          <w:sz w:val="24"/>
          <w:rtl/>
        </w:rPr>
        <w:t xml:space="preserve">הסכם ההתקשרות </w:t>
      </w:r>
      <w:r>
        <w:rPr>
          <w:rFonts w:hint="cs"/>
          <w:b/>
          <w:bCs/>
          <w:sz w:val="24"/>
          <w:rtl/>
        </w:rPr>
        <w:t>ש</w:t>
      </w:r>
      <w:r w:rsidRPr="00773084">
        <w:rPr>
          <w:rFonts w:hint="cs"/>
          <w:b/>
          <w:bCs/>
          <w:sz w:val="24"/>
          <w:rtl/>
        </w:rPr>
        <w:t>בו נקבע כי הגורמים המממנים ישלימו</w:t>
      </w:r>
      <w:r>
        <w:rPr>
          <w:rFonts w:hint="cs"/>
          <w:b/>
          <w:bCs/>
          <w:sz w:val="24"/>
          <w:rtl/>
        </w:rPr>
        <w:t xml:space="preserve"> את הטיפול בבקשות בתוך שבעה ימי עסקים</w:t>
      </w:r>
      <w:r w:rsidRPr="00773084">
        <w:rPr>
          <w:rFonts w:hint="cs"/>
          <w:b/>
          <w:bCs/>
          <w:sz w:val="24"/>
          <w:rtl/>
        </w:rPr>
        <w:t xml:space="preserve"> הביא לציפייה </w:t>
      </w:r>
      <w:r>
        <w:rPr>
          <w:rFonts w:hint="cs"/>
          <w:b/>
          <w:bCs/>
          <w:sz w:val="24"/>
          <w:rtl/>
        </w:rPr>
        <w:t xml:space="preserve">של </w:t>
      </w:r>
      <w:r w:rsidRPr="00773084">
        <w:rPr>
          <w:rFonts w:hint="cs"/>
          <w:b/>
          <w:bCs/>
          <w:sz w:val="24"/>
          <w:rtl/>
        </w:rPr>
        <w:t xml:space="preserve">המבקשים כי כך ייעשה. </w:t>
      </w:r>
      <w:r>
        <w:rPr>
          <w:rFonts w:hint="cs"/>
          <w:b/>
          <w:bCs/>
          <w:sz w:val="24"/>
          <w:rtl/>
        </w:rPr>
        <w:t>עם זאת נמצא כי זמני הטיפול בפועל בכל המסלולים חרגו מהותית (בכ-15 ימים בממוצע) מ</w:t>
      </w:r>
      <w:r w:rsidRPr="00773084">
        <w:rPr>
          <w:rFonts w:hint="cs"/>
          <w:b/>
          <w:bCs/>
          <w:sz w:val="24"/>
          <w:rtl/>
        </w:rPr>
        <w:t xml:space="preserve">זמני הטיפול </w:t>
      </w:r>
      <w:r>
        <w:rPr>
          <w:rFonts w:hint="cs"/>
          <w:b/>
          <w:bCs/>
          <w:sz w:val="24"/>
          <w:rtl/>
        </w:rPr>
        <w:t>שנקבעו.</w:t>
      </w:r>
      <w:r w:rsidRPr="00773084">
        <w:rPr>
          <w:rFonts w:hint="cs"/>
          <w:b/>
          <w:bCs/>
          <w:sz w:val="24"/>
          <w:rtl/>
        </w:rPr>
        <w:t xml:space="preserve"> </w:t>
      </w:r>
    </w:p>
    <w:p w:rsidR="00253C38" w:rsidP="00982BC1" w14:paraId="07144C1E" w14:textId="570E8B07">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P="00982BC1" w14:paraId="30B8D831" w14:textId="77777777">
      <w:pPr>
        <w:spacing w:line="269" w:lineRule="auto"/>
        <w:rPr>
          <w:b/>
          <w:bCs/>
          <w:sz w:val="24"/>
          <w:rtl/>
        </w:rPr>
      </w:pPr>
      <w:r>
        <w:rPr>
          <w:rFonts w:hint="cs"/>
          <w:b/>
          <w:bCs/>
          <w:sz w:val="24"/>
          <w:rtl/>
        </w:rPr>
        <w:t xml:space="preserve">מומלץ כי </w:t>
      </w:r>
      <w:r w:rsidRPr="00773084">
        <w:rPr>
          <w:rFonts w:hint="cs"/>
          <w:b/>
          <w:bCs/>
          <w:sz w:val="24"/>
          <w:rtl/>
        </w:rPr>
        <w:t xml:space="preserve">החשכ"ל </w:t>
      </w:r>
      <w:r>
        <w:rPr>
          <w:rFonts w:hint="cs"/>
          <w:b/>
          <w:bCs/>
          <w:sz w:val="24"/>
          <w:rtl/>
        </w:rPr>
        <w:t xml:space="preserve">יבחן עם הגופים המממנים את זמני הטיפול בבקשות, את החסמים השונים שנוצרו בתהליך ואת </w:t>
      </w:r>
      <w:r w:rsidRPr="00DB4F38">
        <w:rPr>
          <w:rFonts w:hint="cs"/>
          <w:b/>
          <w:bCs/>
          <w:sz w:val="24"/>
          <w:rtl/>
        </w:rPr>
        <w:t>הדרכים האפשריות לצמצום לוחות הזמנים. על פי בחינה זו עליו לקבוע זמן סביר לטיפול בבקשות. בהתאם יש לעדכן את הציבור בדבר משך זמן הטיפול בבקשות, וכך למנוע תסכול מצד המבקשים בשל התארכות</w:t>
      </w:r>
      <w:r>
        <w:rPr>
          <w:rFonts w:hint="cs"/>
          <w:b/>
          <w:bCs/>
          <w:sz w:val="24"/>
          <w:rtl/>
        </w:rPr>
        <w:t xml:space="preserve"> התהליך</w:t>
      </w:r>
      <w:r w:rsidRPr="00773084">
        <w:rPr>
          <w:rFonts w:hint="cs"/>
          <w:b/>
          <w:bCs/>
          <w:sz w:val="24"/>
          <w:rtl/>
        </w:rPr>
        <w:t>.</w:t>
      </w:r>
      <w:r>
        <w:rPr>
          <w:rFonts w:hint="cs"/>
          <w:b/>
          <w:bCs/>
          <w:sz w:val="24"/>
          <w:rtl/>
        </w:rPr>
        <w:t xml:space="preserve"> </w:t>
      </w:r>
    </w:p>
    <w:p w:rsidR="00253C38" w:rsidP="00982BC1" w14:paraId="3E4A999B" w14:textId="0925900D">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RPr="0005576C" w:rsidP="00982BC1" w14:paraId="4EF3A5ED" w14:textId="77777777">
      <w:pPr>
        <w:spacing w:line="269" w:lineRule="auto"/>
        <w:rPr>
          <w:b/>
          <w:bCs/>
          <w:sz w:val="24"/>
          <w:rtl/>
        </w:rPr>
      </w:pPr>
      <w:r>
        <w:rPr>
          <w:rFonts w:hint="cs"/>
          <w:b/>
          <w:bCs/>
          <w:sz w:val="24"/>
          <w:rtl/>
        </w:rPr>
        <w:t xml:space="preserve">מומלץ כי המפקח על הבנקים יבחן אם ההגבלות המשקיות שהוטלו על הבנקים </w:t>
      </w:r>
      <w:r w:rsidRPr="00861600">
        <w:rPr>
          <w:rFonts w:hint="cs"/>
          <w:b/>
          <w:bCs/>
          <w:sz w:val="24"/>
          <w:rtl/>
        </w:rPr>
        <w:t>(</w:t>
      </w:r>
      <w:r w:rsidRPr="00861600">
        <w:rPr>
          <w:b/>
          <w:bCs/>
          <w:rtl/>
        </w:rPr>
        <w:t>הנחיות לשעת חירום ו</w:t>
      </w:r>
      <w:r>
        <w:rPr>
          <w:rFonts w:hint="cs"/>
          <w:b/>
          <w:bCs/>
          <w:rtl/>
        </w:rPr>
        <w:t>צמצום היקף הפעילות</w:t>
      </w:r>
      <w:r w:rsidRPr="00A03072">
        <w:rPr>
          <w:b/>
          <w:bCs/>
          <w:rtl/>
        </w:rPr>
        <w:t>)</w:t>
      </w:r>
      <w:r>
        <w:rPr>
          <w:rFonts w:hint="cs"/>
          <w:b/>
          <w:bCs/>
          <w:sz w:val="24"/>
          <w:rtl/>
        </w:rPr>
        <w:t xml:space="preserve"> הביאו להתארכות הזמנים, ואם כן - </w:t>
      </w:r>
      <w:r w:rsidR="00DB4F38">
        <w:rPr>
          <w:rFonts w:hint="cs"/>
          <w:b/>
          <w:bCs/>
          <w:sz w:val="24"/>
          <w:rtl/>
        </w:rPr>
        <w:t>יבחן</w:t>
      </w:r>
      <w:r>
        <w:rPr>
          <w:rFonts w:hint="cs"/>
          <w:b/>
          <w:bCs/>
          <w:sz w:val="24"/>
          <w:rtl/>
        </w:rPr>
        <w:t xml:space="preserve"> הקלות נדרשות כדי לספק אשראי למשק בזמן סביר. הנושא מקבל משנה תוקף לנוכח אי-בהירות בדבר השינויים שיידרשו בהיקף פעילות הקרנות בעקבות התמשכות משבר הקורונה.</w:t>
      </w:r>
    </w:p>
    <w:p w:rsidR="00253C38" w:rsidP="00982BC1" w14:paraId="74314E09" w14:textId="676F09A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28BA06A" w14:textId="77777777">
      <w:pPr>
        <w:spacing w:line="269" w:lineRule="auto"/>
        <w:rPr>
          <w:sz w:val="24"/>
          <w:rtl/>
        </w:rPr>
      </w:pPr>
      <w:r>
        <w:rPr>
          <w:rFonts w:hint="cs"/>
          <w:rtl/>
        </w:rPr>
        <w:t xml:space="preserve">הביקוש הגובר לקרנות הייעודיות טמן בחובו אתגר לטיפול במספר בקשות גדול ובהיקפים שאינם מוכרים למערכת הבנקאית בתוך זמן קצר. הביקורת העלתה כי אתגר המערכת הבנקאית התעצם לנוכח </w:t>
      </w:r>
      <w:r w:rsidRPr="00DB4F38">
        <w:rPr>
          <w:rFonts w:hint="cs"/>
          <w:rtl/>
        </w:rPr>
        <w:t>תשתית מחשוב שאינה</w:t>
      </w:r>
      <w:r>
        <w:rPr>
          <w:rFonts w:hint="cs"/>
          <w:rtl/>
        </w:rPr>
        <w:t xml:space="preserve"> ערוכה לקליטת בקשות מסוג זה ובהיקף זה.</w:t>
      </w:r>
      <w:r w:rsidR="00B44955">
        <w:rPr>
          <w:rFonts w:hint="cs"/>
          <w:rtl/>
        </w:rPr>
        <w:t xml:space="preserve"> משכך</w:t>
      </w:r>
      <w:r>
        <w:rPr>
          <w:rFonts w:hint="cs"/>
          <w:rtl/>
        </w:rPr>
        <w:t xml:space="preserve"> שינוי המנגנון הקיים הוביל לעיכובים במתן מענה למבקשי ההלוואות. </w:t>
      </w:r>
    </w:p>
    <w:p w:rsidR="00253C38" w:rsidP="00982BC1" w14:paraId="6195C0C6" w14:textId="598EC2C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C67ED6" w:rsidP="00982BC1" w14:paraId="49114398" w14:textId="77777777">
      <w:pPr>
        <w:spacing w:line="269" w:lineRule="auto"/>
        <w:rPr>
          <w:sz w:val="24"/>
          <w:rtl/>
        </w:rPr>
      </w:pPr>
      <w:r>
        <w:rPr>
          <w:rFonts w:hint="cs"/>
          <w:sz w:val="24"/>
          <w:rtl/>
        </w:rPr>
        <w:t xml:space="preserve">כאמור, במסגרת הקרן הקיימת מקבלים הגופים המממנים מסמכים מסודרים אחרי שהוגשו לחברה מתאמת שמכינה את המסמכים לחיתום. אגף החשכ"ל שינה את מנגנון העברת המידע בקרנות הייעודיות </w:t>
      </w:r>
      <w:r w:rsidRPr="00151E56">
        <w:rPr>
          <w:rFonts w:hint="eastAsia"/>
          <w:sz w:val="24"/>
          <w:rtl/>
        </w:rPr>
        <w:t>ללא</w:t>
      </w:r>
      <w:r w:rsidRPr="00151E56">
        <w:rPr>
          <w:sz w:val="24"/>
          <w:rtl/>
        </w:rPr>
        <w:t xml:space="preserve"> היוועצות עם כל הגופים המממנים</w:t>
      </w:r>
      <w:r>
        <w:rPr>
          <w:rFonts w:hint="cs"/>
          <w:sz w:val="24"/>
          <w:rtl/>
        </w:rPr>
        <w:t xml:space="preserve">, במטרה לתת מענה מהיר ככל האפשר. התנהלות זו הובילה לכך שבקשות רבות שהתקבלו חסרו את המידע הנחוץ לקבלת החלטה בוועדות האשראי בגופים המממנים. משכך, נאלצו הגופים המממנים להשקיע משאבים בהשלמת הטיפול בבקשות, והדבר גרם לעיכוב במתן המענה לעסקים. נמצא כי הגופים המממנים נדרשו במשך ימים להקליד את הנתונים שהתקבלו ממערכת האוצר והגופים המתאמים לצורך יצירת בסיס נתונים עדכני, תוך כדי המצאת דוחות לחשכ"ל בדבר מדדי השירות ועמידה בלוחות הזמנים אליהם התחייבו. </w:t>
      </w:r>
    </w:p>
    <w:p w:rsidR="00253C38" w:rsidP="00982BC1" w14:paraId="365B0BFD" w14:textId="2DF79B3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DE7C6B8" w14:textId="77777777">
      <w:pPr>
        <w:spacing w:line="269" w:lineRule="auto"/>
        <w:rPr>
          <w:b/>
          <w:bCs/>
          <w:sz w:val="24"/>
          <w:rtl/>
        </w:rPr>
      </w:pPr>
      <w:r>
        <w:rPr>
          <w:rFonts w:hint="cs"/>
          <w:b/>
          <w:bCs/>
          <w:sz w:val="24"/>
          <w:rtl/>
        </w:rPr>
        <w:t xml:space="preserve">עלה כי בעקבות </w:t>
      </w:r>
      <w:r w:rsidRPr="00C7137A">
        <w:rPr>
          <w:rFonts w:hint="cs"/>
          <w:b/>
          <w:bCs/>
          <w:sz w:val="24"/>
          <w:rtl/>
        </w:rPr>
        <w:t xml:space="preserve">שינוי </w:t>
      </w:r>
      <w:r>
        <w:rPr>
          <w:rFonts w:hint="cs"/>
          <w:b/>
          <w:bCs/>
          <w:sz w:val="24"/>
          <w:rtl/>
        </w:rPr>
        <w:t>המנגנון</w:t>
      </w:r>
      <w:r w:rsidRPr="00C7137A">
        <w:rPr>
          <w:rFonts w:hint="cs"/>
          <w:b/>
          <w:bCs/>
          <w:sz w:val="24"/>
          <w:rtl/>
        </w:rPr>
        <w:t xml:space="preserve"> להעברת המידע</w:t>
      </w:r>
      <w:r>
        <w:rPr>
          <w:rFonts w:hint="cs"/>
          <w:b/>
          <w:bCs/>
          <w:sz w:val="24"/>
          <w:rtl/>
        </w:rPr>
        <w:t xml:space="preserve"> בקרנות</w:t>
      </w:r>
      <w:r w:rsidRPr="00C7137A">
        <w:rPr>
          <w:rFonts w:hint="cs"/>
          <w:b/>
          <w:bCs/>
          <w:sz w:val="24"/>
          <w:rtl/>
        </w:rPr>
        <w:t xml:space="preserve"> </w:t>
      </w:r>
      <w:r>
        <w:rPr>
          <w:rFonts w:hint="cs"/>
          <w:b/>
          <w:bCs/>
          <w:sz w:val="24"/>
          <w:rtl/>
        </w:rPr>
        <w:t>הגופים המממנים נדרשו לקלוט את הנתונים באופן שהצריך להקלידם מחדש. הדבר גרם לעיכובים במתן ה</w:t>
      </w:r>
      <w:r w:rsidRPr="00C7137A">
        <w:rPr>
          <w:rFonts w:hint="cs"/>
          <w:b/>
          <w:bCs/>
          <w:sz w:val="24"/>
          <w:rtl/>
        </w:rPr>
        <w:t>מענה לעסקים</w:t>
      </w:r>
      <w:r>
        <w:rPr>
          <w:rFonts w:hint="cs"/>
          <w:b/>
          <w:bCs/>
          <w:sz w:val="24"/>
          <w:rtl/>
        </w:rPr>
        <w:t xml:space="preserve"> מבקשי ההלוואות.</w:t>
      </w:r>
    </w:p>
    <w:p w:rsidR="00253C38" w:rsidP="00982BC1" w14:paraId="1FBF6A92" w14:textId="6E4DE61D">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0D6821D5" w14:textId="77777777">
      <w:pPr>
        <w:spacing w:line="269" w:lineRule="auto"/>
        <w:rPr>
          <w:b/>
          <w:bCs/>
          <w:sz w:val="24"/>
          <w:rtl/>
        </w:rPr>
      </w:pPr>
      <w:r w:rsidRPr="0039253D">
        <w:rPr>
          <w:rFonts w:hint="cs"/>
          <w:b/>
          <w:bCs/>
          <w:sz w:val="24"/>
          <w:rtl/>
        </w:rPr>
        <w:t xml:space="preserve">משרד מבקר המדינה </w:t>
      </w:r>
      <w:r>
        <w:rPr>
          <w:rFonts w:hint="cs"/>
          <w:b/>
          <w:bCs/>
          <w:sz w:val="24"/>
          <w:rtl/>
        </w:rPr>
        <w:t xml:space="preserve">ממליץ לחשכ"ל </w:t>
      </w:r>
      <w:r w:rsidRPr="0039253D">
        <w:rPr>
          <w:rFonts w:hint="cs"/>
          <w:b/>
          <w:bCs/>
          <w:sz w:val="24"/>
          <w:rtl/>
        </w:rPr>
        <w:t xml:space="preserve">ליישם מנגנון </w:t>
      </w:r>
      <w:r>
        <w:rPr>
          <w:rFonts w:hint="cs"/>
          <w:b/>
          <w:bCs/>
          <w:sz w:val="24"/>
          <w:rtl/>
        </w:rPr>
        <w:t xml:space="preserve">מקוון </w:t>
      </w:r>
      <w:r w:rsidRPr="0039253D">
        <w:rPr>
          <w:rFonts w:hint="cs"/>
          <w:b/>
          <w:bCs/>
          <w:sz w:val="24"/>
          <w:rtl/>
        </w:rPr>
        <w:t xml:space="preserve">להעברת מידע התומך בהיבט הביצועי תוך </w:t>
      </w:r>
      <w:r>
        <w:rPr>
          <w:rFonts w:hint="cs"/>
          <w:b/>
          <w:bCs/>
          <w:sz w:val="24"/>
          <w:rtl/>
        </w:rPr>
        <w:t xml:space="preserve">כדי </w:t>
      </w:r>
      <w:r w:rsidRPr="0039253D">
        <w:rPr>
          <w:rFonts w:hint="cs"/>
          <w:b/>
          <w:bCs/>
          <w:sz w:val="24"/>
          <w:rtl/>
        </w:rPr>
        <w:t>ה</w:t>
      </w:r>
      <w:r>
        <w:rPr>
          <w:rFonts w:hint="cs"/>
          <w:b/>
          <w:bCs/>
          <w:sz w:val="24"/>
          <w:rtl/>
        </w:rPr>
        <w:t>יוועצות עם הגופים המממנים</w:t>
      </w:r>
      <w:r w:rsidRPr="0039253D">
        <w:rPr>
          <w:rFonts w:hint="cs"/>
          <w:b/>
          <w:bCs/>
          <w:sz w:val="24"/>
          <w:rtl/>
        </w:rPr>
        <w:t xml:space="preserve"> כדי לטייב את תהליך העמדת האשראי</w:t>
      </w:r>
      <w:r>
        <w:rPr>
          <w:rFonts w:hint="cs"/>
          <w:b/>
          <w:bCs/>
          <w:sz w:val="24"/>
          <w:rtl/>
        </w:rPr>
        <w:t xml:space="preserve"> וכדי לחסוך במשאבים</w:t>
      </w:r>
      <w:r w:rsidRPr="0039253D">
        <w:rPr>
          <w:rFonts w:hint="cs"/>
          <w:b/>
          <w:bCs/>
          <w:sz w:val="24"/>
          <w:rtl/>
        </w:rPr>
        <w:t xml:space="preserve">. כמו כן, </w:t>
      </w:r>
      <w:r>
        <w:rPr>
          <w:rFonts w:hint="cs"/>
          <w:b/>
          <w:bCs/>
          <w:sz w:val="24"/>
          <w:rtl/>
        </w:rPr>
        <w:t xml:space="preserve">מומלץ לציין לפני מבקשי ההלוואות לכלול </w:t>
      </w:r>
      <w:r w:rsidRPr="0039253D">
        <w:rPr>
          <w:rFonts w:hint="cs"/>
          <w:b/>
          <w:bCs/>
          <w:sz w:val="24"/>
          <w:rtl/>
        </w:rPr>
        <w:t xml:space="preserve">מידע </w:t>
      </w:r>
      <w:r>
        <w:rPr>
          <w:rFonts w:hint="cs"/>
          <w:b/>
          <w:bCs/>
          <w:sz w:val="24"/>
          <w:rtl/>
        </w:rPr>
        <w:t xml:space="preserve">נוסף נדרש, כגון דוחות כספיים ותוכניות עסקיות, אשר </w:t>
      </w:r>
      <w:r w:rsidRPr="0039253D">
        <w:rPr>
          <w:rFonts w:hint="cs"/>
          <w:b/>
          <w:bCs/>
          <w:sz w:val="24"/>
          <w:rtl/>
        </w:rPr>
        <w:t>עשוי לשמש את ועדות האשראי,</w:t>
      </w:r>
      <w:r>
        <w:rPr>
          <w:rFonts w:hint="cs"/>
          <w:b/>
          <w:bCs/>
          <w:sz w:val="24"/>
          <w:rtl/>
        </w:rPr>
        <w:t xml:space="preserve"> ובכך לקצר את זמן הטיפול.</w:t>
      </w:r>
    </w:p>
    <w:p w:rsidR="00253C38" w:rsidRPr="00773084" w:rsidP="00982BC1" w14:paraId="6EE6A418" w14:textId="38B63B6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1322402" w14:textId="14D0CE74">
      <w:pPr>
        <w:spacing w:line="269" w:lineRule="auto"/>
        <w:rPr>
          <w:rtl/>
        </w:rPr>
      </w:pPr>
      <w:r>
        <w:rPr>
          <w:rFonts w:hint="cs"/>
          <w:rtl/>
        </w:rPr>
        <w:t xml:space="preserve">שינוי המנגנון </w:t>
      </w:r>
      <w:r w:rsidR="00B44955">
        <w:rPr>
          <w:rFonts w:hint="cs"/>
          <w:rtl/>
        </w:rPr>
        <w:t>תמך ב</w:t>
      </w:r>
      <w:r>
        <w:rPr>
          <w:rFonts w:hint="cs"/>
          <w:rtl/>
        </w:rPr>
        <w:t>הגשת בקשות</w:t>
      </w:r>
      <w:r w:rsidR="00B44955">
        <w:rPr>
          <w:rFonts w:hint="cs"/>
          <w:rtl/>
        </w:rPr>
        <w:t xml:space="preserve"> </w:t>
      </w:r>
      <w:r>
        <w:rPr>
          <w:rFonts w:hint="cs"/>
          <w:rtl/>
        </w:rPr>
        <w:t>באופן עצמאי. החלטה זו חסכה את העלויות הכרוכות בקבלת ייעוץ מקצועי מצד גורמים שונים שסייעו לעסקים לקבל הלוואות במסגרת הקרן הקיימת. ואולם, אף שקיצור התהליך התבטא בצד מבקשי ההלוואות, הוטלה אחריות כבדה על הגופים המממנים לנתח בקשות רבות בזמן קצר, אף שפעולה זאת אינה במוקד פעילותם בשגרה. משכך, נוצרה חריגה בזמני הטיפול בבקשות לגבי יעדים שהוגדרו במסמכי ההתקשרות, ואף עולה החשש כי שינוי זה פגע בסיכויי העסקים להעמדת הלוואות בקרנות בגלל הצגת ניתוח נחות בהשוואה לניתוח שמבוצע בידי גורם מקצועי.</w:t>
      </w:r>
    </w:p>
    <w:p w:rsidR="00982BC1" w:rsidP="00982BC1" w14:paraId="298CFA01" w14:textId="50BA63E8">
      <w:pPr>
        <w:spacing w:line="269" w:lineRule="auto"/>
        <w:rPr>
          <w:rtl/>
        </w:rPr>
      </w:pPr>
    </w:p>
    <w:p w:rsidR="00982BC1" w:rsidP="00982BC1" w14:paraId="19979293" w14:textId="74674EC7">
      <w:pPr>
        <w:spacing w:line="269" w:lineRule="auto"/>
        <w:rPr>
          <w:rtl/>
        </w:rPr>
      </w:pPr>
    </w:p>
    <w:p w:rsidR="00982BC1" w:rsidP="00982BC1" w14:paraId="3A460F52" w14:textId="77777777">
      <w:pPr>
        <w:spacing w:line="269" w:lineRule="auto"/>
        <w:rPr>
          <w:rtl/>
        </w:rPr>
      </w:pPr>
    </w:p>
    <w:p w:rsidR="00253C38" w:rsidP="00982BC1" w14:paraId="1B9C1ACC" w14:textId="5C8A9E1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EBCD52E" w14:textId="77777777">
      <w:pPr>
        <w:spacing w:line="269" w:lineRule="auto"/>
        <w:rPr>
          <w:b/>
          <w:bCs/>
          <w:rtl/>
        </w:rPr>
      </w:pPr>
      <w:r w:rsidRPr="001B21EF">
        <w:rPr>
          <w:rFonts w:hint="cs"/>
          <w:b/>
          <w:bCs/>
          <w:rtl/>
        </w:rPr>
        <w:t>נמצא</w:t>
      </w:r>
      <w:r>
        <w:rPr>
          <w:rFonts w:hint="cs"/>
          <w:b/>
          <w:bCs/>
          <w:rtl/>
        </w:rPr>
        <w:t xml:space="preserve"> </w:t>
      </w:r>
      <w:r w:rsidRPr="001B21EF">
        <w:rPr>
          <w:rFonts w:hint="cs"/>
          <w:b/>
          <w:bCs/>
          <w:rtl/>
        </w:rPr>
        <w:t xml:space="preserve">כי אין בידי </w:t>
      </w:r>
      <w:r>
        <w:rPr>
          <w:rFonts w:hint="cs"/>
          <w:b/>
          <w:bCs/>
          <w:rtl/>
        </w:rPr>
        <w:t>החשכ"ל</w:t>
      </w:r>
      <w:r w:rsidRPr="001B21EF">
        <w:rPr>
          <w:rFonts w:hint="cs"/>
          <w:b/>
          <w:bCs/>
          <w:rtl/>
        </w:rPr>
        <w:t xml:space="preserve"> מידע בדבר הסתייעות מבקשי ההלוואות בגורמים מקצועיים</w:t>
      </w:r>
      <w:r>
        <w:rPr>
          <w:rFonts w:hint="cs"/>
          <w:b/>
          <w:bCs/>
          <w:rtl/>
        </w:rPr>
        <w:t xml:space="preserve"> </w:t>
      </w:r>
      <w:r w:rsidRPr="001B21EF">
        <w:rPr>
          <w:rFonts w:hint="cs"/>
          <w:b/>
          <w:bCs/>
          <w:rtl/>
        </w:rPr>
        <w:t>בניסיון לשפר את סיכוייהם לקבל הלוואות מהקרנות</w:t>
      </w:r>
      <w:r>
        <w:rPr>
          <w:rFonts w:hint="cs"/>
          <w:b/>
          <w:bCs/>
          <w:rtl/>
        </w:rPr>
        <w:t xml:space="preserve">, וכי </w:t>
      </w:r>
      <w:r w:rsidRPr="001B21EF">
        <w:rPr>
          <w:rFonts w:hint="cs"/>
          <w:b/>
          <w:bCs/>
          <w:rtl/>
        </w:rPr>
        <w:t xml:space="preserve">לא נבחנה נחיצותם </w:t>
      </w:r>
      <w:r>
        <w:rPr>
          <w:rFonts w:hint="cs"/>
          <w:b/>
          <w:bCs/>
          <w:rtl/>
        </w:rPr>
        <w:t>בהשפעה</w:t>
      </w:r>
      <w:r w:rsidRPr="001B21EF">
        <w:rPr>
          <w:rFonts w:hint="cs"/>
          <w:b/>
          <w:bCs/>
          <w:rtl/>
        </w:rPr>
        <w:t xml:space="preserve"> על סיכויי האישור וההיתכנות להעמדת סכומים גבוהים יותר עבור בקשות שאושרו.</w:t>
      </w:r>
    </w:p>
    <w:p w:rsidR="00253C38" w:rsidP="00982BC1" w14:paraId="3D4B3415" w14:textId="3B1D11C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919D276" w14:textId="77777777">
      <w:pPr>
        <w:spacing w:line="269" w:lineRule="auto"/>
        <w:rPr>
          <w:rtl/>
        </w:rPr>
      </w:pPr>
      <w:r w:rsidRPr="00B44955">
        <w:rPr>
          <w:rFonts w:hint="cs"/>
          <w:rtl/>
        </w:rPr>
        <w:t xml:space="preserve">במכתב ששלח אגף החשכ"ל ביום </w:t>
      </w:r>
      <w:r w:rsidRPr="00B44955">
        <w:rPr>
          <w:rtl/>
        </w:rPr>
        <w:t>16.11.20</w:t>
      </w:r>
      <w:r w:rsidRPr="00B44955">
        <w:rPr>
          <w:rFonts w:hint="cs"/>
          <w:rtl/>
        </w:rPr>
        <w:t xml:space="preserve"> לצוות הביקורת הוצע ניתוח אלטרנטיבי חלקי לבחינת סדר גודל ההסתייעות ביועצים. הניתוח מציע בחינה של שכיחות כמות העסקים שעבורם הוגשו בקשות לפי מגיש הבקשה, מתוך הנחה שיועץ יגיש בקשות עבור יותר מעסק בודד.</w:t>
      </w:r>
    </w:p>
    <w:p w:rsidR="00253C38" w:rsidP="00982BC1" w14:paraId="3EABC19F" w14:textId="6C288FE6">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RPr="00171E93" w:rsidP="00982BC1" w14:paraId="5E2FD8E9" w14:textId="6728990D">
      <w:pPr>
        <w:spacing w:line="269" w:lineRule="auto"/>
        <w:rPr>
          <w:rtl/>
        </w:rPr>
      </w:pPr>
      <w:r>
        <w:rPr>
          <w:rFonts w:hint="cs"/>
          <w:b/>
          <w:bCs/>
          <w:rtl/>
        </w:rPr>
        <w:t xml:space="preserve">משרד מבקר המדינה ממליץ כי </w:t>
      </w:r>
      <w:r w:rsidRPr="0073731D">
        <w:rPr>
          <w:rFonts w:hint="cs"/>
          <w:b/>
          <w:bCs/>
          <w:rtl/>
        </w:rPr>
        <w:t xml:space="preserve">החשכ"ל יבחן </w:t>
      </w:r>
      <w:r w:rsidRPr="0073731D" w:rsidR="00471A46">
        <w:rPr>
          <w:rFonts w:hint="cs"/>
          <w:b/>
          <w:bCs/>
          <w:rtl/>
        </w:rPr>
        <w:t>ל</w:t>
      </w:r>
      <w:r w:rsidRPr="0073731D" w:rsidR="00471A46">
        <w:rPr>
          <w:rFonts w:hint="eastAsia"/>
          <w:b/>
          <w:bCs/>
          <w:rtl/>
        </w:rPr>
        <w:t>אפשר</w:t>
      </w:r>
      <w:r w:rsidRPr="0073731D" w:rsidR="00B44955">
        <w:rPr>
          <w:b/>
          <w:bCs/>
          <w:rtl/>
        </w:rPr>
        <w:t xml:space="preserve"> </w:t>
      </w:r>
      <w:r w:rsidRPr="0073731D" w:rsidR="00471A46">
        <w:rPr>
          <w:rFonts w:hint="eastAsia"/>
          <w:b/>
          <w:bCs/>
          <w:rtl/>
        </w:rPr>
        <w:t>ל</w:t>
      </w:r>
      <w:r w:rsidRPr="0073731D" w:rsidR="00B44955">
        <w:rPr>
          <w:rFonts w:hint="eastAsia"/>
          <w:b/>
          <w:bCs/>
          <w:rtl/>
        </w:rPr>
        <w:t>מגישי</w:t>
      </w:r>
      <w:r w:rsidRPr="0073731D" w:rsidR="00B44955">
        <w:rPr>
          <w:b/>
          <w:bCs/>
          <w:rtl/>
        </w:rPr>
        <w:t xml:space="preserve"> </w:t>
      </w:r>
      <w:r w:rsidRPr="0073731D" w:rsidR="00B44955">
        <w:rPr>
          <w:rFonts w:hint="eastAsia"/>
          <w:b/>
          <w:bCs/>
          <w:rtl/>
        </w:rPr>
        <w:t>הבקשה</w:t>
      </w:r>
      <w:r w:rsidRPr="0073731D" w:rsidR="00B44955">
        <w:rPr>
          <w:rFonts w:hint="cs"/>
          <w:b/>
          <w:bCs/>
          <w:rtl/>
        </w:rPr>
        <w:t xml:space="preserve"> לציין בטופס</w:t>
      </w:r>
      <w:r w:rsidR="00B44955">
        <w:rPr>
          <w:rFonts w:hint="cs"/>
          <w:b/>
          <w:bCs/>
          <w:rtl/>
        </w:rPr>
        <w:t xml:space="preserve"> המקוון אם נעזרו </w:t>
      </w:r>
      <w:r>
        <w:rPr>
          <w:rFonts w:hint="cs"/>
          <w:b/>
          <w:bCs/>
          <w:rtl/>
        </w:rPr>
        <w:t>בגורם מקצועי, וישלים את ניתוח השינוי ומשמעותו לטובת טיוב פעולת הקרנות</w:t>
      </w:r>
      <w:r>
        <w:rPr>
          <w:rFonts w:hint="cs"/>
          <w:b/>
          <w:bCs/>
          <w:sz w:val="24"/>
          <w:rtl/>
        </w:rPr>
        <w:t>.</w:t>
      </w:r>
    </w:p>
    <w:p w:rsidR="00253C38" w:rsidP="00982BC1" w14:paraId="6CA14EEA" w14:textId="01C4B92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35D52E9" w14:textId="77777777">
      <w:pPr>
        <w:spacing w:line="269" w:lineRule="auto"/>
        <w:rPr>
          <w:rtl/>
        </w:rPr>
      </w:pPr>
      <w:r>
        <w:rPr>
          <w:rFonts w:hint="cs"/>
          <w:rtl/>
        </w:rPr>
        <w:t xml:space="preserve">החלטה אחרת שהשפיעה על סיכויי העסקים לקבלת הלוואות הייתה הגבלת מספר הבקשות במסגרת הקרנות לשני גופים מממנים לכל היותר. החלטה זו התקבלה כדי למנוע אישור בסכום כפול בגין הצורך בהעמדת האשראי. </w:t>
      </w:r>
    </w:p>
    <w:p w:rsidR="00253C38" w:rsidP="00982BC1" w14:paraId="2E425756" w14:textId="759615E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21D5BE7" w14:textId="77777777">
      <w:pPr>
        <w:spacing w:line="269" w:lineRule="auto"/>
        <w:rPr>
          <w:b/>
          <w:bCs/>
          <w:rtl/>
        </w:rPr>
      </w:pPr>
      <w:r w:rsidRPr="00773084">
        <w:rPr>
          <w:rFonts w:hint="cs"/>
          <w:b/>
          <w:bCs/>
          <w:rtl/>
        </w:rPr>
        <w:t>הביקורת העלתה כי</w:t>
      </w:r>
      <w:r>
        <w:rPr>
          <w:rFonts w:hint="cs"/>
          <w:b/>
          <w:bCs/>
          <w:rtl/>
        </w:rPr>
        <w:t xml:space="preserve"> ההחלטה התקבלה על ידי החשב הכללי לנוכח העובדה כי </w:t>
      </w:r>
      <w:r w:rsidRPr="00773084">
        <w:rPr>
          <w:rFonts w:hint="cs"/>
          <w:b/>
          <w:bCs/>
          <w:rtl/>
        </w:rPr>
        <w:t xml:space="preserve">התשתית </w:t>
      </w:r>
      <w:r w:rsidR="00B44955">
        <w:rPr>
          <w:rFonts w:hint="cs"/>
          <w:b/>
          <w:bCs/>
          <w:rtl/>
        </w:rPr>
        <w:t>המחשובית</w:t>
      </w:r>
      <w:r w:rsidRPr="00773084">
        <w:rPr>
          <w:rFonts w:hint="cs"/>
          <w:b/>
          <w:bCs/>
          <w:rtl/>
        </w:rPr>
        <w:t xml:space="preserve"> ותהליך העבודה של הקרן </w:t>
      </w:r>
      <w:r>
        <w:rPr>
          <w:rFonts w:hint="cs"/>
          <w:b/>
          <w:bCs/>
          <w:rtl/>
        </w:rPr>
        <w:t xml:space="preserve">לא </w:t>
      </w:r>
      <w:r w:rsidRPr="00773084">
        <w:rPr>
          <w:rFonts w:hint="cs"/>
          <w:b/>
          <w:bCs/>
          <w:rtl/>
        </w:rPr>
        <w:t>ערוכים במלואם לזיהוי בקשות כפולות.</w:t>
      </w:r>
    </w:p>
    <w:p w:rsidR="00253C38" w:rsidP="00982BC1" w14:paraId="7B5B88B4"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F339B6" w:rsidP="00982BC1" w14:paraId="01984ECA" w14:textId="77777777">
      <w:pPr>
        <w:spacing w:line="269" w:lineRule="auto"/>
        <w:rPr>
          <w:rtl/>
        </w:rPr>
      </w:pPr>
      <w:r>
        <w:rPr>
          <w:rFonts w:hint="cs"/>
          <w:rtl/>
        </w:rPr>
        <w:t xml:space="preserve">בתשובת החשכ"ל למשרד מבקר המדינה מיום </w:t>
      </w:r>
      <w:r w:rsidRPr="00B44955">
        <w:rPr>
          <w:rtl/>
        </w:rPr>
        <w:t>17.3.21</w:t>
      </w:r>
      <w:r>
        <w:rPr>
          <w:rFonts w:hint="cs"/>
          <w:rtl/>
        </w:rPr>
        <w:t xml:space="preserve"> נכתב כי נעשו עשרות עדכונים במערכת המחשוב של הקרן ממועד הקמתה בחודש מרץ 2020 במטרה לנהל הליך מורכב זה על בסיס מערכת נתונים מרכזית.</w:t>
      </w:r>
    </w:p>
    <w:p w:rsidR="00253C38" w:rsidP="00982BC1" w14:paraId="4B13565A" w14:textId="63E4985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FE492AA" w14:textId="77777777">
      <w:pPr>
        <w:spacing w:line="269" w:lineRule="auto"/>
        <w:rPr>
          <w:rtl/>
        </w:rPr>
      </w:pPr>
      <w:r>
        <w:rPr>
          <w:rFonts w:hint="cs"/>
          <w:rtl/>
        </w:rPr>
        <w:t>עיקרון מספר 1 להוראת ניהול בנקאי תקין מספר 314 קובע כי הדירקטוריון וההנהלה הבכירה של התאגיד הבנקאי אחראים לקיום תהליכים נאותים להערכת סיכוני אשראי</w:t>
      </w:r>
      <w:r>
        <w:rPr>
          <w:rStyle w:val="FootnoteReference"/>
          <w:rtl/>
        </w:rPr>
        <w:footnoteReference w:id="44"/>
      </w:r>
      <w:r>
        <w:rPr>
          <w:rFonts w:hint="cs"/>
          <w:rtl/>
        </w:rPr>
        <w:t xml:space="preserve"> ולקיום בקרות פנימיות אפקטיביות, התואמ</w:t>
      </w:r>
      <w:r w:rsidR="00B44955">
        <w:rPr>
          <w:rFonts w:hint="cs"/>
          <w:rtl/>
        </w:rPr>
        <w:t>ות</w:t>
      </w:r>
      <w:r>
        <w:rPr>
          <w:rFonts w:hint="cs"/>
          <w:rtl/>
        </w:rPr>
        <w:t xml:space="preserve"> את היקפה, אופייה ומורכבותה של פעילות האשראי. עם זאת, ניהול סיכוני האשראי במערכת הבנקאית אינו אחיד ותלוי </w:t>
      </w:r>
      <w:r w:rsidRPr="005D7EA1">
        <w:rPr>
          <w:rFonts w:hint="eastAsia"/>
          <w:rtl/>
        </w:rPr>
        <w:t>בתיאבון</w:t>
      </w:r>
      <w:r>
        <w:rPr>
          <w:rFonts w:hint="cs"/>
          <w:rtl/>
        </w:rPr>
        <w:t xml:space="preserve"> הסיכון". לפיכך ייתכנו הבדלים בין תאגידים בנקאיים בשיעור הבקשות להלוואות שיאושרו למבקשי הלוואות, הנגזר מענפי פעילותם וממדדים נוספים. תרשים </w:t>
      </w:r>
      <w:r w:rsidR="00B44955">
        <w:rPr>
          <w:rFonts w:hint="cs"/>
          <w:rtl/>
        </w:rPr>
        <w:t>32</w:t>
      </w:r>
      <w:r>
        <w:rPr>
          <w:rFonts w:hint="cs"/>
          <w:rtl/>
        </w:rPr>
        <w:t xml:space="preserve"> להלן מציג את האישור הממוצע בקרב תאגידים בנקאיים במסלול הרגיל לעסקים קטנים ובינוניים בפריסה ענפית. </w:t>
      </w:r>
    </w:p>
    <w:p w:rsidR="00982BC1" w14:paraId="5D6FA677" w14:textId="77777777">
      <w:pPr>
        <w:bidi w:val="0"/>
        <w:spacing w:after="200" w:line="276" w:lineRule="auto"/>
        <w:rPr>
          <w:szCs w:val="20"/>
        </w:rPr>
      </w:pPr>
      <w:r>
        <w:rPr>
          <w:rtl/>
        </w:rPr>
        <w:br w:type="page"/>
      </w:r>
    </w:p>
    <w:p w:rsidR="005F768A" w:rsidRPr="00633BC9" w:rsidP="00982BC1" w14:paraId="3EDB4C24" w14:textId="2FFB79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E04C662" w14:textId="57651BAF">
      <w:pPr>
        <w:spacing w:line="269" w:lineRule="auto"/>
        <w:jc w:val="center"/>
        <w:rPr>
          <w:rtl/>
        </w:rPr>
      </w:pPr>
      <w:r w:rsidRPr="00171E93">
        <w:rPr>
          <w:rFonts w:hint="eastAsia"/>
          <w:b/>
          <w:bCs/>
          <w:rtl/>
        </w:rPr>
        <w:t>תרשים</w:t>
      </w:r>
      <w:r w:rsidRPr="00171E93">
        <w:rPr>
          <w:b/>
          <w:bCs/>
          <w:rtl/>
        </w:rPr>
        <w:t xml:space="preserve"> </w:t>
      </w:r>
      <w:r w:rsidR="00B44955">
        <w:rPr>
          <w:rFonts w:hint="cs"/>
          <w:b/>
          <w:bCs/>
          <w:rtl/>
        </w:rPr>
        <w:t>32</w:t>
      </w:r>
      <w:r w:rsidRPr="00171E93">
        <w:rPr>
          <w:b/>
          <w:bCs/>
          <w:rtl/>
        </w:rPr>
        <w:t xml:space="preserve">: </w:t>
      </w:r>
      <w:r w:rsidRPr="00171E93">
        <w:rPr>
          <w:rFonts w:hint="eastAsia"/>
          <w:b/>
          <w:bCs/>
          <w:rtl/>
        </w:rPr>
        <w:t>שיעור</w:t>
      </w:r>
      <w:r w:rsidRPr="00171E93">
        <w:rPr>
          <w:b/>
          <w:bCs/>
          <w:rtl/>
        </w:rPr>
        <w:t xml:space="preserve"> </w:t>
      </w:r>
      <w:r w:rsidRPr="00171E93">
        <w:rPr>
          <w:rFonts w:hint="eastAsia"/>
          <w:b/>
          <w:bCs/>
          <w:rtl/>
        </w:rPr>
        <w:t>האישור</w:t>
      </w:r>
      <w:r w:rsidRPr="00171E93">
        <w:rPr>
          <w:b/>
          <w:bCs/>
          <w:rtl/>
        </w:rPr>
        <w:t xml:space="preserve"> </w:t>
      </w:r>
      <w:r w:rsidRPr="00171E93">
        <w:rPr>
          <w:rFonts w:hint="eastAsia"/>
          <w:b/>
          <w:bCs/>
          <w:rtl/>
        </w:rPr>
        <w:t>הענפי</w:t>
      </w:r>
      <w:r w:rsidRPr="00171E93">
        <w:rPr>
          <w:b/>
          <w:bCs/>
          <w:rtl/>
        </w:rPr>
        <w:t xml:space="preserve"> הממוצע </w:t>
      </w:r>
      <w:r w:rsidRPr="00171E93">
        <w:rPr>
          <w:rFonts w:hint="eastAsia"/>
          <w:b/>
          <w:bCs/>
          <w:rtl/>
        </w:rPr>
        <w:t>של</w:t>
      </w:r>
      <w:r w:rsidRPr="00171E93">
        <w:rPr>
          <w:b/>
          <w:bCs/>
          <w:rtl/>
        </w:rPr>
        <w:t xml:space="preserve"> מספר ההלוואות </w:t>
      </w:r>
      <w:r w:rsidRPr="00171E93">
        <w:rPr>
          <w:rFonts w:hint="eastAsia"/>
          <w:b/>
          <w:bCs/>
          <w:rtl/>
        </w:rPr>
        <w:t>שאישרו</w:t>
      </w:r>
      <w:r w:rsidRPr="00171E93">
        <w:rPr>
          <w:b/>
          <w:bCs/>
          <w:rtl/>
        </w:rPr>
        <w:t xml:space="preserve"> </w:t>
      </w:r>
      <w:r w:rsidRPr="00171E93">
        <w:rPr>
          <w:rFonts w:hint="eastAsia"/>
          <w:b/>
          <w:bCs/>
          <w:rtl/>
        </w:rPr>
        <w:t>תאגידים</w:t>
      </w:r>
      <w:r w:rsidRPr="00171E93">
        <w:rPr>
          <w:b/>
          <w:bCs/>
          <w:rtl/>
        </w:rPr>
        <w:t xml:space="preserve"> </w:t>
      </w:r>
      <w:r w:rsidRPr="00171E93">
        <w:rPr>
          <w:rFonts w:hint="eastAsia"/>
          <w:b/>
          <w:bCs/>
          <w:rtl/>
        </w:rPr>
        <w:t>בנקאיים</w:t>
      </w:r>
      <w:r w:rsidRPr="00171E93">
        <w:rPr>
          <w:b/>
          <w:bCs/>
          <w:rtl/>
        </w:rPr>
        <w:t xml:space="preserve"> </w:t>
      </w:r>
      <w:r w:rsidRPr="00171E93">
        <w:rPr>
          <w:rFonts w:hint="eastAsia"/>
          <w:b/>
          <w:bCs/>
          <w:rtl/>
        </w:rPr>
        <w:t>במסלול</w:t>
      </w:r>
      <w:r w:rsidRPr="00171E93">
        <w:rPr>
          <w:b/>
          <w:bCs/>
          <w:rtl/>
        </w:rPr>
        <w:t xml:space="preserve"> </w:t>
      </w:r>
      <w:r w:rsidRPr="00171E93">
        <w:rPr>
          <w:rFonts w:hint="eastAsia"/>
          <w:b/>
          <w:bCs/>
          <w:rtl/>
        </w:rPr>
        <w:t>הרגיל</w:t>
      </w:r>
      <w:r w:rsidRPr="00EE3B86">
        <w:rPr>
          <w:rFonts w:hint="cs"/>
          <w:b/>
          <w:bCs/>
          <w:rtl/>
        </w:rPr>
        <w:t xml:space="preserve"> (</w:t>
      </w:r>
      <w:r w:rsidRPr="00171E93">
        <w:rPr>
          <w:rFonts w:hint="eastAsia"/>
          <w:b/>
          <w:bCs/>
          <w:rtl/>
        </w:rPr>
        <w:t>באחוזים</w:t>
      </w:r>
      <w:r w:rsidRPr="00EE3B86">
        <w:rPr>
          <w:rFonts w:hint="cs"/>
          <w:b/>
          <w:bCs/>
          <w:rtl/>
        </w:rPr>
        <w:t>)</w:t>
      </w:r>
      <w:r>
        <w:rPr>
          <w:rFonts w:hint="cs"/>
          <w:rtl/>
        </w:rPr>
        <w:t>*</w:t>
      </w:r>
    </w:p>
    <w:p w:rsidR="00253C38" w:rsidP="00982BC1" w14:paraId="183B9E7B" w14:textId="77777777">
      <w:pPr>
        <w:spacing w:line="269" w:lineRule="auto"/>
        <w:ind w:left="-1559"/>
        <w:rPr>
          <w:sz w:val="16"/>
          <w:szCs w:val="20"/>
          <w:rtl/>
        </w:rPr>
      </w:pPr>
      <w:r>
        <w:rPr>
          <w:noProof/>
        </w:rPr>
        <w:drawing>
          <wp:inline distT="0" distB="0" distL="0" distR="0">
            <wp:extent cx="7331056" cy="3152775"/>
            <wp:effectExtent l="0" t="0" r="381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46439" name=""/>
                    <pic:cNvPicPr/>
                  </pic:nvPicPr>
                  <pic:blipFill>
                    <a:blip xmlns:r="http://schemas.openxmlformats.org/officeDocument/2006/relationships" r:embed="rId40"/>
                    <a:stretch>
                      <a:fillRect/>
                    </a:stretch>
                  </pic:blipFill>
                  <pic:spPr>
                    <a:xfrm>
                      <a:off x="0" y="0"/>
                      <a:ext cx="7340141" cy="3156682"/>
                    </a:xfrm>
                    <a:prstGeom prst="rect">
                      <a:avLst/>
                    </a:prstGeom>
                  </pic:spPr>
                </pic:pic>
              </a:graphicData>
            </a:graphic>
          </wp:inline>
        </w:drawing>
      </w:r>
    </w:p>
    <w:p w:rsidR="00253C38" w:rsidRPr="00982BC1" w:rsidP="00982BC1" w14:paraId="423B9858" w14:textId="77777777">
      <w:pPr>
        <w:spacing w:line="269" w:lineRule="auto"/>
        <w:rPr>
          <w:sz w:val="22"/>
          <w:szCs w:val="22"/>
          <w:rtl/>
        </w:rPr>
      </w:pPr>
      <w:r w:rsidRPr="00982BC1">
        <w:rPr>
          <w:rFonts w:hint="cs"/>
          <w:sz w:val="22"/>
          <w:szCs w:val="22"/>
          <w:rtl/>
        </w:rPr>
        <w:t>נתוני החשכ"ל, בעיבוד משרד מבקר המדינה.</w:t>
      </w:r>
    </w:p>
    <w:p w:rsidR="00253C38" w:rsidRPr="00982BC1" w:rsidP="00982BC1" w14:paraId="035042A3" w14:textId="77777777">
      <w:pPr>
        <w:spacing w:line="269" w:lineRule="auto"/>
        <w:rPr>
          <w:sz w:val="22"/>
          <w:szCs w:val="22"/>
          <w:rtl/>
        </w:rPr>
      </w:pPr>
      <w:r w:rsidRPr="00982BC1">
        <w:rPr>
          <w:sz w:val="22"/>
          <w:szCs w:val="22"/>
          <w:rtl/>
        </w:rPr>
        <w:t xml:space="preserve">* </w:t>
      </w:r>
      <w:r w:rsidRPr="00982BC1">
        <w:rPr>
          <w:rFonts w:hint="eastAsia"/>
          <w:sz w:val="22"/>
          <w:szCs w:val="22"/>
          <w:rtl/>
        </w:rPr>
        <w:t>בכל</w:t>
      </w:r>
      <w:r w:rsidRPr="00982BC1">
        <w:rPr>
          <w:sz w:val="22"/>
          <w:szCs w:val="22"/>
          <w:rtl/>
        </w:rPr>
        <w:t xml:space="preserve"> </w:t>
      </w:r>
      <w:r w:rsidRPr="00982BC1">
        <w:rPr>
          <w:rFonts w:hint="eastAsia"/>
          <w:sz w:val="22"/>
          <w:szCs w:val="22"/>
          <w:rtl/>
        </w:rPr>
        <w:t>אחת</w:t>
      </w:r>
      <w:r w:rsidRPr="00982BC1">
        <w:rPr>
          <w:sz w:val="22"/>
          <w:szCs w:val="22"/>
          <w:rtl/>
        </w:rPr>
        <w:t xml:space="preserve"> </w:t>
      </w:r>
      <w:r w:rsidRPr="00982BC1">
        <w:rPr>
          <w:rFonts w:hint="eastAsia"/>
          <w:sz w:val="22"/>
          <w:szCs w:val="22"/>
          <w:rtl/>
        </w:rPr>
        <w:t>מהקבוצות</w:t>
      </w:r>
      <w:r w:rsidRPr="00982BC1">
        <w:rPr>
          <w:sz w:val="22"/>
          <w:szCs w:val="22"/>
          <w:rtl/>
        </w:rPr>
        <w:t xml:space="preserve"> </w:t>
      </w:r>
      <w:r w:rsidRPr="00982BC1">
        <w:rPr>
          <w:rFonts w:hint="eastAsia"/>
          <w:sz w:val="22"/>
          <w:szCs w:val="22"/>
          <w:rtl/>
        </w:rPr>
        <w:t>הענפיות</w:t>
      </w:r>
      <w:r w:rsidRPr="00982BC1">
        <w:rPr>
          <w:sz w:val="22"/>
          <w:szCs w:val="22"/>
          <w:rtl/>
        </w:rPr>
        <w:t xml:space="preserve"> </w:t>
      </w:r>
      <w:r w:rsidRPr="00982BC1">
        <w:rPr>
          <w:rFonts w:hint="eastAsia"/>
          <w:sz w:val="22"/>
          <w:szCs w:val="22"/>
          <w:rtl/>
        </w:rPr>
        <w:t>הוגשו</w:t>
      </w:r>
      <w:r w:rsidRPr="00982BC1">
        <w:rPr>
          <w:sz w:val="22"/>
          <w:szCs w:val="22"/>
          <w:rtl/>
        </w:rPr>
        <w:t xml:space="preserve"> </w:t>
      </w:r>
      <w:r w:rsidRPr="00982BC1">
        <w:rPr>
          <w:rFonts w:hint="eastAsia"/>
          <w:sz w:val="22"/>
          <w:szCs w:val="22"/>
          <w:rtl/>
        </w:rPr>
        <w:t>לכל</w:t>
      </w:r>
      <w:r w:rsidRPr="00982BC1">
        <w:rPr>
          <w:sz w:val="22"/>
          <w:szCs w:val="22"/>
          <w:rtl/>
        </w:rPr>
        <w:t xml:space="preserve"> </w:t>
      </w:r>
      <w:r w:rsidRPr="00982BC1">
        <w:rPr>
          <w:rFonts w:hint="eastAsia"/>
          <w:sz w:val="22"/>
          <w:szCs w:val="22"/>
          <w:rtl/>
        </w:rPr>
        <w:t>הפחות</w:t>
      </w:r>
      <w:r w:rsidRPr="00982BC1">
        <w:rPr>
          <w:sz w:val="22"/>
          <w:szCs w:val="22"/>
          <w:rtl/>
        </w:rPr>
        <w:t xml:space="preserve"> 1,900 </w:t>
      </w:r>
      <w:r w:rsidRPr="00982BC1">
        <w:rPr>
          <w:rFonts w:hint="eastAsia"/>
          <w:sz w:val="22"/>
          <w:szCs w:val="22"/>
          <w:rtl/>
        </w:rPr>
        <w:t>בקשות</w:t>
      </w:r>
      <w:r w:rsidRPr="00982BC1">
        <w:rPr>
          <w:sz w:val="22"/>
          <w:szCs w:val="22"/>
          <w:rtl/>
        </w:rPr>
        <w:t>.</w:t>
      </w:r>
    </w:p>
    <w:p w:rsidR="00253C38" w:rsidP="00982BC1" w14:paraId="39191273" w14:textId="7A59FB2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1E59834" w14:textId="77777777">
      <w:pPr>
        <w:spacing w:line="269" w:lineRule="auto"/>
        <w:rPr>
          <w:rtl/>
        </w:rPr>
      </w:pPr>
      <w:r>
        <w:rPr>
          <w:rFonts w:hint="cs"/>
          <w:rtl/>
        </w:rPr>
        <w:t xml:space="preserve">מתרשים </w:t>
      </w:r>
      <w:r w:rsidR="002F0EC8">
        <w:rPr>
          <w:rFonts w:hint="cs"/>
          <w:rtl/>
        </w:rPr>
        <w:t>32</w:t>
      </w:r>
      <w:r>
        <w:rPr>
          <w:rFonts w:hint="cs"/>
          <w:rtl/>
        </w:rPr>
        <w:t xml:space="preserve"> עולה פער בשיעור של עשרות אחוזים בשיעור האישור הממוצע שניתן מצד תאגידים בנקאיים במסלול הרגיל בחלק מענפי הפעילות. עוד עולה מהתרשים כי הקבוצות הבנקאיות לא ממוקמות בסדר זהה בכל ענפי הפעילות. הפריסה הענפית של האשראי הבנקאי שמוצגת בתרשים משקפת את מדיניות ניהול האשראי המשתנה בין התאגידים גם בהשוואה לענפים השונים.</w:t>
      </w:r>
    </w:p>
    <w:p w:rsidR="00253C38" w:rsidP="00982BC1" w14:paraId="300CC5E1" w14:textId="00C470B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5100B0C" w14:textId="77777777">
      <w:pPr>
        <w:spacing w:line="269" w:lineRule="auto"/>
        <w:rPr>
          <w:b/>
          <w:bCs/>
          <w:rtl/>
        </w:rPr>
      </w:pPr>
      <w:r>
        <w:rPr>
          <w:rFonts w:hint="cs"/>
          <w:b/>
          <w:bCs/>
          <w:rtl/>
        </w:rPr>
        <w:t xml:space="preserve">עולה כי החלטת החשב הכללי להגבלת הגשת הבקשות למספר מצומצם של גופים מממנים עלולה לפגוע בסיכויי האישור בשל מדיניות </w:t>
      </w:r>
      <w:r w:rsidRPr="00970C5B">
        <w:rPr>
          <w:rFonts w:hint="cs"/>
          <w:b/>
          <w:bCs/>
          <w:rtl/>
        </w:rPr>
        <w:t>נ</w:t>
      </w:r>
      <w:r>
        <w:rPr>
          <w:rFonts w:hint="cs"/>
          <w:b/>
          <w:bCs/>
          <w:rtl/>
        </w:rPr>
        <w:t>יהול סיכוני האשראי המשתנה בין התאגידים הבנקאיים.</w:t>
      </w:r>
    </w:p>
    <w:p w:rsidR="00253C38" w:rsidP="00982BC1" w14:paraId="0384C20D" w14:textId="585F728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7151569" w14:textId="04529B49">
      <w:pPr>
        <w:spacing w:line="269" w:lineRule="auto"/>
        <w:rPr>
          <w:b/>
          <w:bCs/>
          <w:rtl/>
        </w:rPr>
      </w:pPr>
      <w:r>
        <w:rPr>
          <w:rFonts w:hint="cs"/>
          <w:b/>
          <w:bCs/>
          <w:rtl/>
        </w:rPr>
        <w:t xml:space="preserve">מומלץ כי החשב הכללי יבחן להרחיב את האפשרות להגשת בקשות בו זמנית לגורמים מממנים, לצד שיפור המערכת הממוחשבת לזיהוי בקשות כפולות בקרנות ויצירת מנגנון שיאפשר מימוש העומד בתקרות שנקבעו לכל מבקש. </w:t>
      </w:r>
    </w:p>
    <w:p w:rsidR="00982BC1" w:rsidRPr="005757E2" w:rsidP="00982BC1" w14:paraId="701BFF22" w14:textId="77777777">
      <w:pPr>
        <w:spacing w:line="269" w:lineRule="auto"/>
        <w:rPr>
          <w:rFonts w:hint="cs"/>
          <w:b/>
          <w:bCs/>
          <w:rtl/>
        </w:rPr>
      </w:pPr>
    </w:p>
    <w:p w:rsidR="00253C38" w:rsidP="00982BC1" w14:paraId="1EE328D3" w14:textId="77777777">
      <w:pPr>
        <w:pStyle w:val="Heading6"/>
        <w:spacing w:line="269" w:lineRule="auto"/>
        <w:rPr>
          <w:rtl/>
        </w:rPr>
      </w:pPr>
      <w:r w:rsidRPr="00536F35">
        <w:rPr>
          <w:rFonts w:hint="cs"/>
          <w:rtl/>
        </w:rPr>
        <w:t>מ</w:t>
      </w:r>
      <w:r>
        <w:rPr>
          <w:rFonts w:hint="cs"/>
          <w:rtl/>
        </w:rPr>
        <w:t>נגנוני בקרה</w:t>
      </w:r>
    </w:p>
    <w:p w:rsidR="00253C38" w:rsidP="00982BC1" w14:paraId="0BA1EBAA" w14:textId="7B956A6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DDA9765" w14:textId="77777777">
      <w:pPr>
        <w:spacing w:line="269" w:lineRule="auto"/>
        <w:rPr>
          <w:rtl/>
        </w:rPr>
      </w:pPr>
      <w:r>
        <w:rPr>
          <w:rFonts w:hint="cs"/>
          <w:rtl/>
        </w:rPr>
        <w:t xml:space="preserve">הטיפול בבקשות להעמדת הלוואות כולל רמות שונות של בקרה. ברמת המערכת הממוחשבת של הקרן מתבצעות בקרות לבדיקת העמידה בתנאי ההלוואה שהוגדרו, לרבות ההגבלה להגשת הבקשה לשני גופים מממנים לכל היותר, וכן לשיפור זיהוי בקשות כפולות כדי לאמוד את צורכי האשראי. הביקורת העלתה כי במהלך פעילות הקרנות פעל אגף החשכ"ל לאיתור תקלות ולשיפור הבקרה של </w:t>
      </w:r>
      <w:r w:rsidRPr="00074373">
        <w:rPr>
          <w:rFonts w:hint="cs"/>
          <w:rtl/>
        </w:rPr>
        <w:t xml:space="preserve">מערכת </w:t>
      </w:r>
      <w:r w:rsidRPr="00074373" w:rsidR="00074373">
        <w:rPr>
          <w:rFonts w:hint="cs"/>
          <w:rtl/>
        </w:rPr>
        <w:t>המחשוב</w:t>
      </w:r>
      <w:r w:rsidRPr="00074373">
        <w:rPr>
          <w:rFonts w:hint="cs"/>
          <w:rtl/>
        </w:rPr>
        <w:t xml:space="preserve"> כדי</w:t>
      </w:r>
      <w:r>
        <w:rPr>
          <w:rFonts w:hint="cs"/>
          <w:rtl/>
        </w:rPr>
        <w:t xml:space="preserve"> למנוע חריגה מהתנאים שהוגדרו.</w:t>
      </w:r>
    </w:p>
    <w:p w:rsidR="00253C38" w:rsidP="00982BC1" w14:paraId="25EEF833" w14:textId="69E4E3C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EE7B85" w:rsidP="00982BC1" w14:paraId="5BB495B1" w14:textId="77777777">
      <w:pPr>
        <w:spacing w:line="269" w:lineRule="auto"/>
        <w:rPr>
          <w:rtl/>
        </w:rPr>
      </w:pPr>
      <w:r>
        <w:rPr>
          <w:rFonts w:hint="cs"/>
          <w:rtl/>
        </w:rPr>
        <w:t>בקרה</w:t>
      </w:r>
      <w:r w:rsidRPr="00752E91">
        <w:rPr>
          <w:rFonts w:hint="cs"/>
          <w:rtl/>
        </w:rPr>
        <w:t xml:space="preserve"> </w:t>
      </w:r>
      <w:r>
        <w:rPr>
          <w:rFonts w:hint="cs"/>
          <w:rtl/>
        </w:rPr>
        <w:t>נוספת המתמקדת באימות הנתונים נעשית ברמת הגוף המממן ונציגי הציבור היושבים בוועדות האשראי של הגופים המממנים בכפוף לסכום הבקשות (כפי שהוצג לעיל בתרשים 30). אלה אמונים על אימות המידע המתקבל בקרנות בטרם אישור ההלוואות. בהתאם, מסמכי ההתקשרות מטילים אחריות על הגופים המממנים לוודא כי טרם העמדת ההלוואה, הלווה וההלוואה עומדים בכל תנאי הוראת הביצוע, וכי הועמדו מלוא הבטוחות שנדרש הלווה להעמיד</w:t>
      </w:r>
      <w:r>
        <w:rPr>
          <w:rStyle w:val="FootnoteReference"/>
          <w:rtl/>
        </w:rPr>
        <w:footnoteReference w:id="45"/>
      </w:r>
      <w:r>
        <w:rPr>
          <w:rFonts w:hint="cs"/>
          <w:rtl/>
        </w:rPr>
        <w:t xml:space="preserve">, לרבות חתימה על </w:t>
      </w:r>
      <w:r w:rsidRPr="004C638B">
        <w:rPr>
          <w:rFonts w:hint="cs"/>
          <w:rtl/>
        </w:rPr>
        <w:t>ערבויות אישיות כנדרש</w:t>
      </w:r>
      <w:r w:rsidRPr="003C24AE">
        <w:rPr>
          <w:rFonts w:hint="cs"/>
          <w:rtl/>
        </w:rPr>
        <w:t>.</w:t>
      </w:r>
      <w:r>
        <w:rPr>
          <w:rFonts w:hint="cs"/>
          <w:rtl/>
        </w:rPr>
        <w:t xml:space="preserve"> נוסף על כך, על חברי ועדת האשראי, שכוללת נציג ציבור, בכפוף לגובה הבקשה, </w:t>
      </w:r>
      <w:r w:rsidRPr="000E002D">
        <w:rPr>
          <w:rFonts w:hint="cs"/>
          <w:sz w:val="24"/>
          <w:rtl/>
        </w:rPr>
        <w:t>לאש</w:t>
      </w:r>
      <w:r>
        <w:rPr>
          <w:rFonts w:hint="cs"/>
          <w:sz w:val="24"/>
          <w:rtl/>
        </w:rPr>
        <w:t xml:space="preserve">ר או לדחות את הבקשות, </w:t>
      </w:r>
      <w:r w:rsidRPr="000E002D">
        <w:rPr>
          <w:rFonts w:hint="eastAsia"/>
          <w:sz w:val="24"/>
          <w:rtl/>
        </w:rPr>
        <w:t>לקבוע</w:t>
      </w:r>
      <w:r w:rsidRPr="000E002D">
        <w:rPr>
          <w:sz w:val="24"/>
          <w:rtl/>
        </w:rPr>
        <w:t xml:space="preserve"> </w:t>
      </w:r>
      <w:r w:rsidRPr="000E002D">
        <w:rPr>
          <w:rFonts w:hint="eastAsia"/>
          <w:sz w:val="24"/>
          <w:rtl/>
        </w:rPr>
        <w:t>את</w:t>
      </w:r>
      <w:r w:rsidRPr="000E002D">
        <w:rPr>
          <w:sz w:val="24"/>
          <w:rtl/>
        </w:rPr>
        <w:t xml:space="preserve"> </w:t>
      </w:r>
      <w:r w:rsidRPr="000E002D">
        <w:rPr>
          <w:rFonts w:hint="eastAsia"/>
          <w:sz w:val="24"/>
          <w:rtl/>
        </w:rPr>
        <w:t>גובה</w:t>
      </w:r>
      <w:r w:rsidRPr="000E002D">
        <w:rPr>
          <w:sz w:val="24"/>
          <w:rtl/>
        </w:rPr>
        <w:t xml:space="preserve"> </w:t>
      </w:r>
      <w:r>
        <w:rPr>
          <w:rFonts w:hint="eastAsia"/>
          <w:sz w:val="24"/>
          <w:rtl/>
        </w:rPr>
        <w:t>ההלווא</w:t>
      </w:r>
      <w:r>
        <w:rPr>
          <w:rFonts w:hint="cs"/>
          <w:sz w:val="24"/>
          <w:rtl/>
        </w:rPr>
        <w:t>ות</w:t>
      </w:r>
      <w:r w:rsidRPr="000E002D">
        <w:rPr>
          <w:sz w:val="24"/>
          <w:rtl/>
        </w:rPr>
        <w:t xml:space="preserve"> </w:t>
      </w:r>
      <w:r w:rsidRPr="000E002D">
        <w:rPr>
          <w:rFonts w:hint="eastAsia"/>
          <w:sz w:val="24"/>
          <w:rtl/>
        </w:rPr>
        <w:t>ותנאיה</w:t>
      </w:r>
      <w:r>
        <w:rPr>
          <w:rFonts w:hint="cs"/>
          <w:sz w:val="24"/>
          <w:rtl/>
        </w:rPr>
        <w:t>ן</w:t>
      </w:r>
      <w:r w:rsidRPr="000E002D">
        <w:rPr>
          <w:sz w:val="24"/>
          <w:rtl/>
        </w:rPr>
        <w:t xml:space="preserve"> </w:t>
      </w:r>
      <w:r w:rsidRPr="000E002D">
        <w:rPr>
          <w:rFonts w:hint="eastAsia"/>
          <w:sz w:val="24"/>
          <w:rtl/>
        </w:rPr>
        <w:t>והכ</w:t>
      </w:r>
      <w:r>
        <w:rPr>
          <w:rFonts w:hint="cs"/>
          <w:sz w:val="24"/>
          <w:rtl/>
        </w:rPr>
        <w:t>ו</w:t>
      </w:r>
      <w:r w:rsidRPr="000E002D">
        <w:rPr>
          <w:rFonts w:hint="eastAsia"/>
          <w:sz w:val="24"/>
          <w:rtl/>
        </w:rPr>
        <w:t>ל</w:t>
      </w:r>
      <w:r w:rsidRPr="000E002D">
        <w:rPr>
          <w:sz w:val="24"/>
          <w:rtl/>
        </w:rPr>
        <w:t xml:space="preserve"> </w:t>
      </w:r>
      <w:r w:rsidRPr="000E002D">
        <w:rPr>
          <w:rFonts w:hint="eastAsia"/>
          <w:sz w:val="24"/>
          <w:rtl/>
        </w:rPr>
        <w:t>בכפוף</w:t>
      </w:r>
      <w:r w:rsidRPr="000E002D">
        <w:rPr>
          <w:sz w:val="24"/>
          <w:rtl/>
        </w:rPr>
        <w:t xml:space="preserve"> </w:t>
      </w:r>
      <w:r w:rsidRPr="000E002D">
        <w:rPr>
          <w:rFonts w:hint="eastAsia"/>
          <w:sz w:val="24"/>
          <w:rtl/>
        </w:rPr>
        <w:t>לתנאים</w:t>
      </w:r>
      <w:r w:rsidRPr="000E002D">
        <w:rPr>
          <w:sz w:val="24"/>
          <w:rtl/>
        </w:rPr>
        <w:t xml:space="preserve"> </w:t>
      </w:r>
      <w:r w:rsidRPr="000E002D">
        <w:rPr>
          <w:rFonts w:hint="eastAsia"/>
          <w:sz w:val="24"/>
          <w:rtl/>
        </w:rPr>
        <w:t>המפורטים</w:t>
      </w:r>
      <w:r w:rsidRPr="000E002D">
        <w:rPr>
          <w:sz w:val="24"/>
          <w:rtl/>
        </w:rPr>
        <w:t xml:space="preserve"> </w:t>
      </w:r>
      <w:r w:rsidRPr="000E002D">
        <w:rPr>
          <w:rFonts w:hint="cs"/>
          <w:sz w:val="24"/>
          <w:rtl/>
        </w:rPr>
        <w:t xml:space="preserve">בהסכם </w:t>
      </w:r>
      <w:r>
        <w:rPr>
          <w:rFonts w:hint="cs"/>
          <w:sz w:val="24"/>
          <w:rtl/>
        </w:rPr>
        <w:t>ואחרי</w:t>
      </w:r>
      <w:r>
        <w:rPr>
          <w:rFonts w:ascii="David" w:hAnsi="David" w:hint="cs"/>
          <w:rtl/>
        </w:rPr>
        <w:t xml:space="preserve"> שהצליבה וּוידאה כי </w:t>
      </w:r>
      <w:r w:rsidRPr="00C1154D">
        <w:rPr>
          <w:rFonts w:ascii="David" w:hAnsi="David"/>
          <w:rtl/>
        </w:rPr>
        <w:t>מספר ה</w:t>
      </w:r>
      <w:r>
        <w:rPr>
          <w:rFonts w:ascii="David" w:hAnsi="David" w:hint="cs"/>
          <w:rtl/>
        </w:rPr>
        <w:t xml:space="preserve">בקשה שהופק מהמערכת הממוחשבת (ודווח לגוף המממן) </w:t>
      </w:r>
      <w:r w:rsidRPr="00C1154D">
        <w:rPr>
          <w:rFonts w:ascii="David" w:hAnsi="David"/>
          <w:rtl/>
        </w:rPr>
        <w:t xml:space="preserve">תואם </w:t>
      </w:r>
      <w:r w:rsidRPr="00EE7B85">
        <w:rPr>
          <w:rFonts w:ascii="David" w:hAnsi="David"/>
          <w:rtl/>
        </w:rPr>
        <w:t xml:space="preserve">את </w:t>
      </w:r>
      <w:r w:rsidRPr="00EE7B85">
        <w:rPr>
          <w:rFonts w:ascii="David" w:hAnsi="David" w:hint="cs"/>
          <w:rtl/>
        </w:rPr>
        <w:t xml:space="preserve">מספר </w:t>
      </w:r>
      <w:r>
        <w:rPr>
          <w:rFonts w:ascii="David" w:hAnsi="David"/>
          <w:rtl/>
        </w:rPr>
        <w:t xml:space="preserve">העסק </w:t>
      </w:r>
      <w:r>
        <w:rPr>
          <w:rFonts w:ascii="David" w:hAnsi="David" w:hint="cs"/>
          <w:rtl/>
        </w:rPr>
        <w:t>המבקש</w:t>
      </w:r>
      <w:r w:rsidRPr="00EE7B85">
        <w:rPr>
          <w:rFonts w:ascii="David" w:hAnsi="David"/>
          <w:rtl/>
        </w:rPr>
        <w:t>.</w:t>
      </w:r>
    </w:p>
    <w:p w:rsidR="00253C38" w:rsidRPr="00EE7B85" w:rsidP="00982BC1" w14:paraId="39DF86FC" w14:textId="345D86A3">
      <w:pPr>
        <w:pStyle w:val="a"/>
        <w:spacing w:line="269" w:lineRule="auto"/>
        <w:rPr>
          <w:rtl/>
        </w:rPr>
      </w:pPr>
      <w:r w:rsidRPr="00EE7B85">
        <w:rPr>
          <w:rtl/>
        </w:rPr>
        <w:fldChar w:fldCharType="begin"/>
      </w:r>
      <w:r w:rsidRPr="00EE7B85">
        <w:rPr>
          <w:rtl/>
        </w:rPr>
        <w:instrText xml:space="preserve"> </w:instrText>
      </w:r>
      <w:r w:rsidRPr="00EE7B85">
        <w:instrText>AUTONUMLGL \e  \* MERGEFORMAT</w:instrText>
      </w:r>
      <w:r w:rsidRPr="00EE7B85">
        <w:rPr>
          <w:rtl/>
        </w:rPr>
        <w:instrText xml:space="preserve"> </w:instrText>
      </w:r>
      <w:r w:rsidRPr="00EE7B85">
        <w:rPr>
          <w:rtl/>
        </w:rPr>
        <w:fldChar w:fldCharType="end"/>
      </w:r>
    </w:p>
    <w:p w:rsidR="00253C38" w:rsidP="00982BC1" w14:paraId="4F4A49A9" w14:textId="77777777">
      <w:pPr>
        <w:spacing w:line="269" w:lineRule="auto"/>
        <w:rPr>
          <w:rtl/>
        </w:rPr>
      </w:pPr>
      <w:r>
        <w:rPr>
          <w:rFonts w:hint="cs"/>
          <w:rtl/>
        </w:rPr>
        <w:t xml:space="preserve">בקרה אחרת מבוצעת בקרן על ידי הגופים המתאמים. מדובר בשני גופים פרטיים שמונו על ידי אגף החשכ"ל במטרה לערוך, בין היתר, בדיקות חוזרות של בקשות הפונים אשר סורבו על ידי הגוף המממן, כאשר הדבר נדרש על ידי אגף החשכ"ל ועל ידי נציגי הציבור היושבים בוועדות האשראי של הגופים המממנים. הבחינה החוזרת כללה, בין היתר, סקירה של העסק, עסקים קשורים לו ופעילותו, ניתוח מצבו טרם המשבר, במהלכו והציפיות לעתיד, בחינה של ריכוז החבויות שלו, ניתוח של מידת השפעתו מהמשבר, צרכיו התזרימיים לעומת הסכום המבוקש ויכולת ההחזר. הבחינה מתבססת על דוחות כספיים, על דוחות מע"ם ועל התרשמות נציגי הגופים המתאמים. </w:t>
      </w:r>
    </w:p>
    <w:p w:rsidR="00253C38" w:rsidP="00982BC1" w14:paraId="6FF8C99C" w14:textId="2C3E191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B2BEA" w:rsidP="00982BC1" w14:paraId="365B511F" w14:textId="77777777">
      <w:pPr>
        <w:spacing w:line="269" w:lineRule="auto"/>
        <w:rPr>
          <w:b/>
          <w:bCs/>
        </w:rPr>
      </w:pPr>
      <w:r w:rsidRPr="006A5469">
        <w:rPr>
          <w:rFonts w:hint="cs"/>
          <w:b/>
          <w:bCs/>
          <w:rtl/>
        </w:rPr>
        <w:t xml:space="preserve">הביקורת העלתה כי </w:t>
      </w:r>
      <w:r>
        <w:rPr>
          <w:rFonts w:hint="cs"/>
          <w:b/>
          <w:bCs/>
          <w:rtl/>
        </w:rPr>
        <w:t>אח</w:t>
      </w:r>
      <w:r w:rsidRPr="006A5469">
        <w:rPr>
          <w:rFonts w:hint="cs"/>
          <w:b/>
          <w:bCs/>
          <w:rtl/>
        </w:rPr>
        <w:t>ר</w:t>
      </w:r>
      <w:r>
        <w:rPr>
          <w:rFonts w:hint="cs"/>
          <w:b/>
          <w:bCs/>
          <w:rtl/>
        </w:rPr>
        <w:t>י</w:t>
      </w:r>
      <w:r w:rsidRPr="006A5469">
        <w:rPr>
          <w:rFonts w:hint="cs"/>
          <w:b/>
          <w:bCs/>
          <w:rtl/>
        </w:rPr>
        <w:t xml:space="preserve"> </w:t>
      </w:r>
      <w:r>
        <w:rPr>
          <w:rFonts w:hint="cs"/>
          <w:b/>
          <w:bCs/>
          <w:rtl/>
        </w:rPr>
        <w:t>ש</w:t>
      </w:r>
      <w:r w:rsidRPr="006A5469">
        <w:rPr>
          <w:rFonts w:hint="cs"/>
          <w:b/>
          <w:bCs/>
          <w:rtl/>
        </w:rPr>
        <w:t>הגופים המתאמים בחנו בשנית את הבקשות והמליצו לשנות את החלטת הגופים המממנים</w:t>
      </w:r>
      <w:r>
        <w:rPr>
          <w:rFonts w:hint="cs"/>
          <w:b/>
          <w:bCs/>
          <w:rtl/>
        </w:rPr>
        <w:t xml:space="preserve"> (ב-121 בקשות מתוך 367 בקשות שנבדקו על ידם בפועל), </w:t>
      </w:r>
      <w:r w:rsidRPr="006A5469">
        <w:rPr>
          <w:rFonts w:hint="cs"/>
          <w:b/>
          <w:bCs/>
          <w:rtl/>
        </w:rPr>
        <w:t>שינו</w:t>
      </w:r>
      <w:r>
        <w:rPr>
          <w:rFonts w:hint="cs"/>
          <w:b/>
          <w:bCs/>
          <w:rtl/>
        </w:rPr>
        <w:t xml:space="preserve"> הגופים המממנים</w:t>
      </w:r>
      <w:r w:rsidRPr="006A5469">
        <w:rPr>
          <w:rFonts w:hint="cs"/>
          <w:b/>
          <w:bCs/>
          <w:rtl/>
        </w:rPr>
        <w:t xml:space="preserve"> את עמדתם הראשונית בכ-75% </w:t>
      </w:r>
      <w:r w:rsidRPr="00C56B30">
        <w:rPr>
          <w:rFonts w:hint="cs"/>
          <w:b/>
          <w:bCs/>
          <w:rtl/>
        </w:rPr>
        <w:t xml:space="preserve">מהמקרים. </w:t>
      </w:r>
      <w:r w:rsidRPr="00C56B30" w:rsidR="00074373">
        <w:rPr>
          <w:rFonts w:hint="cs"/>
          <w:b/>
          <w:bCs/>
          <w:rtl/>
        </w:rPr>
        <w:t xml:space="preserve">לוח </w:t>
      </w:r>
      <w:r w:rsidRPr="00C56B30" w:rsidR="00C56B30">
        <w:rPr>
          <w:rFonts w:hint="cs"/>
          <w:b/>
          <w:bCs/>
          <w:rtl/>
        </w:rPr>
        <w:t>6</w:t>
      </w:r>
      <w:r w:rsidRPr="00C56B30">
        <w:rPr>
          <w:rFonts w:hint="cs"/>
          <w:b/>
          <w:bCs/>
          <w:rtl/>
        </w:rPr>
        <w:t xml:space="preserve"> להלן מציג</w:t>
      </w:r>
      <w:r w:rsidRPr="006A5469">
        <w:rPr>
          <w:rFonts w:hint="cs"/>
          <w:b/>
          <w:bCs/>
          <w:rtl/>
        </w:rPr>
        <w:t xml:space="preserve"> את היקף פעילות</w:t>
      </w:r>
      <w:r>
        <w:rPr>
          <w:rFonts w:hint="cs"/>
          <w:b/>
          <w:bCs/>
          <w:rtl/>
        </w:rPr>
        <w:t>ם</w:t>
      </w:r>
      <w:r w:rsidRPr="006A5469">
        <w:rPr>
          <w:rFonts w:hint="cs"/>
          <w:b/>
          <w:bCs/>
          <w:rtl/>
        </w:rPr>
        <w:t xml:space="preserve"> של הגופים המתאמים בקרנות.</w:t>
      </w:r>
    </w:p>
    <w:p w:rsidR="00253C38" w:rsidP="00982BC1" w14:paraId="6843D805" w14:textId="507A8F8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71E93" w:rsidP="00982BC1" w14:paraId="0DC315C8" w14:textId="77777777">
      <w:pPr>
        <w:spacing w:line="269" w:lineRule="auto"/>
        <w:jc w:val="center"/>
        <w:rPr>
          <w:b/>
          <w:bCs/>
          <w:rtl/>
        </w:rPr>
      </w:pPr>
      <w:r w:rsidRPr="00C56B30">
        <w:rPr>
          <w:rFonts w:hint="cs"/>
          <w:b/>
          <w:bCs/>
          <w:rtl/>
        </w:rPr>
        <w:t xml:space="preserve">לוח </w:t>
      </w:r>
      <w:r w:rsidRPr="00C56B30" w:rsidR="00C56B30">
        <w:rPr>
          <w:rFonts w:hint="cs"/>
          <w:b/>
          <w:bCs/>
          <w:rtl/>
        </w:rPr>
        <w:t>6</w:t>
      </w:r>
      <w:r w:rsidRPr="00171E93">
        <w:rPr>
          <w:b/>
          <w:bCs/>
          <w:rtl/>
        </w:rPr>
        <w:t xml:space="preserve">: </w:t>
      </w:r>
      <w:r w:rsidRPr="00171E93">
        <w:rPr>
          <w:rFonts w:hint="eastAsia"/>
          <w:b/>
          <w:bCs/>
          <w:rtl/>
        </w:rPr>
        <w:t>היקף</w:t>
      </w:r>
      <w:r w:rsidRPr="00171E93">
        <w:rPr>
          <w:b/>
          <w:bCs/>
          <w:rtl/>
        </w:rPr>
        <w:t xml:space="preserve"> </w:t>
      </w:r>
      <w:r w:rsidRPr="00171E93">
        <w:rPr>
          <w:rFonts w:hint="eastAsia"/>
          <w:b/>
          <w:bCs/>
          <w:rtl/>
        </w:rPr>
        <w:t>הפעילות</w:t>
      </w:r>
      <w:r w:rsidRPr="00171E93">
        <w:rPr>
          <w:b/>
          <w:bCs/>
          <w:rtl/>
        </w:rPr>
        <w:t xml:space="preserve"> </w:t>
      </w:r>
      <w:r w:rsidRPr="00171E93">
        <w:rPr>
          <w:rFonts w:hint="eastAsia"/>
          <w:b/>
          <w:bCs/>
          <w:rtl/>
        </w:rPr>
        <w:t>של</w:t>
      </w:r>
      <w:r w:rsidRPr="00171E93">
        <w:rPr>
          <w:b/>
          <w:bCs/>
          <w:rtl/>
        </w:rPr>
        <w:t xml:space="preserve"> </w:t>
      </w:r>
      <w:r w:rsidRPr="00171E93">
        <w:rPr>
          <w:rFonts w:hint="eastAsia"/>
          <w:b/>
          <w:bCs/>
          <w:rtl/>
        </w:rPr>
        <w:t>הגופים</w:t>
      </w:r>
      <w:r w:rsidRPr="00171E93">
        <w:rPr>
          <w:b/>
          <w:bCs/>
          <w:rtl/>
        </w:rPr>
        <w:t xml:space="preserve"> </w:t>
      </w:r>
      <w:r w:rsidRPr="00171E93">
        <w:rPr>
          <w:rFonts w:hint="eastAsia"/>
          <w:b/>
          <w:bCs/>
          <w:rtl/>
        </w:rPr>
        <w:t>המתאמים</w:t>
      </w:r>
      <w:r w:rsidRPr="00171E93">
        <w:rPr>
          <w:b/>
          <w:bCs/>
          <w:rtl/>
        </w:rPr>
        <w:t xml:space="preserve">, </w:t>
      </w:r>
      <w:r w:rsidRPr="00171E93">
        <w:rPr>
          <w:rFonts w:hint="eastAsia"/>
          <w:b/>
          <w:bCs/>
          <w:rtl/>
        </w:rPr>
        <w:t>בחלוקה</w:t>
      </w:r>
      <w:r w:rsidRPr="00171E93">
        <w:rPr>
          <w:b/>
          <w:bCs/>
          <w:rtl/>
        </w:rPr>
        <w:t xml:space="preserve"> </w:t>
      </w:r>
      <w:r w:rsidRPr="00171E93">
        <w:rPr>
          <w:rFonts w:hint="eastAsia"/>
          <w:b/>
          <w:bCs/>
          <w:rtl/>
        </w:rPr>
        <w:t>לבקשות</w:t>
      </w:r>
      <w:r w:rsidRPr="00171E93">
        <w:rPr>
          <w:b/>
          <w:bCs/>
          <w:rtl/>
        </w:rPr>
        <w:t xml:space="preserve"> </w:t>
      </w:r>
      <w:r w:rsidRPr="00171E93">
        <w:rPr>
          <w:rFonts w:hint="eastAsia"/>
          <w:b/>
          <w:bCs/>
          <w:rtl/>
        </w:rPr>
        <w:t>שהועברו</w:t>
      </w:r>
      <w:r w:rsidRPr="00171E93">
        <w:rPr>
          <w:b/>
          <w:bCs/>
          <w:rtl/>
        </w:rPr>
        <w:t xml:space="preserve"> אליהם </w:t>
      </w:r>
      <w:r w:rsidRPr="00171E93">
        <w:rPr>
          <w:rFonts w:hint="eastAsia"/>
          <w:b/>
          <w:bCs/>
          <w:rtl/>
        </w:rPr>
        <w:t>מטעם</w:t>
      </w:r>
      <w:r w:rsidRPr="00171E93">
        <w:rPr>
          <w:b/>
          <w:bCs/>
          <w:rtl/>
        </w:rPr>
        <w:t xml:space="preserve"> נציגי הציבור ומטעם </w:t>
      </w:r>
      <w:r w:rsidRPr="00171E93">
        <w:rPr>
          <w:rFonts w:hint="eastAsia"/>
          <w:b/>
          <w:bCs/>
          <w:rtl/>
        </w:rPr>
        <w:t>החשכ</w:t>
      </w:r>
      <w:r w:rsidRPr="00171E93">
        <w:rPr>
          <w:b/>
          <w:bCs/>
          <w:rtl/>
        </w:rPr>
        <w:t>"ל</w:t>
      </w:r>
    </w:p>
    <w:p w:rsidR="00253C38" w:rsidRPr="0047209D" w:rsidP="00982BC1" w14:paraId="10274498" w14:textId="77777777">
      <w:pPr>
        <w:spacing w:line="269" w:lineRule="auto"/>
        <w:ind w:left="-1559"/>
        <w:rPr>
          <w:rtl/>
        </w:rPr>
      </w:pPr>
      <w:r>
        <w:rPr>
          <w:noProof/>
        </w:rPr>
        <w:drawing>
          <wp:inline distT="0" distB="0" distL="0" distR="0">
            <wp:extent cx="7111365" cy="1587389"/>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11669" name=""/>
                    <pic:cNvPicPr/>
                  </pic:nvPicPr>
                  <pic:blipFill>
                    <a:blip xmlns:r="http://schemas.openxmlformats.org/officeDocument/2006/relationships" r:embed="rId41"/>
                    <a:stretch>
                      <a:fillRect/>
                    </a:stretch>
                  </pic:blipFill>
                  <pic:spPr>
                    <a:xfrm>
                      <a:off x="0" y="0"/>
                      <a:ext cx="7139898" cy="1593758"/>
                    </a:xfrm>
                    <a:prstGeom prst="rect">
                      <a:avLst/>
                    </a:prstGeom>
                  </pic:spPr>
                </pic:pic>
              </a:graphicData>
            </a:graphic>
          </wp:inline>
        </w:drawing>
      </w:r>
    </w:p>
    <w:p w:rsidR="00253C38" w:rsidRPr="00E065A2" w:rsidP="00982BC1" w14:paraId="4D7F31C4" w14:textId="77777777">
      <w:pPr>
        <w:spacing w:line="269" w:lineRule="auto"/>
        <w:rPr>
          <w:sz w:val="18"/>
          <w:szCs w:val="22"/>
          <w:rtl/>
        </w:rPr>
      </w:pPr>
      <w:r w:rsidRPr="00E065A2">
        <w:rPr>
          <w:rFonts w:hint="cs"/>
          <w:sz w:val="18"/>
          <w:szCs w:val="22"/>
          <w:rtl/>
        </w:rPr>
        <w:t>נתוני החשכ"ל, בעיבוד משרד מבקר המדינה.</w:t>
      </w:r>
    </w:p>
    <w:p w:rsidR="00253C38" w:rsidRPr="00E065A2" w:rsidP="00982BC1" w14:paraId="23A50F09" w14:textId="77777777">
      <w:pPr>
        <w:spacing w:line="269" w:lineRule="auto"/>
        <w:rPr>
          <w:sz w:val="18"/>
          <w:szCs w:val="22"/>
          <w:rtl/>
        </w:rPr>
      </w:pPr>
      <w:r w:rsidRPr="00E065A2">
        <w:rPr>
          <w:sz w:val="18"/>
          <w:szCs w:val="22"/>
          <w:rtl/>
        </w:rPr>
        <w:t xml:space="preserve">* חלק מהבקשות לא נבדקו מהסיבות </w:t>
      </w:r>
      <w:r w:rsidRPr="00E065A2">
        <w:rPr>
          <w:rFonts w:hint="cs"/>
          <w:sz w:val="18"/>
          <w:szCs w:val="22"/>
          <w:rtl/>
        </w:rPr>
        <w:t>האלה: (א</w:t>
      </w:r>
      <w:r w:rsidRPr="00E065A2">
        <w:rPr>
          <w:sz w:val="18"/>
          <w:szCs w:val="22"/>
          <w:rtl/>
        </w:rPr>
        <w:t xml:space="preserve">) לאחר דחיית הבקשה הוגשה בקשה עצמאית לבנק אחר; </w:t>
      </w:r>
      <w:r w:rsidRPr="00E065A2">
        <w:rPr>
          <w:rFonts w:hint="cs"/>
          <w:sz w:val="18"/>
          <w:szCs w:val="22"/>
          <w:rtl/>
        </w:rPr>
        <w:t>(ב</w:t>
      </w:r>
      <w:r w:rsidRPr="00E065A2">
        <w:rPr>
          <w:sz w:val="18"/>
          <w:szCs w:val="22"/>
          <w:rtl/>
        </w:rPr>
        <w:t xml:space="preserve">) לא היה מענה </w:t>
      </w:r>
      <w:r w:rsidRPr="00E065A2">
        <w:rPr>
          <w:rFonts w:hint="eastAsia"/>
          <w:sz w:val="18"/>
          <w:szCs w:val="22"/>
          <w:rtl/>
        </w:rPr>
        <w:t>מצד</w:t>
      </w:r>
      <w:r w:rsidRPr="00E065A2">
        <w:rPr>
          <w:sz w:val="18"/>
          <w:szCs w:val="22"/>
          <w:rtl/>
        </w:rPr>
        <w:t xml:space="preserve"> </w:t>
      </w:r>
      <w:r w:rsidRPr="00E065A2">
        <w:rPr>
          <w:rFonts w:hint="eastAsia"/>
          <w:sz w:val="18"/>
          <w:szCs w:val="22"/>
          <w:rtl/>
        </w:rPr>
        <w:t>מבקש</w:t>
      </w:r>
      <w:r w:rsidRPr="00E065A2">
        <w:rPr>
          <w:sz w:val="18"/>
          <w:szCs w:val="22"/>
          <w:rtl/>
        </w:rPr>
        <w:t xml:space="preserve"> ההלוואה; </w:t>
      </w:r>
      <w:r w:rsidRPr="00E065A2">
        <w:rPr>
          <w:rFonts w:hint="cs"/>
          <w:sz w:val="18"/>
          <w:szCs w:val="22"/>
          <w:rtl/>
        </w:rPr>
        <w:t>(ג</w:t>
      </w:r>
      <w:r w:rsidRPr="00E065A2">
        <w:rPr>
          <w:sz w:val="18"/>
          <w:szCs w:val="22"/>
          <w:rtl/>
        </w:rPr>
        <w:t xml:space="preserve">) מבקש ההלוואה לא היה מוכן לשתף פעולה בבדיקה הנוספת. </w:t>
      </w:r>
    </w:p>
    <w:p w:rsidR="00253C38" w:rsidP="00982BC1" w14:paraId="0E3E9627" w14:textId="6659715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2130D65" w14:textId="77777777">
      <w:pPr>
        <w:spacing w:line="269" w:lineRule="auto"/>
        <w:rPr>
          <w:rtl/>
        </w:rPr>
      </w:pPr>
      <w:r w:rsidRPr="00C56B30">
        <w:rPr>
          <w:rFonts w:hint="cs"/>
          <w:rtl/>
        </w:rPr>
        <w:t>מ</w:t>
      </w:r>
      <w:r w:rsidRPr="00C56B30" w:rsidR="00074373">
        <w:rPr>
          <w:rFonts w:hint="cs"/>
          <w:rtl/>
        </w:rPr>
        <w:t xml:space="preserve">לוח </w:t>
      </w:r>
      <w:r w:rsidRPr="00C56B30" w:rsidR="00C56B30">
        <w:rPr>
          <w:rFonts w:hint="cs"/>
          <w:rtl/>
        </w:rPr>
        <w:t>6</w:t>
      </w:r>
      <w:r w:rsidRPr="00C56B30">
        <w:rPr>
          <w:rFonts w:hint="cs"/>
          <w:rtl/>
        </w:rPr>
        <w:t xml:space="preserve"> עולה</w:t>
      </w:r>
      <w:r>
        <w:rPr>
          <w:rFonts w:hint="cs"/>
          <w:rtl/>
        </w:rPr>
        <w:t xml:space="preserve"> החשיבות הגלומה בפעילותם של נציגי הציבור בוועדות האשראי. שיעור הבקשות מטעם נציגי הציבור שנבדקו בפועל מתוך הבקשות שהוגשו לבחינה חוזרת נאמד ב-91.1%, ושיעור הבקשות שהוגשו מטעם החשכ"ל נאמד ב-30.9%. עוד ניתן לראות </w:t>
      </w:r>
      <w:r w:rsidR="00E32CA3">
        <w:rPr>
          <w:rFonts w:hint="cs"/>
          <w:rtl/>
        </w:rPr>
        <w:t>בלוח</w:t>
      </w:r>
      <w:r>
        <w:rPr>
          <w:rFonts w:hint="cs"/>
          <w:rtl/>
        </w:rPr>
        <w:t xml:space="preserve"> כי קיים פער בשיעור של עשרות אחוזים בין בקשות שנשלחו מטעם נציגי הציבור לבקשות שנשלחו מטעם החשכ"ל במדדים שלהלן: (א) פער של 44.4% בשיעור הבקשות שהומלצו לאישור מתוך הבקשות שנבדקו בפועל; (ב) פער של 41.4% בשיעור הבקשות שאושרו בבנק מתוך הבקשות שנבדקו בפועל; (ג) פער של כ-39.2% בשיעור הבקשות שאושרו בבנק מתוך הבקשות שהומלצו לאישור. פערים במדדים אלה מעידים על החיוניות הגלומה בפעילות נציגי הציבור ובמיקוד פנייתם לגופים המממנים במקרים הדורשים התערבות. עוד נמצא כי מתוך סך הבקשות שנבדקו בפועל, 47.4% מהבקשות נשלחו על ידי נציגי הציבור ו-52.6% נשלחו על ידי החשכ"ל, ואילו חלקם מתוך הבקשות שאושרו בגופים המממנים נאמד ב-89% ו-11%, בהתאמה. עולה אפוא כי התועלת הגלומה בשליחת בקשות לבחינה חוזרת מטעם נציגי הציבור גבוהה בהרבה מזו הגלומה בשליחת בקשות מטעם החשכ"ל.</w:t>
      </w:r>
    </w:p>
    <w:p w:rsidR="00253C38" w:rsidP="00982BC1" w14:paraId="7FF58A25" w14:textId="187D48D0">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09C19EF6" w14:textId="27805BE5">
      <w:pPr>
        <w:spacing w:line="269" w:lineRule="auto"/>
        <w:rPr>
          <w:rtl/>
        </w:rPr>
      </w:pPr>
      <w:r>
        <w:rPr>
          <w:rFonts w:hint="cs"/>
          <w:b/>
          <w:bCs/>
          <w:rtl/>
        </w:rPr>
        <w:t xml:space="preserve">נוכח ההשפעה האפקטיבית </w:t>
      </w:r>
      <w:r w:rsidRPr="00BA1776">
        <w:rPr>
          <w:rFonts w:hint="cs"/>
          <w:b/>
          <w:bCs/>
          <w:rtl/>
        </w:rPr>
        <w:t>של נציגי הציבור בוועדות האשראי על שינוי החלטת הגופים המממנים, באמצעות פנייה לגופים המתאמים, והאפקטיביות הנמוכה יחסית של בקשות הנשלחות מטעם החשכ"ל (שכן למול 53% מהבקשות שנשלח</w:t>
      </w:r>
      <w:r>
        <w:rPr>
          <w:rFonts w:hint="cs"/>
          <w:b/>
          <w:bCs/>
          <w:rtl/>
        </w:rPr>
        <w:t>ו ע"י החשכ"ל, חלקן</w:t>
      </w:r>
      <w:r w:rsidRPr="00BA1776">
        <w:rPr>
          <w:rFonts w:hint="cs"/>
          <w:b/>
          <w:bCs/>
          <w:rtl/>
        </w:rPr>
        <w:t xml:space="preserve"> מתוך הבקשות שאושרו עמד על 11%), מומלץ להביא </w:t>
      </w:r>
      <w:r>
        <w:rPr>
          <w:rFonts w:hint="cs"/>
          <w:b/>
          <w:bCs/>
          <w:rtl/>
        </w:rPr>
        <w:t xml:space="preserve">את </w:t>
      </w:r>
      <w:r w:rsidRPr="00BA1776">
        <w:rPr>
          <w:rFonts w:hint="cs"/>
          <w:b/>
          <w:bCs/>
          <w:rtl/>
        </w:rPr>
        <w:t xml:space="preserve">הדבר </w:t>
      </w:r>
      <w:r w:rsidRPr="00AD47FF">
        <w:rPr>
          <w:rFonts w:hint="cs"/>
          <w:b/>
          <w:bCs/>
          <w:rtl/>
        </w:rPr>
        <w:t xml:space="preserve">לידיעת נציגי הציבור כדי להרחיב את היקף </w:t>
      </w:r>
      <w:r w:rsidRPr="00AD47FF">
        <w:rPr>
          <w:rFonts w:hint="cs"/>
          <w:b/>
          <w:bCs/>
          <w:rtl/>
        </w:rPr>
        <w:t>הבקשות שהם מעבירים לגופים המתאמים, ולמקד את סוג הבקשות שמעביר החשכ"ל לגופים המתאמים כדי להגדיל את יעילותה של הבדיקה החוזרת.</w:t>
      </w:r>
    </w:p>
    <w:p w:rsidR="00E065A2" w:rsidP="00982BC1" w14:paraId="02522415" w14:textId="77777777">
      <w:pPr>
        <w:spacing w:line="269" w:lineRule="auto"/>
        <w:rPr>
          <w:rtl/>
        </w:rPr>
      </w:pPr>
    </w:p>
    <w:p w:rsidR="00253C38" w:rsidP="00982BC1" w14:paraId="63FBFE09" w14:textId="77777777">
      <w:pPr>
        <w:pStyle w:val="Heading6"/>
        <w:spacing w:line="269" w:lineRule="auto"/>
        <w:rPr>
          <w:rtl/>
        </w:rPr>
      </w:pPr>
      <w:r w:rsidRPr="00536F35">
        <w:rPr>
          <w:rFonts w:hint="cs"/>
          <w:rtl/>
        </w:rPr>
        <w:t>שיתו</w:t>
      </w:r>
      <w:r>
        <w:rPr>
          <w:rFonts w:hint="cs"/>
          <w:rtl/>
        </w:rPr>
        <w:t>ף</w:t>
      </w:r>
      <w:r w:rsidRPr="00536F35">
        <w:rPr>
          <w:rFonts w:hint="cs"/>
          <w:rtl/>
        </w:rPr>
        <w:t xml:space="preserve"> פעולה בין גופים ציבוריים לטיוב פעולת הקרנות</w:t>
      </w:r>
    </w:p>
    <w:p w:rsidR="00253C38" w:rsidP="00982BC1" w14:paraId="554D81B9" w14:textId="61D2C15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97689F9" w14:textId="77777777">
      <w:pPr>
        <w:spacing w:line="269" w:lineRule="auto"/>
        <w:rPr>
          <w:rtl/>
        </w:rPr>
      </w:pPr>
      <w:r>
        <w:rPr>
          <w:rFonts w:hint="cs"/>
          <w:rtl/>
        </w:rPr>
        <w:t>סביבת העבודה הממשלתית כוללת מרחב של גופים ציבוריים ורגולטוריים שצוברים מידע מתוקף תפקידם. למידע שמחזיק כל גוף ציבורי ערך רב שעשוי לשמש את יתר הגופים הציבוריים ולטייב את פעילותם. הקמת מערך מיוחד להתמודדות עם משבר הקורונה, באמצעות העמדת ערבויות מדינה, התבססה על היצע האשראי שמספקת המערכת הפיננסית המקומית. מערך זה משלב תחומי פעילות של כמה רגולטורים פיננסיים. רוב הגופים המממנים שנטלו חלק במתווה היו תאגידים בנקאיים, הכפופים להנחיות הפיקוח על הבנקים בבנק ישראל ובעלי חובת דיווח כלפיו.</w:t>
      </w:r>
    </w:p>
    <w:p w:rsidR="00253C38" w:rsidP="00982BC1" w14:paraId="7397E148" w14:textId="7734CCE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4AA8078" w14:textId="77777777">
      <w:pPr>
        <w:spacing w:line="269" w:lineRule="auto"/>
      </w:pPr>
      <w:r>
        <w:rPr>
          <w:rFonts w:hint="cs"/>
          <w:rtl/>
        </w:rPr>
        <w:t xml:space="preserve">ברקע הקמת </w:t>
      </w:r>
      <w:r w:rsidRPr="001A1116">
        <w:rPr>
          <w:rFonts w:hint="cs"/>
          <w:rtl/>
        </w:rPr>
        <w:t xml:space="preserve">המסלול הרגיל ותחילת פעילותו החליטה הוועדה המוניטרית ביום </w:t>
      </w:r>
      <w:r w:rsidRPr="001A1116">
        <w:rPr>
          <w:rtl/>
        </w:rPr>
        <w:t>6.4.20</w:t>
      </w:r>
      <w:r w:rsidRPr="001A1116">
        <w:rPr>
          <w:rFonts w:hint="cs"/>
          <w:rtl/>
        </w:rPr>
        <w:t xml:space="preserve"> על תוכנית להגדלת היצע האשראי לעסקים קטנים וזעירים</w:t>
      </w:r>
      <w:r>
        <w:rPr>
          <w:rStyle w:val="FootnoteReference"/>
          <w:rtl/>
        </w:rPr>
        <w:footnoteReference w:id="46"/>
      </w:r>
      <w:r w:rsidRPr="001A1116">
        <w:rPr>
          <w:rFonts w:hint="cs"/>
          <w:rtl/>
        </w:rPr>
        <w:t>, שבמסגרתה העמיד בנק ישראל למערכת הבנקאית עד סוף מאי 2020 הלוואות בריבית קבועה לטווח של שלוש שנים בריבית בנק ישראל (0.1%) ובהיקף של 5 מיליארד ש"ח</w:t>
      </w:r>
      <w:r>
        <w:rPr>
          <w:rStyle w:val="FootnoteReference"/>
          <w:rtl/>
        </w:rPr>
        <w:footnoteReference w:id="47"/>
      </w:r>
      <w:r w:rsidRPr="001A1116">
        <w:rPr>
          <w:rFonts w:hint="cs"/>
          <w:rtl/>
        </w:rPr>
        <w:t xml:space="preserve"> (להלן - תוכנית א'). בפרטי ההודעה נכתב כי ה</w:t>
      </w:r>
      <w:r w:rsidRPr="001A1116">
        <w:rPr>
          <w:rtl/>
        </w:rPr>
        <w:t>תוכנית תייצר לבנקים מקורות זולים למתן אשראי ל</w:t>
      </w:r>
      <w:r w:rsidRPr="001A1116">
        <w:rPr>
          <w:rFonts w:hint="cs"/>
          <w:rtl/>
        </w:rPr>
        <w:t xml:space="preserve">קבוצות </w:t>
      </w:r>
      <w:r w:rsidRPr="001A1116">
        <w:rPr>
          <w:rtl/>
        </w:rPr>
        <w:t xml:space="preserve">עסקים </w:t>
      </w:r>
      <w:r w:rsidRPr="001A1116">
        <w:rPr>
          <w:rFonts w:hint="cs"/>
          <w:rtl/>
        </w:rPr>
        <w:t>אלה</w:t>
      </w:r>
      <w:r w:rsidRPr="001A1116">
        <w:rPr>
          <w:rtl/>
        </w:rPr>
        <w:t xml:space="preserve"> על אף התייקרות עלויות המימון על רקע העלייה בסיכון המאפיינת את המשק ב</w:t>
      </w:r>
      <w:r w:rsidRPr="001A1116">
        <w:rPr>
          <w:rFonts w:hint="cs"/>
          <w:rtl/>
        </w:rPr>
        <w:t xml:space="preserve">משבר. בשיחות שקיים צוות הביקורת עם נציגי בנק ישראל נמסר כי ההחלטה על תוכנית א' התקבלה ברקע הקשיים שאירעו בהפעלת המסלול הרגיל בקרן להעמדת הלוואות בערבות מדינה בתחילת חודש אפריל. ביום </w:t>
      </w:r>
      <w:r w:rsidRPr="001A1116">
        <w:rPr>
          <w:rtl/>
        </w:rPr>
        <w:t>6.7.20</w:t>
      </w:r>
      <w:r w:rsidRPr="001A1116">
        <w:rPr>
          <w:rFonts w:hint="cs"/>
          <w:rtl/>
        </w:rPr>
        <w:t xml:space="preserve"> החליטה הוועדה המוניטרית לחדש את תוכנית</w:t>
      </w:r>
      <w:r w:rsidR="009B1C28">
        <w:rPr>
          <w:rFonts w:hint="cs"/>
          <w:rtl/>
        </w:rPr>
        <w:t xml:space="preserve"> א'</w:t>
      </w:r>
      <w:r w:rsidRPr="001A1116">
        <w:rPr>
          <w:rFonts w:hint="cs"/>
          <w:rtl/>
        </w:rPr>
        <w:t xml:space="preserve"> ללא מגבלה על גובה ההלוואות, ולהפעילה עד הודעה חדשה במטרה להגדיל את היצע האשראי הבנקאי לעסקים קטנים וזעירים, ולסייע להם לצלוח את המשבר</w:t>
      </w:r>
      <w:r>
        <w:rPr>
          <w:rStyle w:val="FootnoteReference"/>
          <w:rtl/>
        </w:rPr>
        <w:footnoteReference w:id="48"/>
      </w:r>
      <w:r w:rsidRPr="001A1116">
        <w:rPr>
          <w:rFonts w:hint="cs"/>
          <w:rtl/>
        </w:rPr>
        <w:t xml:space="preserve">. תרשים </w:t>
      </w:r>
      <w:r w:rsidR="009B1C28">
        <w:rPr>
          <w:rFonts w:hint="cs"/>
          <w:rtl/>
        </w:rPr>
        <w:t>33</w:t>
      </w:r>
      <w:r w:rsidRPr="001A1116">
        <w:rPr>
          <w:rFonts w:hint="cs"/>
          <w:rtl/>
        </w:rPr>
        <w:t xml:space="preserve"> להלן מציג את נתוני הקצאת ההלוואות למערכת</w:t>
      </w:r>
      <w:r w:rsidRPr="007A252B">
        <w:rPr>
          <w:rFonts w:hint="cs"/>
          <w:rtl/>
        </w:rPr>
        <w:t xml:space="preserve"> הבנקאית במסגרת </w:t>
      </w:r>
      <w:r>
        <w:rPr>
          <w:rFonts w:hint="cs"/>
          <w:rtl/>
        </w:rPr>
        <w:t>תוכנית א'</w:t>
      </w:r>
      <w:r w:rsidRPr="007A252B">
        <w:rPr>
          <w:rFonts w:hint="cs"/>
          <w:rtl/>
        </w:rPr>
        <w:t xml:space="preserve"> ממועד הפעלתה ועד נובמבר</w:t>
      </w:r>
      <w:r>
        <w:rPr>
          <w:rFonts w:hint="cs"/>
          <w:rtl/>
        </w:rPr>
        <w:t xml:space="preserve"> 2020</w:t>
      </w:r>
      <w:r w:rsidRPr="007A252B">
        <w:rPr>
          <w:rFonts w:hint="cs"/>
          <w:rtl/>
        </w:rPr>
        <w:t>.</w:t>
      </w:r>
    </w:p>
    <w:p w:rsidR="00253C38" w:rsidP="00982BC1" w14:paraId="3C0F3211" w14:textId="7D4B0BA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71E93" w:rsidP="00982BC1" w14:paraId="66EF57A2" w14:textId="63B6751C">
      <w:pPr>
        <w:spacing w:line="269" w:lineRule="auto"/>
        <w:jc w:val="center"/>
        <w:rPr>
          <w:b/>
          <w:bCs/>
          <w:rtl/>
        </w:rPr>
      </w:pPr>
      <w:r w:rsidRPr="00171E93">
        <w:rPr>
          <w:rFonts w:hint="eastAsia"/>
          <w:b/>
          <w:bCs/>
          <w:rtl/>
        </w:rPr>
        <w:t>תרשים</w:t>
      </w:r>
      <w:r w:rsidRPr="00171E93">
        <w:rPr>
          <w:b/>
          <w:bCs/>
          <w:rtl/>
        </w:rPr>
        <w:t xml:space="preserve"> </w:t>
      </w:r>
      <w:r w:rsidR="009B1C28">
        <w:rPr>
          <w:rFonts w:hint="cs"/>
          <w:b/>
          <w:bCs/>
          <w:rtl/>
        </w:rPr>
        <w:t>33</w:t>
      </w:r>
      <w:r w:rsidRPr="00171E93">
        <w:rPr>
          <w:b/>
          <w:bCs/>
          <w:rtl/>
        </w:rPr>
        <w:t xml:space="preserve">: </w:t>
      </w:r>
      <w:r w:rsidRPr="00171E93">
        <w:rPr>
          <w:rFonts w:hint="eastAsia"/>
          <w:b/>
          <w:bCs/>
          <w:rtl/>
        </w:rPr>
        <w:t>נתוני</w:t>
      </w:r>
      <w:r w:rsidRPr="00171E93">
        <w:rPr>
          <w:b/>
          <w:bCs/>
          <w:rtl/>
        </w:rPr>
        <w:t xml:space="preserve"> ההלוואות </w:t>
      </w:r>
      <w:r w:rsidRPr="009B1C28">
        <w:rPr>
          <w:rFonts w:hint="eastAsia"/>
          <w:b/>
          <w:bCs/>
          <w:rtl/>
        </w:rPr>
        <w:t>שהקצה</w:t>
      </w:r>
      <w:r w:rsidRPr="009B1C28">
        <w:rPr>
          <w:b/>
          <w:bCs/>
          <w:rtl/>
        </w:rPr>
        <w:t xml:space="preserve"> </w:t>
      </w:r>
      <w:r w:rsidRPr="009B1C28">
        <w:rPr>
          <w:rFonts w:hint="eastAsia"/>
          <w:b/>
          <w:bCs/>
          <w:rtl/>
        </w:rPr>
        <w:t>בנק</w:t>
      </w:r>
      <w:r w:rsidRPr="009B1C28">
        <w:rPr>
          <w:b/>
          <w:bCs/>
          <w:rtl/>
        </w:rPr>
        <w:t xml:space="preserve"> </w:t>
      </w:r>
      <w:r w:rsidRPr="009B1C28">
        <w:rPr>
          <w:rFonts w:hint="eastAsia"/>
          <w:b/>
          <w:bCs/>
          <w:rtl/>
        </w:rPr>
        <w:t>ישראל</w:t>
      </w:r>
      <w:r w:rsidRPr="009B1C28">
        <w:rPr>
          <w:b/>
          <w:bCs/>
          <w:rtl/>
        </w:rPr>
        <w:t xml:space="preserve"> </w:t>
      </w:r>
      <w:r w:rsidRPr="009B1C28">
        <w:rPr>
          <w:rFonts w:hint="eastAsia"/>
          <w:b/>
          <w:bCs/>
          <w:rtl/>
        </w:rPr>
        <w:t>למערכת</w:t>
      </w:r>
      <w:r w:rsidRPr="00171E93">
        <w:rPr>
          <w:b/>
          <w:bCs/>
          <w:rtl/>
        </w:rPr>
        <w:t xml:space="preserve"> </w:t>
      </w:r>
      <w:r w:rsidRPr="00171E93">
        <w:rPr>
          <w:rFonts w:hint="eastAsia"/>
          <w:b/>
          <w:bCs/>
          <w:rtl/>
        </w:rPr>
        <w:t>הבנקאית</w:t>
      </w:r>
      <w:r w:rsidRPr="00402410">
        <w:rPr>
          <w:rFonts w:hint="cs"/>
          <w:b/>
          <w:bCs/>
          <w:rtl/>
        </w:rPr>
        <w:t>, אפריל</w:t>
      </w:r>
      <w:r w:rsidRPr="00171E93">
        <w:rPr>
          <w:b/>
          <w:bCs/>
          <w:rtl/>
        </w:rPr>
        <w:t xml:space="preserve"> </w:t>
      </w:r>
      <w:r w:rsidRPr="00171E93">
        <w:rPr>
          <w:rFonts w:hint="eastAsia"/>
          <w:b/>
          <w:bCs/>
          <w:rtl/>
        </w:rPr>
        <w:t>עד</w:t>
      </w:r>
      <w:r w:rsidRPr="00171E93">
        <w:rPr>
          <w:b/>
          <w:bCs/>
          <w:rtl/>
        </w:rPr>
        <w:t xml:space="preserve"> נובמבר 2020</w:t>
      </w:r>
      <w:r w:rsidRPr="00402410">
        <w:rPr>
          <w:rFonts w:hint="cs"/>
          <w:b/>
          <w:bCs/>
          <w:rtl/>
        </w:rPr>
        <w:t xml:space="preserve"> (</w:t>
      </w:r>
      <w:r w:rsidRPr="00171E93">
        <w:rPr>
          <w:rFonts w:hint="eastAsia"/>
          <w:b/>
          <w:bCs/>
          <w:rtl/>
        </w:rPr>
        <w:t>במיליארדי</w:t>
      </w:r>
      <w:r w:rsidRPr="00171E93">
        <w:rPr>
          <w:b/>
          <w:bCs/>
          <w:rtl/>
        </w:rPr>
        <w:t xml:space="preserve"> </w:t>
      </w:r>
      <w:r w:rsidRPr="00171E93">
        <w:rPr>
          <w:rFonts w:hint="eastAsia"/>
          <w:b/>
          <w:bCs/>
          <w:rtl/>
        </w:rPr>
        <w:t>ש</w:t>
      </w:r>
      <w:r w:rsidRPr="00171E93">
        <w:rPr>
          <w:b/>
          <w:bCs/>
          <w:rtl/>
        </w:rPr>
        <w:t>"ח</w:t>
      </w:r>
      <w:r w:rsidRPr="00402410">
        <w:rPr>
          <w:rFonts w:hint="cs"/>
          <w:b/>
          <w:bCs/>
          <w:rtl/>
        </w:rPr>
        <w:t>)</w:t>
      </w:r>
    </w:p>
    <w:p w:rsidR="00253C38" w:rsidRPr="003C0432" w:rsidP="00982BC1" w14:paraId="0701BF11" w14:textId="77777777">
      <w:pPr>
        <w:spacing w:line="269" w:lineRule="auto"/>
        <w:jc w:val="center"/>
        <w:rPr>
          <w:rtl/>
        </w:rPr>
      </w:pPr>
      <w:r w:rsidRPr="00703023">
        <w:rPr>
          <w:noProof/>
        </w:rPr>
        <w:drawing>
          <wp:inline distT="0" distB="0" distL="0" distR="0">
            <wp:extent cx="4305300" cy="2737608"/>
            <wp:effectExtent l="0" t="0" r="0" b="5715"/>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42607" name=""/>
                    <pic:cNvPicPr/>
                  </pic:nvPicPr>
                  <pic:blipFill>
                    <a:blip xmlns:r="http://schemas.openxmlformats.org/officeDocument/2006/relationships" r:embed="rId42"/>
                    <a:stretch>
                      <a:fillRect/>
                    </a:stretch>
                  </pic:blipFill>
                  <pic:spPr>
                    <a:xfrm>
                      <a:off x="0" y="0"/>
                      <a:ext cx="4327002" cy="2751408"/>
                    </a:xfrm>
                    <a:prstGeom prst="rect">
                      <a:avLst/>
                    </a:prstGeom>
                  </pic:spPr>
                </pic:pic>
              </a:graphicData>
            </a:graphic>
          </wp:inline>
        </w:drawing>
      </w:r>
    </w:p>
    <w:p w:rsidR="00253C38" w:rsidRPr="00E065A2" w:rsidP="00982BC1" w14:paraId="690BA127" w14:textId="77777777">
      <w:pPr>
        <w:pStyle w:val="a"/>
        <w:spacing w:line="269" w:lineRule="auto"/>
        <w:ind w:left="0"/>
        <w:rPr>
          <w:sz w:val="22"/>
          <w:szCs w:val="22"/>
          <w:shd w:val="clear" w:color="auto" w:fill="FFFFFF"/>
          <w:rtl/>
        </w:rPr>
      </w:pPr>
      <w:r w:rsidRPr="00E065A2">
        <w:rPr>
          <w:rFonts w:hint="cs"/>
          <w:sz w:val="22"/>
          <w:szCs w:val="22"/>
          <w:shd w:val="clear" w:color="auto" w:fill="FFFFFF"/>
          <w:rtl/>
        </w:rPr>
        <w:t xml:space="preserve">נתוני בנק ישראל - חטיבת השווקים, בעיבוד משרד מבקר המדינה. </w:t>
      </w:r>
    </w:p>
    <w:p w:rsidR="00253C38" w:rsidP="00982BC1" w14:paraId="7E3234EC" w14:textId="3BC9119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AF050B" w:rsidP="00982BC1" w14:paraId="6725472E" w14:textId="004CC4C3">
      <w:pPr>
        <w:spacing w:line="269" w:lineRule="auto"/>
        <w:rPr>
          <w:rtl/>
        </w:rPr>
      </w:pPr>
      <w:r>
        <w:rPr>
          <w:rFonts w:hint="cs"/>
          <w:rtl/>
        </w:rPr>
        <w:t xml:space="preserve">סעיף 5 לחוק בנק ישראל, התש"ע-2010, מקנה לבנק ישראל עצמאות בבחירת פעולותיו ובהפעלת סמכויותיו לשם השגת מטרותיו ולמילוי תפקידיו. סעיף 15(1) לחוק מטיל על הוועדה המוניטרית לקבוע את המדיניות להשגת מטרות הבנק, ובכלל זה את המדיניות המוניטרית. למרות החשיבות הגלומה בעצמאות הוועדה, החלטות המתקבלות בסמכותה בעלות השפעה גדולה על המשק, ובתוך </w:t>
      </w:r>
      <w:r w:rsidRPr="00AF050B">
        <w:rPr>
          <w:rFonts w:hint="cs"/>
          <w:rtl/>
        </w:rPr>
        <w:t>כך על דרכי הפעולה של השחקנים בו, ובהם משרדי הממשלה, בעיקר בעיתות משבר. לפיכך קיימת חשיבות להיוועצות עם הגופים הציבוריים, ולכל הפחות יידוע, על צעדים מתוכ</w:t>
      </w:r>
      <w:r w:rsidRPr="00AF050B" w:rsidR="00E65C7F">
        <w:rPr>
          <w:rFonts w:hint="cs"/>
          <w:rtl/>
        </w:rPr>
        <w:t>ננים שייתכן שישפיעו על פעילותם.</w:t>
      </w:r>
    </w:p>
    <w:p w:rsidR="00253C38" w:rsidRPr="00AF050B" w:rsidP="00982BC1" w14:paraId="1C289CE2" w14:textId="2646AAC0">
      <w:pPr>
        <w:pStyle w:val="a"/>
        <w:spacing w:line="269" w:lineRule="auto"/>
        <w:rPr>
          <w:rtl/>
        </w:rPr>
      </w:pPr>
      <w:r w:rsidRPr="00AF050B">
        <w:rPr>
          <w:rtl/>
        </w:rPr>
        <w:fldChar w:fldCharType="begin"/>
      </w:r>
      <w:r w:rsidRPr="00AF050B">
        <w:rPr>
          <w:rtl/>
        </w:rPr>
        <w:instrText xml:space="preserve"> </w:instrText>
      </w:r>
      <w:r w:rsidRPr="00AF050B">
        <w:instrText>AUTONUMLGL \e  \* MERGEFORMAT</w:instrText>
      </w:r>
      <w:r w:rsidRPr="00AF050B">
        <w:rPr>
          <w:rtl/>
        </w:rPr>
        <w:instrText xml:space="preserve"> </w:instrText>
      </w:r>
      <w:r w:rsidRPr="00AF050B">
        <w:rPr>
          <w:rtl/>
        </w:rPr>
        <w:fldChar w:fldCharType="end"/>
      </w:r>
    </w:p>
    <w:p w:rsidR="00253C38" w:rsidP="00982BC1" w14:paraId="5D175687" w14:textId="1371607D">
      <w:pPr>
        <w:spacing w:line="269" w:lineRule="auto"/>
        <w:rPr>
          <w:b/>
          <w:bCs/>
          <w:rtl/>
        </w:rPr>
      </w:pPr>
      <w:r w:rsidRPr="00AF050B">
        <w:rPr>
          <w:rFonts w:hint="eastAsia"/>
          <w:rtl/>
        </w:rPr>
        <w:t>החשכ</w:t>
      </w:r>
      <w:r w:rsidRPr="00AF050B">
        <w:rPr>
          <w:rtl/>
        </w:rPr>
        <w:t xml:space="preserve">"ל </w:t>
      </w:r>
      <w:r w:rsidRPr="00AF050B" w:rsidR="003E7C02">
        <w:rPr>
          <w:rFonts w:hint="cs"/>
          <w:rtl/>
        </w:rPr>
        <w:t xml:space="preserve">כתב </w:t>
      </w:r>
      <w:r w:rsidRPr="00AF050B">
        <w:rPr>
          <w:rtl/>
        </w:rPr>
        <w:t>ל</w:t>
      </w:r>
      <w:r w:rsidRPr="00AF050B" w:rsidR="00BD1971">
        <w:rPr>
          <w:rFonts w:hint="cs"/>
          <w:rtl/>
        </w:rPr>
        <w:t>משרד מבקר המדינה</w:t>
      </w:r>
      <w:r w:rsidRPr="00AF050B" w:rsidR="003E7C02">
        <w:rPr>
          <w:rFonts w:hint="cs"/>
          <w:rtl/>
        </w:rPr>
        <w:t xml:space="preserve"> ב-16.11.20</w:t>
      </w:r>
      <w:r w:rsidRPr="00AF050B">
        <w:rPr>
          <w:rtl/>
        </w:rPr>
        <w:t xml:space="preserve"> כי</w:t>
      </w:r>
      <w:r w:rsidRPr="00AF050B" w:rsidR="00B27963">
        <w:rPr>
          <w:rFonts w:hint="cs"/>
          <w:rtl/>
        </w:rPr>
        <w:t xml:space="preserve"> ההחלטות</w:t>
      </w:r>
      <w:r w:rsidR="00B27963">
        <w:rPr>
          <w:rFonts w:hint="cs"/>
          <w:rtl/>
        </w:rPr>
        <w:t xml:space="preserve"> לעיצוב מאפייני הקרנות להעמדת אשראי בערבות מדינה </w:t>
      </w:r>
      <w:r w:rsidR="003E7C02">
        <w:rPr>
          <w:rFonts w:hint="cs"/>
          <w:rtl/>
        </w:rPr>
        <w:t xml:space="preserve">מתקבלות בוועדת מכרזים וכי </w:t>
      </w:r>
      <w:r w:rsidR="00B27963">
        <w:rPr>
          <w:rFonts w:hint="cs"/>
          <w:rtl/>
        </w:rPr>
        <w:t>מחלקת ערבויות מדינה למדה על תכנית הוועדה המוניטרית להעמדת הלוואות למערכת הבנקאית בעלות מופחתת לטובת העמדת אשראי לעסקים קטנים וזעירים לאחר שפורסמה</w:t>
      </w:r>
      <w:r w:rsidR="006901E1">
        <w:rPr>
          <w:rFonts w:hint="cs"/>
          <w:rtl/>
        </w:rPr>
        <w:t>.</w:t>
      </w:r>
      <w:r w:rsidR="003E7C02">
        <w:rPr>
          <w:rFonts w:hint="cs"/>
          <w:rtl/>
        </w:rPr>
        <w:t xml:space="preserve"> בשיחות שקיים צוות הביקורת עם נציגי החשכ"ל</w:t>
      </w:r>
      <w:r w:rsidR="00C422FE">
        <w:rPr>
          <w:rFonts w:hint="cs"/>
          <w:rtl/>
        </w:rPr>
        <w:t xml:space="preserve"> נמסר</w:t>
      </w:r>
      <w:r w:rsidR="003E7C02">
        <w:rPr>
          <w:rFonts w:hint="cs"/>
          <w:rtl/>
        </w:rPr>
        <w:t xml:space="preserve"> כי יתכן ששיח וחשיבה משותפים היו </w:t>
      </w:r>
      <w:r w:rsidR="00E65C7F">
        <w:rPr>
          <w:rFonts w:hint="cs"/>
          <w:rtl/>
        </w:rPr>
        <w:t xml:space="preserve">בעלי השפעה על </w:t>
      </w:r>
      <w:r w:rsidR="0036210F">
        <w:rPr>
          <w:rFonts w:hint="cs"/>
          <w:rtl/>
        </w:rPr>
        <w:t>קביעת התנאים המסחריים בקרנות</w:t>
      </w:r>
      <w:r w:rsidR="00097884">
        <w:rPr>
          <w:rFonts w:hint="cs"/>
          <w:rtl/>
        </w:rPr>
        <w:t>.</w:t>
      </w:r>
      <w:r>
        <w:rPr>
          <w:rFonts w:hint="cs"/>
          <w:rtl/>
        </w:rPr>
        <w:t xml:space="preserve"> </w:t>
      </w:r>
    </w:p>
    <w:p w:rsidR="00253C38" w:rsidP="00982BC1" w14:paraId="635F5D5F" w14:textId="1C1B7D4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BA7127" w:rsidP="00982BC1" w14:paraId="5C8DE7AB" w14:textId="77777777">
      <w:pPr>
        <w:spacing w:line="269" w:lineRule="auto"/>
        <w:rPr>
          <w:rtl/>
        </w:rPr>
      </w:pPr>
      <w:r>
        <w:rPr>
          <w:rFonts w:hint="cs"/>
          <w:rtl/>
        </w:rPr>
        <w:t xml:space="preserve">בנק ישראל כתב למשרד </w:t>
      </w:r>
      <w:r w:rsidRPr="00703023">
        <w:rPr>
          <w:rFonts w:hint="cs"/>
          <w:rtl/>
        </w:rPr>
        <w:t>מבקר המדינה ב</w:t>
      </w:r>
      <w:r w:rsidRPr="00703023">
        <w:rPr>
          <w:rtl/>
        </w:rPr>
        <w:t>-25.2.21</w:t>
      </w:r>
      <w:r w:rsidRPr="00703023">
        <w:rPr>
          <w:rFonts w:hint="cs"/>
          <w:rtl/>
        </w:rPr>
        <w:t xml:space="preserve"> כי הצעדים המוניטריים נועדו לתמוך בהגברת </w:t>
      </w:r>
      <w:r w:rsidRPr="00703023">
        <w:rPr>
          <w:rFonts w:hint="eastAsia"/>
          <w:rtl/>
        </w:rPr>
        <w:t>התמסורת</w:t>
      </w:r>
      <w:r w:rsidRPr="00703023">
        <w:rPr>
          <w:rFonts w:hint="cs"/>
          <w:rtl/>
        </w:rPr>
        <w:t xml:space="preserve"> בין המדיניות המוניטרית לבין האשראי הניתן</w:t>
      </w:r>
      <w:r w:rsidRPr="00BA7127">
        <w:rPr>
          <w:rtl/>
        </w:rPr>
        <w:t xml:space="preserve"> על </w:t>
      </w:r>
      <w:r w:rsidRPr="00703023">
        <w:rPr>
          <w:rFonts w:hint="cs"/>
          <w:rtl/>
        </w:rPr>
        <w:t>ידי המערכת הבנקאית לעסקים קטנים וזעירים</w:t>
      </w:r>
      <w:r w:rsidR="000B571B">
        <w:rPr>
          <w:rFonts w:hint="cs"/>
          <w:rtl/>
        </w:rPr>
        <w:t>.</w:t>
      </w:r>
    </w:p>
    <w:p w:rsidR="00253C38" w:rsidP="00982BC1" w14:paraId="4AFD6303" w14:textId="450A2C1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5CC4666" w14:textId="77777777">
      <w:pPr>
        <w:spacing w:line="269" w:lineRule="auto"/>
        <w:rPr>
          <w:rtl/>
        </w:rPr>
      </w:pPr>
      <w:r>
        <w:rPr>
          <w:rFonts w:hint="cs"/>
          <w:rtl/>
        </w:rPr>
        <w:t>הקמת הקרנות להלוואה בערבות מדינה העמידה לפני המערכת הבנקאית שתי חלופות השקעה: הפחתת הסיכון הגלום בהעמדת אשראי באמצעות שימוש בקרנות; נטילת הסיכון והעמדת האשראי ממקורות התאגיד הבנקאי בתמורה לתשלומי ריבית גבוהים המגלמים את הגידול בסיכון במשק. הענקת עדיפות ללווים שהוגדרו "טובים" בקרנות איפשרה לתאגידים הבנקאיים להרחיב את היקף האשראי שניתן מחוץ להן בכפוף ל</w:t>
      </w:r>
      <w:r w:rsidRPr="00D56462">
        <w:rPr>
          <w:rFonts w:hint="eastAsia"/>
          <w:rtl/>
        </w:rPr>
        <w:t>תיאבון</w:t>
      </w:r>
      <w:r>
        <w:rPr>
          <w:rFonts w:hint="cs"/>
          <w:rtl/>
        </w:rPr>
        <w:t xml:space="preserve"> הסיכון של כל תאגיד ולדרוש פרמיה גבוהה יותר בגינו. במכתב שנשלח מטעם בנק ישראל לצוות הביקורת במהלך דצמבר 2020 נכתב כי </w:t>
      </w:r>
      <w:r w:rsidRPr="00390D24">
        <w:rPr>
          <w:rFonts w:hint="cs"/>
          <w:rtl/>
        </w:rPr>
        <w:t>בידי הבנק עדות</w:t>
      </w:r>
      <w:r>
        <w:rPr>
          <w:rFonts w:hint="cs"/>
          <w:rtl/>
        </w:rPr>
        <w:t xml:space="preserve"> לכך שחלק לא מבוטל מהאשראי שניתן לעסקים קטנים וזעירים הועמד שלא באמצעות הקרנות.</w:t>
      </w:r>
    </w:p>
    <w:p w:rsidR="00253C38" w:rsidP="00982BC1" w14:paraId="38B5AEDE" w14:textId="0A59ACC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D023F36" w14:textId="2FD808C9">
      <w:pPr>
        <w:spacing w:line="269" w:lineRule="auto"/>
        <w:rPr>
          <w:rtl/>
        </w:rPr>
      </w:pPr>
      <w:r>
        <w:rPr>
          <w:rFonts w:hint="cs"/>
          <w:rtl/>
        </w:rPr>
        <w:t>ב</w:t>
      </w:r>
      <w:r w:rsidRPr="00390D24">
        <w:rPr>
          <w:rFonts w:hint="cs"/>
          <w:rtl/>
        </w:rPr>
        <w:t xml:space="preserve">יום </w:t>
      </w:r>
      <w:r w:rsidRPr="00390D24">
        <w:rPr>
          <w:rtl/>
        </w:rPr>
        <w:t>22.10.20</w:t>
      </w:r>
      <w:r w:rsidRPr="00390D24">
        <w:rPr>
          <w:rFonts w:hint="cs"/>
          <w:rtl/>
        </w:rPr>
        <w:t xml:space="preserve"> השיק</w:t>
      </w:r>
      <w:r>
        <w:rPr>
          <w:rFonts w:hint="cs"/>
          <w:rtl/>
        </w:rPr>
        <w:t xml:space="preserve"> בנק ישראל נדבך חדש בתוכנית להקלת תנאי האשראי לעסקים קטנים וזעירים שיופעל עד סוף חודש יוני 2021 ובהיקף של 10 מיליארד ש"ח (להלן - תוכנית ב'). במסגרת זו החליטה הוועדה המוניטרית כי בנק ישראל יוכל לספק למערכת הבנקאית הלוואות לטווח של ארבע שנים בריבית קבועה של מינוס 0.1 אחוז</w:t>
      </w:r>
      <w:r w:rsidR="00390D24">
        <w:rPr>
          <w:rFonts w:hint="cs"/>
          <w:rtl/>
        </w:rPr>
        <w:t xml:space="preserve"> </w:t>
      </w:r>
      <w:r>
        <w:rPr>
          <w:rFonts w:hint="cs"/>
          <w:rtl/>
        </w:rPr>
        <w:t>כנגד הלוואות שהבנקים יעניקו לעסקים קטנים וזעירים, בכפוף לכך שהריבית על ההלוואות שהבנקים יעניקו לעסקים קטנים וזעירים לא תעלה על פריים פלוס 1.3%</w:t>
      </w:r>
      <w:r>
        <w:rPr>
          <w:rStyle w:val="FootnoteReference"/>
          <w:rtl/>
        </w:rPr>
        <w:footnoteReference w:id="49"/>
      </w:r>
      <w:r w:rsidR="004F504B">
        <w:rPr>
          <w:rFonts w:hint="cs"/>
          <w:rtl/>
        </w:rPr>
        <w:t xml:space="preserve">. </w:t>
      </w:r>
      <w:r>
        <w:rPr>
          <w:rFonts w:hint="cs"/>
          <w:rtl/>
        </w:rPr>
        <w:t xml:space="preserve">תרשים </w:t>
      </w:r>
      <w:r w:rsidR="00390D24">
        <w:rPr>
          <w:rFonts w:hint="cs"/>
          <w:rtl/>
        </w:rPr>
        <w:t>34</w:t>
      </w:r>
      <w:r>
        <w:rPr>
          <w:rFonts w:hint="cs"/>
          <w:rtl/>
        </w:rPr>
        <w:t xml:space="preserve"> להלן מציג את ממוצע שיעור הריבית ה</w:t>
      </w:r>
      <w:r w:rsidR="00912A83">
        <w:rPr>
          <w:rFonts w:hint="cs"/>
          <w:rtl/>
        </w:rPr>
        <w:t xml:space="preserve">משתנה ולא צמודה על אשראי שנתנו </w:t>
      </w:r>
      <w:r>
        <w:rPr>
          <w:rFonts w:hint="cs"/>
          <w:rtl/>
        </w:rPr>
        <w:t>בנקים</w:t>
      </w:r>
      <w:r w:rsidR="00912A83">
        <w:rPr>
          <w:rFonts w:hint="cs"/>
          <w:rtl/>
        </w:rPr>
        <w:t xml:space="preserve"> מסחריים</w:t>
      </w:r>
      <w:r>
        <w:rPr>
          <w:rFonts w:hint="cs"/>
          <w:rtl/>
        </w:rPr>
        <w:t xml:space="preserve"> לעסקים קטנים וזעירים בשתי התוכניות החל ביוני 2020 ועד דצמבר 2020.</w:t>
      </w:r>
    </w:p>
    <w:p w:rsidR="00E065A2" w14:paraId="159FFB33" w14:textId="77777777">
      <w:pPr>
        <w:bidi w:val="0"/>
        <w:spacing w:after="200" w:line="276" w:lineRule="auto"/>
        <w:rPr>
          <w:szCs w:val="20"/>
        </w:rPr>
      </w:pPr>
      <w:r>
        <w:rPr>
          <w:rtl/>
        </w:rPr>
        <w:br w:type="page"/>
      </w:r>
    </w:p>
    <w:p w:rsidR="00253C38" w:rsidP="00982BC1" w14:paraId="4A3FB5CF" w14:textId="3DB64C75">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Fonts w:hint="cs"/>
          <w:rtl/>
        </w:rPr>
        <w:t xml:space="preserve"> </w:t>
      </w:r>
    </w:p>
    <w:p w:rsidR="00253C38" w:rsidRPr="00390D24" w:rsidP="00982BC1" w14:paraId="092EB313" w14:textId="6E4C551D">
      <w:pPr>
        <w:spacing w:line="269" w:lineRule="auto"/>
        <w:jc w:val="center"/>
        <w:rPr>
          <w:b/>
          <w:bCs/>
          <w:rtl/>
        </w:rPr>
      </w:pPr>
      <w:r w:rsidRPr="00390D24">
        <w:rPr>
          <w:rFonts w:hint="eastAsia"/>
          <w:b/>
          <w:bCs/>
          <w:rtl/>
        </w:rPr>
        <w:t>תרשים</w:t>
      </w:r>
      <w:r w:rsidRPr="00390D24">
        <w:rPr>
          <w:b/>
          <w:bCs/>
          <w:rtl/>
        </w:rPr>
        <w:t xml:space="preserve"> </w:t>
      </w:r>
      <w:r w:rsidR="00390D24">
        <w:rPr>
          <w:rFonts w:hint="cs"/>
          <w:b/>
          <w:bCs/>
          <w:rtl/>
        </w:rPr>
        <w:t>34</w:t>
      </w:r>
      <w:r w:rsidRPr="00390D24">
        <w:rPr>
          <w:b/>
          <w:bCs/>
          <w:rtl/>
        </w:rPr>
        <w:t xml:space="preserve">: </w:t>
      </w:r>
      <w:r w:rsidRPr="00390D24">
        <w:rPr>
          <w:rFonts w:hint="eastAsia"/>
          <w:b/>
          <w:bCs/>
          <w:rtl/>
        </w:rPr>
        <w:t>ממוצע</w:t>
      </w:r>
      <w:r w:rsidRPr="00390D24">
        <w:rPr>
          <w:b/>
          <w:bCs/>
          <w:rtl/>
        </w:rPr>
        <w:t xml:space="preserve"> </w:t>
      </w:r>
      <w:r w:rsidRPr="00390D24">
        <w:rPr>
          <w:rFonts w:hint="eastAsia"/>
          <w:b/>
          <w:bCs/>
          <w:rtl/>
        </w:rPr>
        <w:t>שיעור</w:t>
      </w:r>
      <w:r w:rsidRPr="00390D24">
        <w:rPr>
          <w:b/>
          <w:bCs/>
          <w:rtl/>
        </w:rPr>
        <w:t xml:space="preserve"> </w:t>
      </w:r>
      <w:r w:rsidRPr="00390D24">
        <w:rPr>
          <w:rFonts w:hint="eastAsia"/>
          <w:b/>
          <w:bCs/>
          <w:rtl/>
        </w:rPr>
        <w:t>ריבית</w:t>
      </w:r>
      <w:r w:rsidRPr="00390D24">
        <w:rPr>
          <w:b/>
          <w:bCs/>
          <w:rtl/>
        </w:rPr>
        <w:t xml:space="preserve"> </w:t>
      </w:r>
      <w:r w:rsidRPr="00390D24">
        <w:rPr>
          <w:rFonts w:hint="eastAsia"/>
          <w:b/>
          <w:bCs/>
          <w:rtl/>
        </w:rPr>
        <w:t>משתנה</w:t>
      </w:r>
      <w:r w:rsidRPr="00390D24">
        <w:rPr>
          <w:b/>
          <w:bCs/>
          <w:rtl/>
        </w:rPr>
        <w:t xml:space="preserve"> </w:t>
      </w:r>
      <w:r w:rsidRPr="00390D24">
        <w:rPr>
          <w:rFonts w:hint="eastAsia"/>
          <w:b/>
          <w:bCs/>
          <w:rtl/>
        </w:rPr>
        <w:t>לא</w:t>
      </w:r>
      <w:r w:rsidRPr="00390D24">
        <w:rPr>
          <w:b/>
          <w:bCs/>
          <w:rtl/>
        </w:rPr>
        <w:t xml:space="preserve"> </w:t>
      </w:r>
      <w:r w:rsidRPr="00390D24">
        <w:rPr>
          <w:rFonts w:hint="eastAsia"/>
          <w:b/>
          <w:bCs/>
          <w:rtl/>
        </w:rPr>
        <w:t>צמודה</w:t>
      </w:r>
      <w:r w:rsidRPr="00390D24">
        <w:rPr>
          <w:b/>
          <w:bCs/>
          <w:rtl/>
        </w:rPr>
        <w:t xml:space="preserve"> </w:t>
      </w:r>
      <w:r w:rsidRPr="00390D24">
        <w:rPr>
          <w:rFonts w:hint="eastAsia"/>
          <w:b/>
          <w:bCs/>
          <w:rtl/>
        </w:rPr>
        <w:t>על</w:t>
      </w:r>
      <w:r w:rsidRPr="00390D24">
        <w:rPr>
          <w:b/>
          <w:bCs/>
          <w:rtl/>
        </w:rPr>
        <w:t xml:space="preserve"> </w:t>
      </w:r>
      <w:r w:rsidRPr="00390D24">
        <w:rPr>
          <w:rFonts w:hint="eastAsia"/>
          <w:b/>
          <w:bCs/>
          <w:rtl/>
        </w:rPr>
        <w:t>אשראי</w:t>
      </w:r>
      <w:r w:rsidRPr="00390D24">
        <w:rPr>
          <w:b/>
          <w:bCs/>
          <w:rtl/>
        </w:rPr>
        <w:t xml:space="preserve"> </w:t>
      </w:r>
      <w:r w:rsidRPr="00390D24">
        <w:rPr>
          <w:rFonts w:hint="eastAsia"/>
          <w:b/>
          <w:bCs/>
          <w:rtl/>
        </w:rPr>
        <w:t>שנתנו</w:t>
      </w:r>
      <w:r w:rsidRPr="00390D24">
        <w:rPr>
          <w:b/>
          <w:bCs/>
          <w:rtl/>
        </w:rPr>
        <w:t xml:space="preserve"> </w:t>
      </w:r>
      <w:r w:rsidRPr="00390D24">
        <w:rPr>
          <w:rFonts w:hint="eastAsia"/>
          <w:b/>
          <w:bCs/>
          <w:rtl/>
        </w:rPr>
        <w:t>הבנקים</w:t>
      </w:r>
      <w:r w:rsidRPr="00390D24">
        <w:rPr>
          <w:b/>
          <w:bCs/>
          <w:rtl/>
        </w:rPr>
        <w:t xml:space="preserve"> בשתי </w:t>
      </w:r>
      <w:r w:rsidRPr="00402410">
        <w:rPr>
          <w:rFonts w:hint="cs"/>
          <w:b/>
          <w:bCs/>
          <w:rtl/>
        </w:rPr>
        <w:t>התוכניות</w:t>
      </w:r>
      <w:r w:rsidRPr="00390D24">
        <w:rPr>
          <w:b/>
          <w:bCs/>
          <w:rtl/>
        </w:rPr>
        <w:t xml:space="preserve"> לעסקים קטנים וזעירים</w:t>
      </w:r>
      <w:r>
        <w:rPr>
          <w:rFonts w:hint="cs"/>
          <w:b/>
          <w:bCs/>
          <w:rtl/>
        </w:rPr>
        <w:t>,</w:t>
      </w:r>
      <w:r w:rsidRPr="00390D24">
        <w:rPr>
          <w:b/>
          <w:bCs/>
          <w:rtl/>
        </w:rPr>
        <w:t xml:space="preserve"> יוני</w:t>
      </w:r>
      <w:r w:rsidR="005537CA">
        <w:rPr>
          <w:b/>
          <w:bCs/>
          <w:rtl/>
        </w:rPr>
        <w:t xml:space="preserve"> </w:t>
      </w:r>
      <w:r>
        <w:rPr>
          <w:rFonts w:hint="cs"/>
          <w:b/>
          <w:bCs/>
          <w:rtl/>
        </w:rPr>
        <w:t xml:space="preserve">- </w:t>
      </w:r>
      <w:r w:rsidRPr="00402410">
        <w:rPr>
          <w:rFonts w:hint="cs"/>
          <w:b/>
          <w:bCs/>
          <w:rtl/>
        </w:rPr>
        <w:t>דצמבר</w:t>
      </w:r>
      <w:r w:rsidRPr="00390D24">
        <w:rPr>
          <w:b/>
          <w:bCs/>
          <w:rtl/>
        </w:rPr>
        <w:t xml:space="preserve"> 2020</w:t>
      </w:r>
      <w:r>
        <w:rPr>
          <w:rFonts w:hint="cs"/>
          <w:b/>
          <w:bCs/>
          <w:rtl/>
        </w:rPr>
        <w:t xml:space="preserve"> (באחוזים)</w:t>
      </w:r>
    </w:p>
    <w:p w:rsidR="00253C38" w:rsidP="00982BC1" w14:paraId="5F989074" w14:textId="32B11BD4">
      <w:pPr>
        <w:spacing w:line="269" w:lineRule="auto"/>
        <w:jc w:val="center"/>
        <w:rPr>
          <w:rtl/>
        </w:rPr>
      </w:pPr>
      <w:r>
        <w:rPr>
          <w:noProof/>
        </w:rPr>
        <w:drawing>
          <wp:inline distT="0" distB="0" distL="0" distR="0">
            <wp:extent cx="3677550" cy="2677700"/>
            <wp:effectExtent l="0" t="0" r="0" b="889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9559" name=""/>
                    <pic:cNvPicPr/>
                  </pic:nvPicPr>
                  <pic:blipFill>
                    <a:blip xmlns:r="http://schemas.openxmlformats.org/officeDocument/2006/relationships" r:embed="rId43"/>
                    <a:stretch>
                      <a:fillRect/>
                    </a:stretch>
                  </pic:blipFill>
                  <pic:spPr>
                    <a:xfrm>
                      <a:off x="0" y="0"/>
                      <a:ext cx="3691898" cy="2688147"/>
                    </a:xfrm>
                    <a:prstGeom prst="rect">
                      <a:avLst/>
                    </a:prstGeom>
                  </pic:spPr>
                </pic:pic>
              </a:graphicData>
            </a:graphic>
          </wp:inline>
        </w:drawing>
      </w:r>
    </w:p>
    <w:p w:rsidR="00253C38" w:rsidRPr="00E065A2" w:rsidP="00982BC1" w14:paraId="7AEAA6F3" w14:textId="77777777">
      <w:pPr>
        <w:spacing w:line="269" w:lineRule="auto"/>
        <w:rPr>
          <w:sz w:val="18"/>
          <w:szCs w:val="22"/>
          <w:rtl/>
        </w:rPr>
      </w:pPr>
      <w:r w:rsidRPr="00E065A2">
        <w:rPr>
          <w:rFonts w:hint="cs"/>
          <w:sz w:val="18"/>
          <w:szCs w:val="22"/>
          <w:rtl/>
        </w:rPr>
        <w:t>נתוני</w:t>
      </w:r>
      <w:r w:rsidRPr="00E065A2">
        <w:rPr>
          <w:sz w:val="18"/>
          <w:szCs w:val="22"/>
          <w:rtl/>
        </w:rPr>
        <w:t xml:space="preserve"> בנק ישראל</w:t>
      </w:r>
      <w:r w:rsidRPr="00E065A2">
        <w:rPr>
          <w:rFonts w:hint="cs"/>
          <w:sz w:val="18"/>
          <w:szCs w:val="22"/>
          <w:rtl/>
        </w:rPr>
        <w:t>, בעיבוד משרד מבקר המדינה.</w:t>
      </w:r>
    </w:p>
    <w:p w:rsidR="00253C38" w:rsidRPr="00912A83" w:rsidP="00982BC1" w14:paraId="1713BF4D" w14:textId="77777777">
      <w:pPr>
        <w:pStyle w:val="a"/>
        <w:spacing w:line="269" w:lineRule="auto"/>
        <w:rPr>
          <w:rtl/>
        </w:rPr>
      </w:pPr>
      <w:r w:rsidRPr="00912A83">
        <w:rPr>
          <w:rtl/>
        </w:rPr>
        <w:fldChar w:fldCharType="begin"/>
      </w:r>
      <w:r w:rsidRPr="00912A83">
        <w:rPr>
          <w:rtl/>
        </w:rPr>
        <w:instrText xml:space="preserve"> </w:instrText>
      </w:r>
      <w:r w:rsidRPr="00912A83">
        <w:instrText>AUTONUMLGL \e  \* MERGEFORMAT</w:instrText>
      </w:r>
      <w:r w:rsidRPr="00912A83">
        <w:rPr>
          <w:rtl/>
        </w:rPr>
        <w:instrText xml:space="preserve"> </w:instrText>
      </w:r>
      <w:r w:rsidRPr="00912A83">
        <w:rPr>
          <w:rtl/>
        </w:rPr>
        <w:fldChar w:fldCharType="end"/>
      </w:r>
    </w:p>
    <w:p w:rsidR="004F504B" w:rsidP="00982BC1" w14:paraId="5C54162D" w14:textId="77777777">
      <w:pPr>
        <w:spacing w:line="269" w:lineRule="auto"/>
        <w:rPr>
          <w:b/>
          <w:bCs/>
          <w:rtl/>
        </w:rPr>
      </w:pPr>
      <w:r w:rsidRPr="00912A83">
        <w:rPr>
          <w:rFonts w:hint="eastAsia"/>
          <w:b/>
          <w:bCs/>
          <w:rtl/>
        </w:rPr>
        <w:t>מתרשים</w:t>
      </w:r>
      <w:r w:rsidRPr="00912A83">
        <w:rPr>
          <w:b/>
          <w:bCs/>
          <w:rtl/>
        </w:rPr>
        <w:t xml:space="preserve"> </w:t>
      </w:r>
      <w:r w:rsidRPr="00912A83" w:rsidR="00390D24">
        <w:rPr>
          <w:b/>
          <w:bCs/>
          <w:rtl/>
        </w:rPr>
        <w:t>34</w:t>
      </w:r>
      <w:r w:rsidRPr="00912A83">
        <w:rPr>
          <w:b/>
          <w:bCs/>
          <w:rtl/>
        </w:rPr>
        <w:t xml:space="preserve"> עולה כי שיעור הריבית בתוכנית א' היה גבוה לכל חודשי פעילותה יותר משיעור ה</w:t>
      </w:r>
      <w:r w:rsidRPr="00912A83" w:rsidR="0088473C">
        <w:rPr>
          <w:rFonts w:hint="cs"/>
          <w:b/>
          <w:bCs/>
          <w:rtl/>
        </w:rPr>
        <w:t>ריבית</w:t>
      </w:r>
      <w:r w:rsidRPr="00912A83">
        <w:rPr>
          <w:b/>
          <w:bCs/>
          <w:rtl/>
        </w:rPr>
        <w:t xml:space="preserve"> המרבי</w:t>
      </w:r>
      <w:r w:rsidRPr="00912A83" w:rsidR="0088473C">
        <w:rPr>
          <w:rFonts w:hint="cs"/>
          <w:b/>
          <w:bCs/>
          <w:rtl/>
        </w:rPr>
        <w:t>ת</w:t>
      </w:r>
      <w:r w:rsidRPr="00912A83">
        <w:rPr>
          <w:b/>
          <w:bCs/>
          <w:rtl/>
        </w:rPr>
        <w:t xml:space="preserve"> שהועמד</w:t>
      </w:r>
      <w:r w:rsidRPr="00912A83" w:rsidR="0088473C">
        <w:rPr>
          <w:rFonts w:hint="cs"/>
          <w:b/>
          <w:bCs/>
          <w:rtl/>
        </w:rPr>
        <w:t>ה על האשראי</w:t>
      </w:r>
      <w:r w:rsidRPr="00912A83">
        <w:rPr>
          <w:b/>
          <w:bCs/>
          <w:rtl/>
        </w:rPr>
        <w:t xml:space="preserve"> בקרנות להלוואה בערבות מדינה (3.1%), וגבוה יותר משיעור</w:t>
      </w:r>
      <w:r w:rsidRPr="00BA7127">
        <w:rPr>
          <w:b/>
          <w:bCs/>
          <w:rtl/>
        </w:rPr>
        <w:t xml:space="preserve"> ה</w:t>
      </w:r>
      <w:r w:rsidR="0088473C">
        <w:rPr>
          <w:rFonts w:hint="cs"/>
          <w:b/>
          <w:bCs/>
          <w:rtl/>
        </w:rPr>
        <w:t>ריבית על ה</w:t>
      </w:r>
      <w:r w:rsidRPr="00BA7127">
        <w:rPr>
          <w:b/>
          <w:bCs/>
          <w:rtl/>
        </w:rPr>
        <w:t>אשראי הממוצע שהועמד בתוכנית ב' (2.41%). כמו כן</w:t>
      </w:r>
      <w:r w:rsidR="000B571B">
        <w:rPr>
          <w:rFonts w:hint="cs"/>
          <w:b/>
          <w:bCs/>
          <w:rtl/>
        </w:rPr>
        <w:t>,</w:t>
      </w:r>
      <w:r w:rsidRPr="00BA7127">
        <w:rPr>
          <w:b/>
          <w:bCs/>
          <w:rtl/>
        </w:rPr>
        <w:t xml:space="preserve"> עולה מן התרשים כי החל באוקטובר 2020 חלה עלייה במחיר האשראי, סמוך למועד ההכרזה על פתיחת </w:t>
      </w:r>
      <w:r w:rsidRPr="00BA7127">
        <w:rPr>
          <w:rFonts w:hint="eastAsia"/>
          <w:b/>
          <w:bCs/>
          <w:rtl/>
        </w:rPr>
        <w:t>תוכנית</w:t>
      </w:r>
      <w:r w:rsidR="00912A83">
        <w:rPr>
          <w:b/>
          <w:bCs/>
          <w:rtl/>
        </w:rPr>
        <w:t xml:space="preserve"> ב'.</w:t>
      </w:r>
    </w:p>
    <w:p w:rsidR="004F504B" w:rsidP="00982BC1" w14:paraId="662E016A" w14:textId="45C898E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12A83" w:rsidP="00982BC1" w14:paraId="4155983D" w14:textId="722AC642">
      <w:pPr>
        <w:spacing w:line="269" w:lineRule="auto"/>
        <w:rPr>
          <w:b/>
          <w:bCs/>
          <w:rtl/>
        </w:rPr>
      </w:pPr>
      <w:r w:rsidRPr="002A7A06">
        <w:rPr>
          <w:rFonts w:hint="cs"/>
          <w:b/>
          <w:bCs/>
          <w:rtl/>
        </w:rPr>
        <w:t xml:space="preserve">מנתונים שהעביר בנק ישראל למשרד מבקר המדינה ב-24.5.21 </w:t>
      </w:r>
      <w:r w:rsidR="002A7A06">
        <w:rPr>
          <w:rFonts w:hint="cs"/>
          <w:b/>
          <w:bCs/>
          <w:rtl/>
        </w:rPr>
        <w:t xml:space="preserve">נמצא </w:t>
      </w:r>
      <w:r w:rsidRPr="002A7A06">
        <w:rPr>
          <w:rFonts w:hint="cs"/>
          <w:b/>
          <w:bCs/>
          <w:rtl/>
        </w:rPr>
        <w:t>כי בחודשים דצמבר 2020 עד אפריל 2021</w:t>
      </w:r>
      <w:r>
        <w:rPr>
          <w:rStyle w:val="FootnoteReference"/>
          <w:b/>
          <w:bCs/>
          <w:rtl/>
        </w:rPr>
        <w:footnoteReference w:id="50"/>
      </w:r>
      <w:r w:rsidRPr="002A7A06">
        <w:rPr>
          <w:rFonts w:hint="cs"/>
          <w:b/>
          <w:bCs/>
          <w:rtl/>
        </w:rPr>
        <w:t xml:space="preserve"> הועמדו במסגרת תוכנית א' 56,109 הלוואות בהיקף של 14.1 מיליארד ש"ח, מתוכם 7,701 הלוואות (13.7%) ניתנו בערבות ממשלתית בהיקף של 1.9 מיליארד ש"ח (13.5%)</w:t>
      </w:r>
      <w:r w:rsidRPr="002A7A06" w:rsidR="002A7A06">
        <w:rPr>
          <w:rFonts w:hint="cs"/>
          <w:b/>
          <w:bCs/>
          <w:rtl/>
        </w:rPr>
        <w:t>, וכי במסגרת תוכנית ב' הועמדו 14,348 הלוואות בהיקף של 6 מיליארד ש"</w:t>
      </w:r>
      <w:r w:rsidR="002A7A06">
        <w:rPr>
          <w:rFonts w:hint="cs"/>
          <w:b/>
          <w:bCs/>
          <w:rtl/>
        </w:rPr>
        <w:t>ח, מתוכם רק</w:t>
      </w:r>
      <w:r w:rsidRPr="002A7A06" w:rsidR="002A7A06">
        <w:rPr>
          <w:rFonts w:hint="cs"/>
          <w:b/>
          <w:bCs/>
          <w:rtl/>
        </w:rPr>
        <w:t xml:space="preserve"> </w:t>
      </w:r>
      <w:r w:rsidR="00E40263">
        <w:rPr>
          <w:rFonts w:hint="cs"/>
          <w:b/>
          <w:bCs/>
          <w:rtl/>
        </w:rPr>
        <w:t>הלוואה אחת</w:t>
      </w:r>
      <w:r w:rsidRPr="002A7A06" w:rsidR="002A7A06">
        <w:rPr>
          <w:rFonts w:hint="cs"/>
          <w:b/>
          <w:bCs/>
          <w:rtl/>
        </w:rPr>
        <w:t xml:space="preserve"> ניתנה בערבות ממשלתית בהיקף של 200 אלף ש"</w:t>
      </w:r>
      <w:r w:rsidR="00E40263">
        <w:rPr>
          <w:rFonts w:hint="cs"/>
          <w:b/>
          <w:bCs/>
          <w:rtl/>
        </w:rPr>
        <w:t>ח</w:t>
      </w:r>
      <w:r w:rsidRPr="002A7A06" w:rsidR="002A7A06">
        <w:rPr>
          <w:rFonts w:hint="cs"/>
          <w:b/>
          <w:bCs/>
          <w:rtl/>
        </w:rPr>
        <w:t>.</w:t>
      </w:r>
    </w:p>
    <w:p w:rsidR="00253C38" w:rsidRPr="00912A83" w:rsidP="00982BC1" w14:paraId="0BBE4464" w14:textId="01327B9F">
      <w:pPr>
        <w:pStyle w:val="a"/>
        <w:spacing w:line="269" w:lineRule="auto"/>
        <w:rPr>
          <w:rtl/>
        </w:rPr>
      </w:pPr>
      <w:r w:rsidRPr="00912A83">
        <w:rPr>
          <w:rtl/>
        </w:rPr>
        <w:fldChar w:fldCharType="begin"/>
      </w:r>
      <w:r w:rsidRPr="00912A83">
        <w:rPr>
          <w:rtl/>
        </w:rPr>
        <w:instrText xml:space="preserve"> </w:instrText>
      </w:r>
      <w:r w:rsidRPr="00912A83">
        <w:instrText>AUTONUMLGL \e  \* MERGEFORMAT</w:instrText>
      </w:r>
      <w:r w:rsidRPr="00912A83">
        <w:rPr>
          <w:rtl/>
        </w:rPr>
        <w:instrText xml:space="preserve"> </w:instrText>
      </w:r>
      <w:r w:rsidRPr="00912A83">
        <w:rPr>
          <w:rtl/>
        </w:rPr>
        <w:fldChar w:fldCharType="end"/>
      </w:r>
    </w:p>
    <w:p w:rsidR="00253C38" w:rsidRPr="00171E93" w:rsidP="00982BC1" w14:paraId="1D5256D8" w14:textId="5E45124F">
      <w:pPr>
        <w:spacing w:line="269" w:lineRule="auto"/>
        <w:rPr>
          <w:rtl/>
        </w:rPr>
      </w:pPr>
      <w:r w:rsidRPr="00912A83">
        <w:rPr>
          <w:rFonts w:hint="cs"/>
          <w:b/>
          <w:bCs/>
          <w:rtl/>
        </w:rPr>
        <w:t>נתוני</w:t>
      </w:r>
      <w:r w:rsidRPr="00C422FE">
        <w:rPr>
          <w:rFonts w:hint="cs"/>
          <w:b/>
          <w:bCs/>
          <w:rtl/>
        </w:rPr>
        <w:t xml:space="preserve"> המימוש בשיעור של 0% עד </w:t>
      </w:r>
      <w:r w:rsidR="002A7A06">
        <w:rPr>
          <w:rFonts w:hint="cs"/>
          <w:b/>
          <w:bCs/>
          <w:rtl/>
        </w:rPr>
        <w:t>14</w:t>
      </w:r>
      <w:r w:rsidRPr="00C422FE">
        <w:rPr>
          <w:rFonts w:hint="cs"/>
          <w:b/>
          <w:bCs/>
          <w:rtl/>
        </w:rPr>
        <w:t>% הלוואות בערבות ממשלתית מתוך ת</w:t>
      </w:r>
      <w:r w:rsidR="00912A83">
        <w:rPr>
          <w:rFonts w:hint="cs"/>
          <w:b/>
          <w:bCs/>
          <w:rtl/>
        </w:rPr>
        <w:t>וכניות בנק ישראל</w:t>
      </w:r>
      <w:r w:rsidR="005537CA">
        <w:rPr>
          <w:rFonts w:hint="cs"/>
          <w:b/>
          <w:bCs/>
          <w:rtl/>
        </w:rPr>
        <w:t xml:space="preserve"> </w:t>
      </w:r>
      <w:r w:rsidRPr="00C422FE">
        <w:rPr>
          <w:b/>
          <w:bCs/>
          <w:rtl/>
        </w:rPr>
        <w:t xml:space="preserve">ממחישים כי </w:t>
      </w:r>
      <w:r w:rsidRPr="00C422FE">
        <w:rPr>
          <w:rFonts w:hint="eastAsia"/>
          <w:b/>
          <w:bCs/>
          <w:rtl/>
        </w:rPr>
        <w:t>תוכניות</w:t>
      </w:r>
      <w:r w:rsidRPr="00C422FE">
        <w:rPr>
          <w:b/>
          <w:bCs/>
          <w:rtl/>
        </w:rPr>
        <w:t xml:space="preserve"> בנק ישראל שימשו חלופת השקעה לקרנות להלוואה בערבות מדינה עבור בנקים מסחריים.</w:t>
      </w:r>
      <w:r w:rsidRPr="00C422FE">
        <w:rPr>
          <w:rFonts w:hint="cs"/>
          <w:b/>
          <w:bCs/>
          <w:rtl/>
        </w:rPr>
        <w:t xml:space="preserve"> </w:t>
      </w:r>
      <w:r w:rsidRPr="00C422FE" w:rsidR="00874A49">
        <w:rPr>
          <w:rFonts w:hint="eastAsia"/>
          <w:b/>
          <w:bCs/>
          <w:rtl/>
        </w:rPr>
        <w:t>משכך</w:t>
      </w:r>
      <w:r w:rsidRPr="00C422FE" w:rsidR="00874A49">
        <w:rPr>
          <w:rFonts w:hint="cs"/>
          <w:b/>
          <w:bCs/>
          <w:rtl/>
        </w:rPr>
        <w:t xml:space="preserve">, </w:t>
      </w:r>
      <w:r w:rsidRPr="00C422FE">
        <w:rPr>
          <w:rFonts w:hint="cs"/>
          <w:b/>
          <w:bCs/>
          <w:rtl/>
        </w:rPr>
        <w:t>שיתוף פעולה</w:t>
      </w:r>
      <w:r>
        <w:rPr>
          <w:rFonts w:hint="cs"/>
          <w:b/>
          <w:bCs/>
          <w:rtl/>
        </w:rPr>
        <w:t xml:space="preserve"> של בנק ישראל</w:t>
      </w:r>
      <w:r w:rsidRPr="00F3377F">
        <w:rPr>
          <w:rFonts w:hint="cs"/>
          <w:b/>
          <w:bCs/>
          <w:rtl/>
        </w:rPr>
        <w:t xml:space="preserve"> עם החשכ"ל </w:t>
      </w:r>
      <w:r>
        <w:rPr>
          <w:rFonts w:hint="cs"/>
          <w:b/>
          <w:bCs/>
          <w:rtl/>
        </w:rPr>
        <w:t xml:space="preserve">בתהליך קבלת ההחלטות </w:t>
      </w:r>
      <w:r w:rsidRPr="00F3377F">
        <w:rPr>
          <w:rFonts w:hint="cs"/>
          <w:b/>
          <w:bCs/>
          <w:rtl/>
        </w:rPr>
        <w:t>המאזנות בין גובה</w:t>
      </w:r>
      <w:r>
        <w:rPr>
          <w:rFonts w:hint="cs"/>
          <w:b/>
          <w:bCs/>
          <w:rtl/>
        </w:rPr>
        <w:t xml:space="preserve"> הערבויות לסיכון האשראי היה עשוי להביא תועלת רבה יותר בהשגת מטרות </w:t>
      </w:r>
      <w:r w:rsidRPr="008067A9">
        <w:rPr>
          <w:rFonts w:hint="cs"/>
          <w:b/>
          <w:bCs/>
          <w:rtl/>
        </w:rPr>
        <w:t xml:space="preserve">התוכניות. </w:t>
      </w:r>
      <w:r w:rsidRPr="008067A9" w:rsidR="00C60670">
        <w:rPr>
          <w:rFonts w:hint="eastAsia"/>
          <w:b/>
          <w:bCs/>
          <w:rtl/>
        </w:rPr>
        <w:t>שכן</w:t>
      </w:r>
      <w:r w:rsidRPr="008067A9" w:rsidR="00C60670">
        <w:rPr>
          <w:b/>
          <w:bCs/>
          <w:rtl/>
        </w:rPr>
        <w:t>,</w:t>
      </w:r>
      <w:r w:rsidRPr="008067A9" w:rsidR="00C60670">
        <w:rPr>
          <w:rFonts w:hint="cs"/>
          <w:b/>
          <w:bCs/>
          <w:rtl/>
        </w:rPr>
        <w:t xml:space="preserve"> </w:t>
      </w:r>
      <w:r w:rsidRPr="008067A9">
        <w:rPr>
          <w:rFonts w:hint="cs"/>
          <w:b/>
          <w:bCs/>
          <w:rtl/>
        </w:rPr>
        <w:t>שיתוף</w:t>
      </w:r>
      <w:r>
        <w:rPr>
          <w:rFonts w:hint="cs"/>
          <w:b/>
          <w:bCs/>
          <w:rtl/>
        </w:rPr>
        <w:t xml:space="preserve"> הפעולה עשוי ליצור הלימה מועילה יותר בין שיעור הריבית על האשראי, שהעמיד בנק ישראל לבנקים במסגרת התוכניות, לבין שיעור הערבות שהעמידה המדינה על האשראי הבנקאי שניתן לעסקים במסגרת הקרנות בערבות מדינה.</w:t>
      </w:r>
    </w:p>
    <w:p w:rsidR="00253C38" w:rsidP="00982BC1" w14:paraId="7ADA5DE1" w14:textId="77777777">
      <w:pPr>
        <w:pStyle w:val="a"/>
        <w:spacing w:line="269" w:lineRule="auto"/>
        <w:rPr>
          <w:rFonts w:hint="cs"/>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RPr="008C2C63" w:rsidP="00982BC1" w14:paraId="26507088" w14:textId="77777777">
      <w:pPr>
        <w:spacing w:line="269" w:lineRule="auto"/>
        <w:rPr>
          <w:rtl/>
        </w:rPr>
      </w:pPr>
      <w:r>
        <w:rPr>
          <w:rFonts w:hint="cs"/>
          <w:rtl/>
        </w:rPr>
        <w:t xml:space="preserve">בנק ישראל כתב למשרד </w:t>
      </w:r>
      <w:r w:rsidRPr="00390D24">
        <w:rPr>
          <w:rFonts w:hint="cs"/>
          <w:rtl/>
        </w:rPr>
        <w:t>מבקר המדינה ב-</w:t>
      </w:r>
      <w:r w:rsidRPr="00390D24">
        <w:rPr>
          <w:rtl/>
        </w:rPr>
        <w:t>25.2.21</w:t>
      </w:r>
      <w:r w:rsidRPr="00390D24">
        <w:rPr>
          <w:rFonts w:hint="cs"/>
          <w:rtl/>
        </w:rPr>
        <w:t xml:space="preserve"> כי "</w:t>
      </w:r>
      <w:r>
        <w:rPr>
          <w:rtl/>
        </w:rPr>
        <w:t>מתוקף תפקידו כיועץ הכלכלי של הממשלה, מקיים הנגיד קשר הדוק עם כל הגורמים במשרד האוצר כדבר שבשגרה, כל שכן, בתקופת המשבר. במהלך התקופה הנגיד והגורמים הרלבנטיים בבנק ישראל היו בקשר רציף עם שר האוצר והפקידות הבכירה במשרד על מנת לטייב את תוכניות הסיוע למגזר העסקי ולמשקי הבית</w:t>
      </w:r>
      <w:r>
        <w:rPr>
          <w:rFonts w:hint="cs"/>
          <w:rtl/>
        </w:rPr>
        <w:t>".</w:t>
      </w:r>
    </w:p>
    <w:p w:rsidR="00253C38" w:rsidRPr="0073731D" w:rsidP="00982BC1" w14:paraId="76F9EB8B" w14:textId="52A86D1B">
      <w:pPr>
        <w:pStyle w:val="a"/>
        <w:spacing w:line="269" w:lineRule="auto"/>
        <w:rPr>
          <w:rtl/>
        </w:rPr>
      </w:pPr>
      <w:r w:rsidRPr="0073731D">
        <w:rPr>
          <w:rtl/>
        </w:rPr>
        <w:fldChar w:fldCharType="begin"/>
      </w:r>
      <w:r w:rsidRPr="0073731D">
        <w:rPr>
          <w:rtl/>
        </w:rPr>
        <w:instrText xml:space="preserve"> </w:instrText>
      </w:r>
      <w:r w:rsidRPr="0073731D">
        <w:instrText>AUTONUMLGL \e  \* MERGEFORMAT</w:instrText>
      </w:r>
      <w:r w:rsidRPr="0073731D">
        <w:rPr>
          <w:rtl/>
        </w:rPr>
        <w:instrText xml:space="preserve"> </w:instrText>
      </w:r>
      <w:r w:rsidRPr="0073731D">
        <w:rPr>
          <w:rtl/>
        </w:rPr>
        <w:fldChar w:fldCharType="end"/>
      </w:r>
    </w:p>
    <w:p w:rsidR="00253C38" w:rsidRPr="00F3377F" w:rsidP="00982BC1" w14:paraId="6CCE210A" w14:textId="77777777">
      <w:pPr>
        <w:spacing w:line="269" w:lineRule="auto"/>
        <w:rPr>
          <w:b/>
          <w:bCs/>
          <w:rtl/>
        </w:rPr>
      </w:pPr>
      <w:r w:rsidRPr="0073731D">
        <w:rPr>
          <w:rFonts w:hint="cs"/>
          <w:b/>
          <w:bCs/>
          <w:rtl/>
        </w:rPr>
        <w:t xml:space="preserve">משרד מבקר המדינה ממליץ כי בנק ישראל </w:t>
      </w:r>
      <w:r w:rsidRPr="0073731D" w:rsidR="00BF0269">
        <w:rPr>
          <w:rFonts w:hint="eastAsia"/>
          <w:b/>
          <w:bCs/>
          <w:rtl/>
        </w:rPr>
        <w:t>יפעל</w:t>
      </w:r>
      <w:r w:rsidRPr="0073731D" w:rsidR="00BF0269">
        <w:rPr>
          <w:b/>
          <w:bCs/>
          <w:rtl/>
        </w:rPr>
        <w:t xml:space="preserve"> לשיפור </w:t>
      </w:r>
      <w:r w:rsidRPr="0073731D" w:rsidR="00BF0269">
        <w:rPr>
          <w:rFonts w:hint="eastAsia"/>
          <w:b/>
          <w:bCs/>
          <w:rtl/>
        </w:rPr>
        <w:t>ה</w:t>
      </w:r>
      <w:r w:rsidRPr="0073731D">
        <w:rPr>
          <w:rFonts w:hint="eastAsia"/>
          <w:b/>
          <w:bCs/>
          <w:rtl/>
        </w:rPr>
        <w:t>שיח</w:t>
      </w:r>
      <w:r w:rsidRPr="0073731D" w:rsidR="00BF0269">
        <w:rPr>
          <w:b/>
          <w:bCs/>
          <w:rtl/>
        </w:rPr>
        <w:t xml:space="preserve"> עם </w:t>
      </w:r>
      <w:r w:rsidRPr="0073731D" w:rsidR="00BF0269">
        <w:rPr>
          <w:rFonts w:hint="eastAsia"/>
          <w:b/>
          <w:bCs/>
          <w:rtl/>
        </w:rPr>
        <w:t>החשכ</w:t>
      </w:r>
      <w:r w:rsidRPr="0073731D" w:rsidR="00BF0269">
        <w:rPr>
          <w:b/>
          <w:bCs/>
          <w:rtl/>
        </w:rPr>
        <w:t>"ל</w:t>
      </w:r>
      <w:r w:rsidRPr="0073731D">
        <w:rPr>
          <w:b/>
          <w:bCs/>
          <w:rtl/>
        </w:rPr>
        <w:t xml:space="preserve"> </w:t>
      </w:r>
      <w:r w:rsidRPr="0073731D" w:rsidR="00BF0269">
        <w:rPr>
          <w:rFonts w:hint="eastAsia"/>
          <w:b/>
          <w:bCs/>
          <w:rtl/>
        </w:rPr>
        <w:t>טרם</w:t>
      </w:r>
      <w:r w:rsidRPr="0073731D" w:rsidR="00BF0269">
        <w:rPr>
          <w:b/>
          <w:bCs/>
          <w:rtl/>
        </w:rPr>
        <w:t xml:space="preserve"> קבלת החלטות בעניין </w:t>
      </w:r>
      <w:r w:rsidRPr="0073731D" w:rsidR="00BF0269">
        <w:rPr>
          <w:rFonts w:hint="eastAsia"/>
          <w:b/>
          <w:bCs/>
          <w:rtl/>
        </w:rPr>
        <w:t>גיבוש</w:t>
      </w:r>
      <w:r w:rsidRPr="0073731D" w:rsidR="00BF0269">
        <w:rPr>
          <w:b/>
          <w:bCs/>
          <w:rtl/>
        </w:rPr>
        <w:t xml:space="preserve"> </w:t>
      </w:r>
      <w:r w:rsidRPr="0073731D" w:rsidR="00BF0269">
        <w:rPr>
          <w:rFonts w:hint="eastAsia"/>
          <w:b/>
          <w:bCs/>
          <w:rtl/>
        </w:rPr>
        <w:t>תוכניות</w:t>
      </w:r>
      <w:r w:rsidRPr="0073731D" w:rsidR="00BF0269">
        <w:rPr>
          <w:b/>
          <w:bCs/>
          <w:rtl/>
        </w:rPr>
        <w:t xml:space="preserve"> סיוע בעת חירום </w:t>
      </w:r>
      <w:r w:rsidRPr="0073731D">
        <w:rPr>
          <w:rFonts w:hint="eastAsia"/>
          <w:b/>
          <w:bCs/>
          <w:rtl/>
        </w:rPr>
        <w:t>במטרה</w:t>
      </w:r>
      <w:r w:rsidRPr="0073731D">
        <w:rPr>
          <w:b/>
          <w:bCs/>
          <w:rtl/>
        </w:rPr>
        <w:t xml:space="preserve"> לטייב את </w:t>
      </w:r>
      <w:r w:rsidRPr="0073731D" w:rsidR="00BF0269">
        <w:rPr>
          <w:rFonts w:hint="eastAsia"/>
          <w:b/>
          <w:bCs/>
          <w:rtl/>
        </w:rPr>
        <w:t>יעילות</w:t>
      </w:r>
      <w:r w:rsidRPr="0073731D" w:rsidR="00BF0269">
        <w:rPr>
          <w:b/>
          <w:bCs/>
          <w:rtl/>
        </w:rPr>
        <w:t xml:space="preserve"> </w:t>
      </w:r>
      <w:r w:rsidRPr="0073731D" w:rsidR="00BF0269">
        <w:rPr>
          <w:rFonts w:hint="eastAsia"/>
          <w:b/>
          <w:bCs/>
          <w:rtl/>
        </w:rPr>
        <w:t>תוכניות</w:t>
      </w:r>
      <w:r w:rsidRPr="0073731D" w:rsidR="00BF0269">
        <w:rPr>
          <w:b/>
          <w:bCs/>
          <w:rtl/>
        </w:rPr>
        <w:t xml:space="preserve"> הסיוע </w:t>
      </w:r>
      <w:r w:rsidRPr="0073731D" w:rsidR="00BF0269">
        <w:rPr>
          <w:rFonts w:hint="eastAsia"/>
          <w:b/>
          <w:bCs/>
          <w:rtl/>
        </w:rPr>
        <w:t>של</w:t>
      </w:r>
      <w:r w:rsidRPr="0073731D">
        <w:rPr>
          <w:b/>
          <w:bCs/>
          <w:rtl/>
        </w:rPr>
        <w:t xml:space="preserve"> בנק ישראל ואגף </w:t>
      </w:r>
      <w:r w:rsidRPr="0073731D">
        <w:rPr>
          <w:rFonts w:hint="eastAsia"/>
          <w:b/>
          <w:bCs/>
          <w:rtl/>
        </w:rPr>
        <w:t>החשכ</w:t>
      </w:r>
      <w:r w:rsidRPr="0073731D">
        <w:rPr>
          <w:b/>
          <w:bCs/>
          <w:rtl/>
        </w:rPr>
        <w:t>"ל.</w:t>
      </w:r>
      <w:r w:rsidRPr="00F3377F">
        <w:rPr>
          <w:rFonts w:hint="cs"/>
          <w:b/>
          <w:bCs/>
          <w:rtl/>
        </w:rPr>
        <w:t xml:space="preserve"> </w:t>
      </w:r>
    </w:p>
    <w:p w:rsidR="00253C38" w:rsidRPr="00F3377F" w:rsidP="00982BC1" w14:paraId="3AD66C0D" w14:textId="6CF4BE9E">
      <w:pPr>
        <w:pStyle w:val="a"/>
        <w:spacing w:line="269" w:lineRule="auto"/>
        <w:rPr>
          <w:rtl/>
        </w:rPr>
      </w:pPr>
      <w:r w:rsidRPr="00F3377F">
        <w:rPr>
          <w:rtl/>
        </w:rPr>
        <w:fldChar w:fldCharType="begin"/>
      </w:r>
      <w:r w:rsidRPr="00F3377F">
        <w:rPr>
          <w:rtl/>
        </w:rPr>
        <w:instrText xml:space="preserve"> </w:instrText>
      </w:r>
      <w:r w:rsidRPr="00F3377F">
        <w:instrText>AUTONUMLGL \e  \* MERGEFORMAT</w:instrText>
      </w:r>
      <w:r w:rsidRPr="00F3377F">
        <w:rPr>
          <w:rtl/>
        </w:rPr>
        <w:instrText xml:space="preserve"> </w:instrText>
      </w:r>
      <w:r w:rsidRPr="00F3377F">
        <w:rPr>
          <w:rtl/>
        </w:rPr>
        <w:fldChar w:fldCharType="end"/>
      </w:r>
    </w:p>
    <w:p w:rsidR="00253C38" w:rsidRPr="00F3377F" w:rsidP="00982BC1" w14:paraId="4EFC0C75" w14:textId="77777777">
      <w:pPr>
        <w:spacing w:line="269" w:lineRule="auto"/>
        <w:rPr>
          <w:rtl/>
        </w:rPr>
      </w:pPr>
      <w:r w:rsidRPr="00F3377F">
        <w:rPr>
          <w:rFonts w:hint="eastAsia"/>
          <w:rtl/>
        </w:rPr>
        <w:t>מהטיפול</w:t>
      </w:r>
      <w:r w:rsidRPr="00F3377F">
        <w:rPr>
          <w:rtl/>
        </w:rPr>
        <w:t xml:space="preserve"> הממשלתי שניתן למגזר העסקי </w:t>
      </w:r>
      <w:r w:rsidRPr="00F3377F">
        <w:rPr>
          <w:rFonts w:hint="eastAsia"/>
          <w:rtl/>
        </w:rPr>
        <w:t>במהלך</w:t>
      </w:r>
      <w:r w:rsidRPr="00F3377F">
        <w:rPr>
          <w:rtl/>
        </w:rPr>
        <w:t xml:space="preserve"> המשבר בצד האשראי ובצד התקציבי, באמצעות מענקים כספיים, ניתן להפיק מידע </w:t>
      </w:r>
      <w:r>
        <w:rPr>
          <w:rFonts w:hint="cs"/>
          <w:rtl/>
        </w:rPr>
        <w:t xml:space="preserve">שעשוי </w:t>
      </w:r>
      <w:r w:rsidRPr="00F3377F">
        <w:rPr>
          <w:rtl/>
        </w:rPr>
        <w:t xml:space="preserve">לטייב את פעילות הקרנות. </w:t>
      </w:r>
      <w:r w:rsidRPr="00F3377F">
        <w:rPr>
          <w:rFonts w:hint="eastAsia"/>
          <w:rtl/>
        </w:rPr>
        <w:t>במהלך</w:t>
      </w:r>
      <w:r w:rsidRPr="00F3377F">
        <w:rPr>
          <w:rtl/>
        </w:rPr>
        <w:t xml:space="preserve"> המשבר נצבר ברשות ה</w:t>
      </w:r>
      <w:r>
        <w:rPr>
          <w:rtl/>
        </w:rPr>
        <w:t>מיסים</w:t>
      </w:r>
      <w:r w:rsidRPr="00F3377F">
        <w:rPr>
          <w:rtl/>
        </w:rPr>
        <w:t xml:space="preserve"> מידע </w:t>
      </w:r>
      <w:r>
        <w:rPr>
          <w:rFonts w:hint="cs"/>
          <w:rtl/>
        </w:rPr>
        <w:t xml:space="preserve">על </w:t>
      </w:r>
      <w:r w:rsidRPr="00F3377F">
        <w:rPr>
          <w:rtl/>
        </w:rPr>
        <w:t>אודות מקבלי המענקים והערכות בדבר פוטנציאל העסקים שזכאים להם וטרם הגישו בקשה</w:t>
      </w:r>
      <w:r>
        <w:rPr>
          <w:rStyle w:val="FootnoteReference"/>
          <w:rtl/>
        </w:rPr>
        <w:footnoteReference w:id="51"/>
      </w:r>
      <w:r w:rsidRPr="00F3377F">
        <w:rPr>
          <w:rtl/>
        </w:rPr>
        <w:t xml:space="preserve">. </w:t>
      </w:r>
      <w:r w:rsidRPr="00F3377F">
        <w:rPr>
          <w:rFonts w:hint="eastAsia"/>
          <w:rtl/>
        </w:rPr>
        <w:t>הצלבת</w:t>
      </w:r>
      <w:r w:rsidRPr="00F3377F">
        <w:rPr>
          <w:rtl/>
        </w:rPr>
        <w:t xml:space="preserve"> </w:t>
      </w:r>
      <w:r w:rsidRPr="00F3377F">
        <w:rPr>
          <w:rFonts w:hint="eastAsia"/>
          <w:rtl/>
        </w:rPr>
        <w:t>המידע</w:t>
      </w:r>
      <w:r w:rsidRPr="00F3377F">
        <w:rPr>
          <w:rtl/>
        </w:rPr>
        <w:t xml:space="preserve"> </w:t>
      </w:r>
      <w:r w:rsidRPr="00F3377F">
        <w:rPr>
          <w:rFonts w:hint="eastAsia"/>
          <w:rtl/>
        </w:rPr>
        <w:t>הקיים</w:t>
      </w:r>
      <w:r w:rsidRPr="00F3377F">
        <w:rPr>
          <w:rtl/>
        </w:rPr>
        <w:t xml:space="preserve"> </w:t>
      </w:r>
      <w:r w:rsidRPr="00F3377F">
        <w:rPr>
          <w:rFonts w:hint="eastAsia"/>
          <w:rtl/>
        </w:rPr>
        <w:t>ברשות</w:t>
      </w:r>
      <w:r w:rsidRPr="00F3377F">
        <w:rPr>
          <w:rtl/>
        </w:rPr>
        <w:t xml:space="preserve"> </w:t>
      </w:r>
      <w:r w:rsidRPr="00F3377F">
        <w:rPr>
          <w:rFonts w:hint="eastAsia"/>
          <w:rtl/>
        </w:rPr>
        <w:t>ה</w:t>
      </w:r>
      <w:r>
        <w:rPr>
          <w:rFonts w:hint="eastAsia"/>
          <w:rtl/>
        </w:rPr>
        <w:t>מיסים</w:t>
      </w:r>
      <w:r w:rsidRPr="00F3377F">
        <w:rPr>
          <w:rtl/>
        </w:rPr>
        <w:t xml:space="preserve"> </w:t>
      </w:r>
      <w:r w:rsidRPr="00F3377F">
        <w:rPr>
          <w:rFonts w:hint="eastAsia"/>
          <w:rtl/>
        </w:rPr>
        <w:t>עם</w:t>
      </w:r>
      <w:r w:rsidRPr="00F3377F">
        <w:rPr>
          <w:rtl/>
        </w:rPr>
        <w:t xml:space="preserve"> </w:t>
      </w:r>
      <w:r w:rsidRPr="00F3377F">
        <w:rPr>
          <w:rFonts w:hint="eastAsia"/>
          <w:rtl/>
        </w:rPr>
        <w:t>זה</w:t>
      </w:r>
      <w:r w:rsidRPr="00F3377F">
        <w:rPr>
          <w:rtl/>
        </w:rPr>
        <w:t xml:space="preserve"> </w:t>
      </w:r>
      <w:r w:rsidRPr="00F3377F">
        <w:rPr>
          <w:rFonts w:hint="eastAsia"/>
          <w:rtl/>
        </w:rPr>
        <w:t>הנצבר</w:t>
      </w:r>
      <w:r w:rsidRPr="00F3377F">
        <w:rPr>
          <w:rtl/>
        </w:rPr>
        <w:t xml:space="preserve"> </w:t>
      </w:r>
      <w:r w:rsidRPr="00F3377F">
        <w:rPr>
          <w:rFonts w:hint="eastAsia"/>
          <w:rtl/>
        </w:rPr>
        <w:t>מפעילות</w:t>
      </w:r>
      <w:r w:rsidRPr="00F3377F">
        <w:rPr>
          <w:rtl/>
        </w:rPr>
        <w:t xml:space="preserve"> </w:t>
      </w:r>
      <w:r w:rsidRPr="00F3377F">
        <w:rPr>
          <w:rFonts w:hint="eastAsia"/>
          <w:rtl/>
        </w:rPr>
        <w:t>הקרנות</w:t>
      </w:r>
      <w:r w:rsidRPr="00F3377F">
        <w:rPr>
          <w:rtl/>
        </w:rPr>
        <w:t xml:space="preserve"> </w:t>
      </w:r>
      <w:r w:rsidRPr="00F3377F">
        <w:rPr>
          <w:rFonts w:hint="eastAsia"/>
          <w:rtl/>
        </w:rPr>
        <w:t>באגף</w:t>
      </w:r>
      <w:r w:rsidRPr="00F3377F">
        <w:rPr>
          <w:rtl/>
        </w:rPr>
        <w:t xml:space="preserve"> </w:t>
      </w:r>
      <w:r>
        <w:rPr>
          <w:rFonts w:hint="cs"/>
          <w:rtl/>
        </w:rPr>
        <w:t>החשכ"ל</w:t>
      </w:r>
      <w:r w:rsidRPr="00F3377F">
        <w:rPr>
          <w:rtl/>
        </w:rPr>
        <w:t xml:space="preserve"> </w:t>
      </w:r>
      <w:r w:rsidRPr="00F3377F">
        <w:rPr>
          <w:rFonts w:hint="eastAsia"/>
          <w:rtl/>
        </w:rPr>
        <w:t>עשוי</w:t>
      </w:r>
      <w:r>
        <w:rPr>
          <w:rFonts w:hint="cs"/>
          <w:rtl/>
        </w:rPr>
        <w:t>ה</w:t>
      </w:r>
      <w:r w:rsidRPr="00F3377F">
        <w:rPr>
          <w:rtl/>
        </w:rPr>
        <w:t xml:space="preserve"> </w:t>
      </w:r>
      <w:r w:rsidRPr="00F3377F">
        <w:rPr>
          <w:rFonts w:hint="eastAsia"/>
          <w:rtl/>
        </w:rPr>
        <w:t>לספק</w:t>
      </w:r>
      <w:r w:rsidRPr="00F3377F">
        <w:rPr>
          <w:rtl/>
        </w:rPr>
        <w:t xml:space="preserve"> </w:t>
      </w:r>
      <w:r w:rsidRPr="00F3377F">
        <w:rPr>
          <w:rFonts w:hint="eastAsia"/>
          <w:rtl/>
        </w:rPr>
        <w:t>מידע</w:t>
      </w:r>
      <w:r w:rsidRPr="00F3377F">
        <w:rPr>
          <w:rtl/>
        </w:rPr>
        <w:t xml:space="preserve"> </w:t>
      </w:r>
      <w:r w:rsidRPr="00F3377F">
        <w:rPr>
          <w:rFonts w:hint="eastAsia"/>
          <w:rtl/>
        </w:rPr>
        <w:t>בדבר</w:t>
      </w:r>
      <w:r w:rsidRPr="00F3377F">
        <w:rPr>
          <w:rtl/>
        </w:rPr>
        <w:t xml:space="preserve"> </w:t>
      </w:r>
      <w:r w:rsidRPr="00F3377F">
        <w:rPr>
          <w:rFonts w:hint="eastAsia"/>
          <w:rtl/>
        </w:rPr>
        <w:t>קבוצות</w:t>
      </w:r>
      <w:r w:rsidRPr="00F3377F">
        <w:rPr>
          <w:rtl/>
        </w:rPr>
        <w:t xml:space="preserve"> </w:t>
      </w:r>
      <w:r w:rsidRPr="00F3377F">
        <w:rPr>
          <w:rFonts w:hint="eastAsia"/>
          <w:rtl/>
        </w:rPr>
        <w:t>עסקים</w:t>
      </w:r>
      <w:r w:rsidRPr="00F3377F">
        <w:rPr>
          <w:rtl/>
        </w:rPr>
        <w:t xml:space="preserve"> </w:t>
      </w:r>
      <w:r w:rsidRPr="00F3377F">
        <w:rPr>
          <w:rFonts w:hint="eastAsia"/>
          <w:rtl/>
        </w:rPr>
        <w:t>וענפי</w:t>
      </w:r>
      <w:r w:rsidRPr="00F3377F">
        <w:rPr>
          <w:rtl/>
        </w:rPr>
        <w:t xml:space="preserve"> </w:t>
      </w:r>
      <w:r w:rsidRPr="00F3377F">
        <w:rPr>
          <w:rFonts w:hint="eastAsia"/>
          <w:rtl/>
        </w:rPr>
        <w:t>פעילות</w:t>
      </w:r>
      <w:r w:rsidRPr="00F3377F">
        <w:rPr>
          <w:rtl/>
        </w:rPr>
        <w:t xml:space="preserve"> </w:t>
      </w:r>
      <w:r w:rsidRPr="00F3377F">
        <w:rPr>
          <w:rFonts w:hint="eastAsia"/>
          <w:rtl/>
        </w:rPr>
        <w:t>שלא</w:t>
      </w:r>
      <w:r w:rsidRPr="00F3377F">
        <w:rPr>
          <w:rtl/>
        </w:rPr>
        <w:t xml:space="preserve"> </w:t>
      </w:r>
      <w:r w:rsidRPr="00F3377F">
        <w:rPr>
          <w:rFonts w:hint="eastAsia"/>
          <w:rtl/>
        </w:rPr>
        <w:t>מימשו</w:t>
      </w:r>
      <w:r w:rsidRPr="00F3377F">
        <w:rPr>
          <w:rtl/>
        </w:rPr>
        <w:t xml:space="preserve"> </w:t>
      </w:r>
      <w:r w:rsidRPr="00F3377F">
        <w:rPr>
          <w:rFonts w:hint="eastAsia"/>
          <w:rtl/>
        </w:rPr>
        <w:t>את</w:t>
      </w:r>
      <w:r w:rsidRPr="00F3377F">
        <w:rPr>
          <w:rtl/>
        </w:rPr>
        <w:t xml:space="preserve"> </w:t>
      </w:r>
      <w:r w:rsidRPr="00F3377F">
        <w:rPr>
          <w:rFonts w:hint="eastAsia"/>
          <w:rtl/>
        </w:rPr>
        <w:t>זכותם</w:t>
      </w:r>
      <w:r w:rsidRPr="00F3377F">
        <w:rPr>
          <w:rtl/>
        </w:rPr>
        <w:t xml:space="preserve"> </w:t>
      </w:r>
      <w:r w:rsidRPr="00F3377F">
        <w:rPr>
          <w:rFonts w:hint="eastAsia"/>
          <w:rtl/>
        </w:rPr>
        <w:t>לקבל</w:t>
      </w:r>
      <w:r w:rsidRPr="00F3377F">
        <w:rPr>
          <w:rtl/>
        </w:rPr>
        <w:t xml:space="preserve"> </w:t>
      </w:r>
      <w:r w:rsidRPr="00F3377F">
        <w:rPr>
          <w:rFonts w:hint="eastAsia"/>
          <w:rtl/>
        </w:rPr>
        <w:t>מענקים</w:t>
      </w:r>
      <w:r w:rsidRPr="00F3377F">
        <w:rPr>
          <w:rtl/>
        </w:rPr>
        <w:t xml:space="preserve"> </w:t>
      </w:r>
      <w:r w:rsidRPr="00F3377F">
        <w:rPr>
          <w:rFonts w:hint="eastAsia"/>
          <w:rtl/>
        </w:rPr>
        <w:t>או</w:t>
      </w:r>
      <w:r w:rsidRPr="00F3377F">
        <w:rPr>
          <w:rtl/>
        </w:rPr>
        <w:t xml:space="preserve"> </w:t>
      </w:r>
      <w:r w:rsidRPr="00F3377F">
        <w:rPr>
          <w:rFonts w:hint="eastAsia"/>
          <w:rtl/>
        </w:rPr>
        <w:t>שלא</w:t>
      </w:r>
      <w:r w:rsidRPr="00F3377F">
        <w:rPr>
          <w:rtl/>
        </w:rPr>
        <w:t xml:space="preserve"> </w:t>
      </w:r>
      <w:r w:rsidRPr="00F3377F">
        <w:rPr>
          <w:rFonts w:hint="eastAsia"/>
          <w:rtl/>
        </w:rPr>
        <w:t>קיבלו</w:t>
      </w:r>
      <w:r w:rsidRPr="00F3377F">
        <w:rPr>
          <w:rtl/>
        </w:rPr>
        <w:t xml:space="preserve"> </w:t>
      </w:r>
      <w:r w:rsidRPr="00F3377F">
        <w:rPr>
          <w:rFonts w:hint="eastAsia"/>
          <w:rtl/>
        </w:rPr>
        <w:t>מענקים</w:t>
      </w:r>
      <w:r w:rsidRPr="00F3377F">
        <w:rPr>
          <w:rtl/>
        </w:rPr>
        <w:t xml:space="preserve"> </w:t>
      </w:r>
      <w:r w:rsidRPr="00F3377F">
        <w:rPr>
          <w:rFonts w:hint="eastAsia"/>
          <w:rtl/>
        </w:rPr>
        <w:t>מספקים</w:t>
      </w:r>
      <w:r w:rsidRPr="00F3377F">
        <w:rPr>
          <w:rtl/>
        </w:rPr>
        <w:t xml:space="preserve"> </w:t>
      </w:r>
      <w:r w:rsidRPr="00F3377F">
        <w:rPr>
          <w:rFonts w:hint="eastAsia"/>
          <w:rtl/>
        </w:rPr>
        <w:t>לצורך</w:t>
      </w:r>
      <w:r w:rsidRPr="00F3377F">
        <w:rPr>
          <w:rtl/>
        </w:rPr>
        <w:t xml:space="preserve"> </w:t>
      </w:r>
      <w:r w:rsidRPr="00F3377F">
        <w:rPr>
          <w:rFonts w:hint="eastAsia"/>
          <w:rtl/>
        </w:rPr>
        <w:t>שרידותם</w:t>
      </w:r>
      <w:r w:rsidRPr="00F3377F">
        <w:rPr>
          <w:rtl/>
        </w:rPr>
        <w:t xml:space="preserve">, </w:t>
      </w:r>
      <w:r w:rsidRPr="00F3377F">
        <w:rPr>
          <w:rFonts w:hint="eastAsia"/>
          <w:rtl/>
        </w:rPr>
        <w:t>בשים</w:t>
      </w:r>
      <w:r w:rsidRPr="00F3377F">
        <w:rPr>
          <w:rtl/>
        </w:rPr>
        <w:t xml:space="preserve"> </w:t>
      </w:r>
      <w:r w:rsidRPr="00F3377F">
        <w:rPr>
          <w:rFonts w:hint="eastAsia"/>
          <w:rtl/>
        </w:rPr>
        <w:t>לב</w:t>
      </w:r>
      <w:r w:rsidRPr="00F3377F">
        <w:rPr>
          <w:rtl/>
        </w:rPr>
        <w:t xml:space="preserve"> </w:t>
      </w:r>
      <w:r w:rsidRPr="00F3377F">
        <w:rPr>
          <w:rFonts w:hint="eastAsia"/>
          <w:rtl/>
        </w:rPr>
        <w:t>להיקף</w:t>
      </w:r>
      <w:r w:rsidRPr="00F3377F">
        <w:rPr>
          <w:rtl/>
        </w:rPr>
        <w:t xml:space="preserve"> </w:t>
      </w:r>
      <w:r w:rsidRPr="00F3377F">
        <w:rPr>
          <w:rFonts w:hint="eastAsia"/>
          <w:rtl/>
        </w:rPr>
        <w:t>האשראי</w:t>
      </w:r>
      <w:r w:rsidRPr="00F3377F">
        <w:rPr>
          <w:rtl/>
        </w:rPr>
        <w:t xml:space="preserve"> </w:t>
      </w:r>
      <w:r w:rsidRPr="00F3377F">
        <w:rPr>
          <w:rFonts w:hint="eastAsia"/>
          <w:rtl/>
        </w:rPr>
        <w:t>שהוקצה</w:t>
      </w:r>
      <w:r w:rsidRPr="00F3377F">
        <w:rPr>
          <w:rtl/>
        </w:rPr>
        <w:t xml:space="preserve"> </w:t>
      </w:r>
      <w:r w:rsidRPr="00F3377F">
        <w:rPr>
          <w:rFonts w:hint="eastAsia"/>
          <w:rtl/>
        </w:rPr>
        <w:t>להם</w:t>
      </w:r>
      <w:r w:rsidRPr="00F3377F">
        <w:rPr>
          <w:rtl/>
        </w:rPr>
        <w:t>.</w:t>
      </w:r>
    </w:p>
    <w:p w:rsidR="00253C38" w:rsidRPr="00F3377F" w:rsidP="00982BC1" w14:paraId="3676C743" w14:textId="185AA914">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P="00982BC1" w14:paraId="05C71841" w14:textId="77777777">
      <w:pPr>
        <w:spacing w:line="269" w:lineRule="auto"/>
        <w:rPr>
          <w:b/>
          <w:bCs/>
          <w:rtl/>
        </w:rPr>
      </w:pPr>
      <w:r w:rsidRPr="00F3377F">
        <w:rPr>
          <w:rFonts w:hint="eastAsia"/>
          <w:b/>
          <w:bCs/>
          <w:rtl/>
        </w:rPr>
        <w:t>הביקורת</w:t>
      </w:r>
      <w:r w:rsidRPr="00F3377F">
        <w:rPr>
          <w:b/>
          <w:bCs/>
          <w:rtl/>
        </w:rPr>
        <w:t xml:space="preserve"> </w:t>
      </w:r>
      <w:r w:rsidRPr="00F3377F">
        <w:rPr>
          <w:rFonts w:hint="eastAsia"/>
          <w:b/>
          <w:bCs/>
          <w:rtl/>
        </w:rPr>
        <w:t>העלתה</w:t>
      </w:r>
      <w:r w:rsidRPr="00F3377F">
        <w:rPr>
          <w:b/>
          <w:bCs/>
          <w:rtl/>
        </w:rPr>
        <w:t xml:space="preserve"> </w:t>
      </w:r>
      <w:r w:rsidRPr="00F3377F">
        <w:rPr>
          <w:rFonts w:hint="eastAsia"/>
          <w:b/>
          <w:bCs/>
          <w:rtl/>
        </w:rPr>
        <w:t>כי</w:t>
      </w:r>
      <w:r w:rsidRPr="00F3377F">
        <w:rPr>
          <w:b/>
          <w:bCs/>
          <w:rtl/>
        </w:rPr>
        <w:t xml:space="preserve"> </w:t>
      </w:r>
      <w:r w:rsidRPr="00F3377F">
        <w:rPr>
          <w:rFonts w:hint="eastAsia"/>
          <w:b/>
          <w:bCs/>
          <w:rtl/>
        </w:rPr>
        <w:t>לא</w:t>
      </w:r>
      <w:r w:rsidRPr="00F3377F">
        <w:rPr>
          <w:b/>
          <w:bCs/>
          <w:rtl/>
        </w:rPr>
        <w:t xml:space="preserve"> </w:t>
      </w:r>
      <w:r w:rsidRPr="00F3377F">
        <w:rPr>
          <w:rFonts w:hint="eastAsia"/>
          <w:b/>
          <w:bCs/>
          <w:rtl/>
        </w:rPr>
        <w:t>התקיי</w:t>
      </w:r>
      <w:r>
        <w:rPr>
          <w:rFonts w:hint="cs"/>
          <w:b/>
          <w:bCs/>
          <w:rtl/>
        </w:rPr>
        <w:t>ם</w:t>
      </w:r>
      <w:r w:rsidRPr="00F3377F">
        <w:rPr>
          <w:b/>
          <w:bCs/>
          <w:rtl/>
        </w:rPr>
        <w:t xml:space="preserve"> </w:t>
      </w:r>
      <w:r w:rsidRPr="00F3377F">
        <w:rPr>
          <w:rFonts w:hint="eastAsia"/>
          <w:b/>
          <w:bCs/>
          <w:rtl/>
        </w:rPr>
        <w:t>שיתו</w:t>
      </w:r>
      <w:r>
        <w:rPr>
          <w:rFonts w:hint="cs"/>
          <w:b/>
          <w:bCs/>
          <w:rtl/>
        </w:rPr>
        <w:t>ף</w:t>
      </w:r>
      <w:r w:rsidRPr="00F3377F">
        <w:rPr>
          <w:b/>
          <w:bCs/>
          <w:rtl/>
        </w:rPr>
        <w:t xml:space="preserve"> </w:t>
      </w:r>
      <w:r w:rsidRPr="00F3377F">
        <w:rPr>
          <w:rFonts w:hint="eastAsia"/>
          <w:b/>
          <w:bCs/>
          <w:rtl/>
        </w:rPr>
        <w:t>פעולה</w:t>
      </w:r>
      <w:r w:rsidRPr="00F3377F">
        <w:rPr>
          <w:b/>
          <w:bCs/>
          <w:rtl/>
        </w:rPr>
        <w:t xml:space="preserve"> </w:t>
      </w:r>
      <w:r w:rsidRPr="00F3377F">
        <w:rPr>
          <w:rFonts w:hint="eastAsia"/>
          <w:b/>
          <w:bCs/>
          <w:rtl/>
        </w:rPr>
        <w:t>לזיהוי</w:t>
      </w:r>
      <w:r w:rsidRPr="00F3377F">
        <w:rPr>
          <w:b/>
          <w:bCs/>
          <w:rtl/>
        </w:rPr>
        <w:t xml:space="preserve"> </w:t>
      </w:r>
      <w:r w:rsidRPr="00F3377F">
        <w:rPr>
          <w:rFonts w:hint="eastAsia"/>
          <w:b/>
          <w:bCs/>
          <w:rtl/>
        </w:rPr>
        <w:t>מוקדי</w:t>
      </w:r>
      <w:r w:rsidRPr="00F3377F">
        <w:rPr>
          <w:b/>
          <w:bCs/>
          <w:rtl/>
        </w:rPr>
        <w:t xml:space="preserve"> </w:t>
      </w:r>
      <w:r w:rsidRPr="00F3377F">
        <w:rPr>
          <w:rFonts w:hint="eastAsia"/>
          <w:b/>
          <w:bCs/>
          <w:rtl/>
        </w:rPr>
        <w:t>פגיעה</w:t>
      </w:r>
      <w:r w:rsidRPr="00F3377F">
        <w:rPr>
          <w:b/>
          <w:bCs/>
          <w:rtl/>
        </w:rPr>
        <w:t xml:space="preserve"> </w:t>
      </w:r>
      <w:r w:rsidRPr="00F3377F">
        <w:rPr>
          <w:rFonts w:hint="eastAsia"/>
          <w:b/>
          <w:bCs/>
          <w:rtl/>
        </w:rPr>
        <w:t>בין</w:t>
      </w:r>
      <w:r w:rsidRPr="00F3377F">
        <w:rPr>
          <w:b/>
          <w:bCs/>
          <w:rtl/>
        </w:rPr>
        <w:t xml:space="preserve"> </w:t>
      </w:r>
      <w:r w:rsidRPr="00F3377F">
        <w:rPr>
          <w:rFonts w:hint="eastAsia"/>
          <w:b/>
          <w:bCs/>
          <w:rtl/>
        </w:rPr>
        <w:t>רשות</w:t>
      </w:r>
      <w:r w:rsidRPr="00F3377F">
        <w:rPr>
          <w:b/>
          <w:bCs/>
          <w:rtl/>
        </w:rPr>
        <w:t xml:space="preserve"> </w:t>
      </w:r>
      <w:r w:rsidRPr="00F3377F">
        <w:rPr>
          <w:rFonts w:hint="eastAsia"/>
          <w:b/>
          <w:bCs/>
          <w:rtl/>
        </w:rPr>
        <w:t>ה</w:t>
      </w:r>
      <w:r>
        <w:rPr>
          <w:rFonts w:hint="eastAsia"/>
          <w:b/>
          <w:bCs/>
          <w:rtl/>
        </w:rPr>
        <w:t>מיסים</w:t>
      </w:r>
      <w:r w:rsidRPr="00F3377F">
        <w:rPr>
          <w:b/>
          <w:bCs/>
          <w:rtl/>
        </w:rPr>
        <w:t xml:space="preserve"> </w:t>
      </w:r>
      <w:r w:rsidRPr="00F3377F">
        <w:rPr>
          <w:rFonts w:hint="eastAsia"/>
          <w:b/>
          <w:bCs/>
          <w:rtl/>
        </w:rPr>
        <w:t>לאגף</w:t>
      </w:r>
      <w:r w:rsidRPr="00F3377F">
        <w:rPr>
          <w:b/>
          <w:bCs/>
          <w:rtl/>
        </w:rPr>
        <w:t xml:space="preserve"> </w:t>
      </w:r>
      <w:r>
        <w:rPr>
          <w:rFonts w:hint="cs"/>
          <w:b/>
          <w:bCs/>
          <w:rtl/>
        </w:rPr>
        <w:t>החשכ"ל</w:t>
      </w:r>
      <w:r w:rsidRPr="00F3377F">
        <w:rPr>
          <w:b/>
          <w:bCs/>
          <w:rtl/>
        </w:rPr>
        <w:t xml:space="preserve"> </w:t>
      </w:r>
      <w:r>
        <w:rPr>
          <w:rFonts w:hint="cs"/>
          <w:b/>
          <w:bCs/>
          <w:rtl/>
        </w:rPr>
        <w:t>במטרה</w:t>
      </w:r>
      <w:r w:rsidRPr="00F3377F">
        <w:rPr>
          <w:b/>
          <w:bCs/>
          <w:rtl/>
        </w:rPr>
        <w:t xml:space="preserve"> </w:t>
      </w:r>
      <w:r w:rsidRPr="00F3377F">
        <w:rPr>
          <w:rFonts w:hint="eastAsia"/>
          <w:b/>
          <w:bCs/>
          <w:rtl/>
        </w:rPr>
        <w:t>לטייב</w:t>
      </w:r>
      <w:r w:rsidRPr="00F3377F">
        <w:rPr>
          <w:b/>
          <w:bCs/>
          <w:rtl/>
        </w:rPr>
        <w:t xml:space="preserve"> </w:t>
      </w:r>
      <w:r w:rsidRPr="00F3377F">
        <w:rPr>
          <w:rFonts w:hint="eastAsia"/>
          <w:b/>
          <w:bCs/>
          <w:rtl/>
        </w:rPr>
        <w:t>את</w:t>
      </w:r>
      <w:r w:rsidRPr="00F3377F">
        <w:rPr>
          <w:b/>
          <w:bCs/>
          <w:rtl/>
        </w:rPr>
        <w:t xml:space="preserve"> </w:t>
      </w:r>
      <w:r w:rsidRPr="00F3377F">
        <w:rPr>
          <w:rFonts w:hint="eastAsia"/>
          <w:b/>
          <w:bCs/>
          <w:rtl/>
        </w:rPr>
        <w:t>פעילות</w:t>
      </w:r>
      <w:r w:rsidRPr="00F3377F">
        <w:rPr>
          <w:b/>
          <w:bCs/>
          <w:rtl/>
        </w:rPr>
        <w:t xml:space="preserve"> </w:t>
      </w:r>
      <w:r w:rsidRPr="00F3377F">
        <w:rPr>
          <w:rFonts w:hint="eastAsia"/>
          <w:b/>
          <w:bCs/>
          <w:rtl/>
        </w:rPr>
        <w:t>הקרנות</w:t>
      </w:r>
      <w:r w:rsidRPr="00F3377F">
        <w:rPr>
          <w:b/>
          <w:bCs/>
          <w:rtl/>
        </w:rPr>
        <w:t xml:space="preserve"> </w:t>
      </w:r>
      <w:r w:rsidRPr="00F3377F">
        <w:rPr>
          <w:rFonts w:hint="eastAsia"/>
          <w:b/>
          <w:bCs/>
          <w:rtl/>
        </w:rPr>
        <w:t>ואת</w:t>
      </w:r>
      <w:r w:rsidRPr="00F3377F">
        <w:rPr>
          <w:b/>
          <w:bCs/>
          <w:rtl/>
        </w:rPr>
        <w:t xml:space="preserve"> </w:t>
      </w:r>
      <w:r w:rsidRPr="00F3377F">
        <w:rPr>
          <w:rFonts w:hint="eastAsia"/>
          <w:b/>
          <w:bCs/>
          <w:rtl/>
        </w:rPr>
        <w:t>פעילותה</w:t>
      </w:r>
      <w:r w:rsidRPr="00F3377F">
        <w:rPr>
          <w:b/>
          <w:bCs/>
          <w:rtl/>
        </w:rPr>
        <w:t xml:space="preserve"> </w:t>
      </w:r>
      <w:r w:rsidRPr="00F3377F">
        <w:rPr>
          <w:rFonts w:hint="eastAsia"/>
          <w:b/>
          <w:bCs/>
          <w:rtl/>
        </w:rPr>
        <w:t>של</w:t>
      </w:r>
      <w:r w:rsidRPr="00F3377F">
        <w:rPr>
          <w:b/>
          <w:bCs/>
          <w:rtl/>
        </w:rPr>
        <w:t xml:space="preserve"> </w:t>
      </w:r>
      <w:r w:rsidRPr="00F3377F">
        <w:rPr>
          <w:rFonts w:hint="eastAsia"/>
          <w:b/>
          <w:bCs/>
          <w:rtl/>
        </w:rPr>
        <w:t>רשות</w:t>
      </w:r>
      <w:r w:rsidRPr="00F3377F">
        <w:rPr>
          <w:b/>
          <w:bCs/>
          <w:rtl/>
        </w:rPr>
        <w:t xml:space="preserve"> </w:t>
      </w:r>
      <w:r w:rsidRPr="00F3377F">
        <w:rPr>
          <w:rFonts w:hint="eastAsia"/>
          <w:b/>
          <w:bCs/>
          <w:rtl/>
        </w:rPr>
        <w:t>ה</w:t>
      </w:r>
      <w:r>
        <w:rPr>
          <w:rFonts w:hint="eastAsia"/>
          <w:b/>
          <w:bCs/>
          <w:rtl/>
        </w:rPr>
        <w:t>מיסים</w:t>
      </w:r>
      <w:r w:rsidRPr="00F3377F">
        <w:rPr>
          <w:b/>
          <w:bCs/>
          <w:rtl/>
        </w:rPr>
        <w:t>.</w:t>
      </w:r>
    </w:p>
    <w:p w:rsidR="00253C38" w:rsidP="00982BC1" w14:paraId="41FA30F5"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B27835" w:rsidP="00982BC1" w14:paraId="3634FB73" w14:textId="77777777">
      <w:pPr>
        <w:spacing w:line="269" w:lineRule="auto"/>
        <w:rPr>
          <w:rtl/>
        </w:rPr>
      </w:pPr>
      <w:r>
        <w:rPr>
          <w:rFonts w:hint="cs"/>
          <w:rtl/>
        </w:rPr>
        <w:t xml:space="preserve">רשות המיסים כתבה למשרד מבקר </w:t>
      </w:r>
      <w:r w:rsidRPr="00390D24">
        <w:rPr>
          <w:rFonts w:hint="cs"/>
          <w:rtl/>
        </w:rPr>
        <w:t>המדינה ב-</w:t>
      </w:r>
      <w:r w:rsidRPr="00390D24">
        <w:rPr>
          <w:rtl/>
        </w:rPr>
        <w:t>2.3.21</w:t>
      </w:r>
      <w:r w:rsidRPr="00390D24">
        <w:rPr>
          <w:rFonts w:hint="cs"/>
          <w:rtl/>
        </w:rPr>
        <w:t xml:space="preserve"> כי "</w:t>
      </w:r>
      <w:r>
        <w:rPr>
          <w:rtl/>
        </w:rPr>
        <w:t>מענק הוצאות קבועות מבוסס על נתונים שקיימים ברשות המיסים</w:t>
      </w:r>
      <w:r>
        <w:rPr>
          <w:rFonts w:hint="cs"/>
          <w:rtl/>
        </w:rPr>
        <w:t>.</w:t>
      </w:r>
      <w:r>
        <w:rPr>
          <w:rtl/>
        </w:rPr>
        <w:t xml:space="preserve"> לאור כך, לא היה צורך בקבלת מידע מהחשכ״ל לצורך בקרה על חלוקת מענקים</w:t>
      </w:r>
      <w:r>
        <w:rPr>
          <w:rFonts w:hint="cs"/>
          <w:rtl/>
        </w:rPr>
        <w:t>".</w:t>
      </w:r>
    </w:p>
    <w:p w:rsidR="00253C38" w:rsidRPr="00FC7CDE" w:rsidP="00982BC1" w14:paraId="299F3974" w14:textId="3BD4923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C6BE657" w14:textId="64AC7CE8">
      <w:pPr>
        <w:spacing w:line="269" w:lineRule="auto"/>
        <w:rPr>
          <w:b/>
          <w:bCs/>
          <w:rtl/>
        </w:rPr>
      </w:pPr>
      <w:r>
        <w:rPr>
          <w:rFonts w:hint="cs"/>
          <w:b/>
          <w:bCs/>
          <w:rtl/>
        </w:rPr>
        <w:t xml:space="preserve">מומלץ </w:t>
      </w:r>
      <w:r w:rsidRPr="00E50704">
        <w:rPr>
          <w:rFonts w:hint="cs"/>
          <w:b/>
          <w:bCs/>
          <w:rtl/>
        </w:rPr>
        <w:t>לטייב את שיתוף הפעולה בין</w:t>
      </w:r>
      <w:r>
        <w:rPr>
          <w:rFonts w:hint="cs"/>
          <w:b/>
          <w:bCs/>
          <w:rtl/>
        </w:rPr>
        <w:t xml:space="preserve"> החשכ"ל לבין בנק ישראל ורשות המיסים </w:t>
      </w:r>
      <w:r w:rsidRPr="00E50704">
        <w:rPr>
          <w:rFonts w:hint="cs"/>
          <w:b/>
          <w:bCs/>
          <w:rtl/>
        </w:rPr>
        <w:t>ולבחון יחדיו את חבילת הסיוע הכוללת שניתנה לציבור</w:t>
      </w:r>
      <w:r>
        <w:rPr>
          <w:rFonts w:hint="cs"/>
          <w:b/>
          <w:bCs/>
          <w:rtl/>
        </w:rPr>
        <w:t xml:space="preserve">, </w:t>
      </w:r>
      <w:r w:rsidRPr="00E50704">
        <w:rPr>
          <w:rFonts w:hint="cs"/>
          <w:b/>
          <w:bCs/>
          <w:rtl/>
        </w:rPr>
        <w:t>בשים לב ליחס</w:t>
      </w:r>
      <w:r>
        <w:rPr>
          <w:rFonts w:hint="cs"/>
          <w:b/>
          <w:bCs/>
          <w:rtl/>
        </w:rPr>
        <w:t>י</w:t>
      </w:r>
      <w:r w:rsidRPr="00E50704">
        <w:rPr>
          <w:rFonts w:hint="cs"/>
          <w:b/>
          <w:bCs/>
          <w:rtl/>
        </w:rPr>
        <w:t xml:space="preserve"> הגומלין בין אשראי למענקים, לענפים שנפגעו ולעוצמת הפגיעה.</w:t>
      </w:r>
    </w:p>
    <w:p w:rsidR="00E065A2" w:rsidRPr="00E50704" w:rsidP="00982BC1" w14:paraId="4840C64B" w14:textId="77777777">
      <w:pPr>
        <w:spacing w:line="269" w:lineRule="auto"/>
        <w:rPr>
          <w:b/>
          <w:bCs/>
        </w:rPr>
      </w:pPr>
    </w:p>
    <w:p w:rsidR="00253C38" w:rsidP="00982BC1" w14:paraId="32707139" w14:textId="77777777">
      <w:pPr>
        <w:pStyle w:val="Heading4"/>
        <w:spacing w:before="0" w:line="269" w:lineRule="auto"/>
        <w:rPr>
          <w:rtl/>
        </w:rPr>
      </w:pPr>
      <w:r>
        <w:rPr>
          <w:rFonts w:hint="cs"/>
          <w:rtl/>
        </w:rPr>
        <w:t>מחיר האשראי</w:t>
      </w:r>
    </w:p>
    <w:p w:rsidR="006D0C75" w:rsidP="00982BC1" w14:paraId="18DD3BF1" w14:textId="793CB68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EB4547A" w14:textId="2582755D">
      <w:pPr>
        <w:spacing w:line="269" w:lineRule="auto"/>
        <w:rPr>
          <w:rtl/>
        </w:rPr>
      </w:pPr>
      <w:r>
        <w:rPr>
          <w:rFonts w:hint="cs"/>
          <w:rtl/>
        </w:rPr>
        <w:t>לצד הגידול הניכר בביקוש לאשראי במהלך המשבר תועדו שינויים במחיר האשראי הבנקאי לציבור. הריבית על האשראי הבנקאי מושפעת מארבעה גורמים עיקריים: (א) עלות גיוס המקורות של הבנקים (המרווח בין תשואות אג"ח בנקאיות לאג"ח ממשלתיות מקבילות); (ב)</w:t>
      </w:r>
      <w:r>
        <w:rPr>
          <w:rFonts w:hint="cs"/>
        </w:rPr>
        <w:t xml:space="preserve"> </w:t>
      </w:r>
      <w:r>
        <w:rPr>
          <w:rFonts w:hint="cs"/>
          <w:rtl/>
        </w:rPr>
        <w:t>פרמיית הסיכון של נוטל ההלוואה; (ג) הריבית חסרת הסיכון במשק לטווח הרלוונטי (ריבית בנק ישראל לטווחי אשראי קצרים ותשואות אג"ח ממשלתיות לטווחים ארוכים); (ד)</w:t>
      </w:r>
      <w:r>
        <w:rPr>
          <w:rFonts w:hint="cs"/>
        </w:rPr>
        <w:t xml:space="preserve"> </w:t>
      </w:r>
      <w:r>
        <w:rPr>
          <w:rFonts w:hint="cs"/>
          <w:rtl/>
        </w:rPr>
        <w:t>מרווח נוסף, המושפע בין היתר מרמת התחרות בשוק</w:t>
      </w:r>
      <w:r>
        <w:rPr>
          <w:rStyle w:val="FootnoteReference"/>
          <w:rtl/>
        </w:rPr>
        <w:footnoteReference w:id="52"/>
      </w:r>
      <w:r>
        <w:rPr>
          <w:rFonts w:hint="cs"/>
          <w:rtl/>
        </w:rPr>
        <w:t>.</w:t>
      </w:r>
    </w:p>
    <w:p w:rsidR="00253C38" w:rsidP="00982BC1" w14:paraId="07198BB7" w14:textId="2189329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A119237" w14:textId="77777777">
      <w:pPr>
        <w:spacing w:line="269" w:lineRule="auto"/>
        <w:rPr>
          <w:rtl/>
        </w:rPr>
      </w:pPr>
      <w:r>
        <w:rPr>
          <w:rFonts w:hint="cs"/>
          <w:rtl/>
        </w:rPr>
        <w:t>בעק</w:t>
      </w:r>
      <w:r w:rsidRPr="00390D24">
        <w:rPr>
          <w:rFonts w:hint="cs"/>
          <w:rtl/>
        </w:rPr>
        <w:t>בות מכלול השפעות המשבר על המשק, גדל סיכון הלווים באופן מהותי וחלה התייקרות בעלויות מקורות המימון של המערכת הבנקאית, שגרמו יחדי</w:t>
      </w:r>
      <w:r>
        <w:rPr>
          <w:rFonts w:hint="cs"/>
          <w:rtl/>
        </w:rPr>
        <w:t>ו לעליית מחירי האשראי למשקי הבית ולעסקים. הגידול במספר המובטלים וצמצום היקפי המסחר הגדילו את הסיכון לאי-עמידה בהחזר ההלוואות ואת הסיכון הגלום בהעמדת אשראי נוסף. בד בבד חלה עלייה בתשואות אג"ח ממשלתיות ובמרווחי אג"ח בנקאיות שהגדילו את עלויות המימון של המערכת הבנקאית</w:t>
      </w:r>
      <w:r>
        <w:rPr>
          <w:rStyle w:val="FootnoteReference"/>
          <w:rtl/>
        </w:rPr>
        <w:footnoteReference w:id="53"/>
      </w:r>
      <w:r>
        <w:rPr>
          <w:rFonts w:hint="cs"/>
          <w:rtl/>
        </w:rPr>
        <w:t xml:space="preserve">, כפי שניתן לראות בתרשים </w:t>
      </w:r>
      <w:r w:rsidR="00390D24">
        <w:rPr>
          <w:rFonts w:hint="cs"/>
          <w:rtl/>
        </w:rPr>
        <w:t>35</w:t>
      </w:r>
      <w:r>
        <w:rPr>
          <w:rFonts w:hint="cs"/>
          <w:rtl/>
        </w:rPr>
        <w:t xml:space="preserve"> להלן.</w:t>
      </w:r>
    </w:p>
    <w:p w:rsidR="00E065A2" w14:paraId="0CCF5890" w14:textId="77777777">
      <w:pPr>
        <w:bidi w:val="0"/>
        <w:spacing w:after="200" w:line="276" w:lineRule="auto"/>
        <w:rPr>
          <w:szCs w:val="20"/>
          <w:rtl/>
        </w:rPr>
      </w:pPr>
      <w:r>
        <w:rPr>
          <w:rtl/>
        </w:rPr>
        <w:br w:type="page"/>
      </w:r>
    </w:p>
    <w:p w:rsidR="00253C38" w:rsidP="00982BC1" w14:paraId="0F2344AA" w14:textId="6B894956">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171E93" w:rsidP="00982BC1" w14:paraId="570DEAD3" w14:textId="77777777">
      <w:pPr>
        <w:spacing w:line="269" w:lineRule="auto"/>
        <w:jc w:val="center"/>
        <w:rPr>
          <w:b/>
          <w:bCs/>
          <w:rtl/>
        </w:rPr>
      </w:pPr>
      <w:r w:rsidRPr="00171E93">
        <w:rPr>
          <w:rFonts w:hint="eastAsia"/>
          <w:b/>
          <w:bCs/>
          <w:rtl/>
        </w:rPr>
        <w:t>תרשים</w:t>
      </w:r>
      <w:r w:rsidRPr="00171E93">
        <w:rPr>
          <w:b/>
          <w:bCs/>
          <w:rtl/>
        </w:rPr>
        <w:t xml:space="preserve"> </w:t>
      </w:r>
      <w:r w:rsidR="00A31934">
        <w:rPr>
          <w:rFonts w:hint="cs"/>
          <w:b/>
          <w:bCs/>
          <w:rtl/>
        </w:rPr>
        <w:t>35</w:t>
      </w:r>
      <w:r w:rsidRPr="00171E93">
        <w:rPr>
          <w:b/>
          <w:bCs/>
          <w:rtl/>
        </w:rPr>
        <w:t xml:space="preserve">: תשואות אג"ח ממשלתיות </w:t>
      </w:r>
      <w:r w:rsidRPr="001736C5">
        <w:rPr>
          <w:rFonts w:hint="cs"/>
          <w:b/>
          <w:bCs/>
          <w:rtl/>
        </w:rPr>
        <w:t>נומינליות</w:t>
      </w:r>
      <w:r w:rsidRPr="00171E93">
        <w:rPr>
          <w:b/>
          <w:bCs/>
          <w:rtl/>
        </w:rPr>
        <w:t xml:space="preserve"> ל-5 שנים ול-10 שנים, והמרווח הממוצע של אג"ח בנקאיות, </w:t>
      </w:r>
      <w:r w:rsidRPr="001736C5">
        <w:rPr>
          <w:rFonts w:hint="cs"/>
          <w:b/>
          <w:bCs/>
          <w:rtl/>
        </w:rPr>
        <w:t>ינואר - מרץ 2020</w:t>
      </w:r>
      <w:r>
        <w:rPr>
          <w:rFonts w:hint="cs"/>
          <w:b/>
          <w:bCs/>
          <w:rtl/>
        </w:rPr>
        <w:t xml:space="preserve"> </w:t>
      </w:r>
      <w:r w:rsidRPr="001736C5">
        <w:rPr>
          <w:rFonts w:hint="cs"/>
          <w:b/>
          <w:bCs/>
          <w:rtl/>
        </w:rPr>
        <w:t>(</w:t>
      </w:r>
      <w:r w:rsidRPr="00171E93">
        <w:rPr>
          <w:rFonts w:hint="eastAsia"/>
          <w:b/>
          <w:bCs/>
          <w:rtl/>
        </w:rPr>
        <w:t>באחוזים</w:t>
      </w:r>
      <w:r w:rsidRPr="001736C5">
        <w:rPr>
          <w:rFonts w:hint="cs"/>
          <w:b/>
          <w:bCs/>
          <w:rtl/>
        </w:rPr>
        <w:t>)</w:t>
      </w:r>
    </w:p>
    <w:p w:rsidR="00253C38" w:rsidP="00982BC1" w14:paraId="4BF67BEA" w14:textId="77777777">
      <w:pPr>
        <w:spacing w:line="269" w:lineRule="auto"/>
        <w:ind w:left="-1417"/>
        <w:jc w:val="center"/>
        <w:rPr>
          <w:rtl/>
        </w:rPr>
      </w:pPr>
      <w:r>
        <w:rPr>
          <w:noProof/>
        </w:rPr>
        <w:drawing>
          <wp:inline distT="0" distB="0" distL="0" distR="0">
            <wp:extent cx="7011670" cy="3868829"/>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3701" name="Picture 4"/>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243128" cy="3996541"/>
                    </a:xfrm>
                    <a:prstGeom prst="rect">
                      <a:avLst/>
                    </a:prstGeom>
                    <a:noFill/>
                    <a:ln>
                      <a:noFill/>
                    </a:ln>
                  </pic:spPr>
                </pic:pic>
              </a:graphicData>
            </a:graphic>
          </wp:inline>
        </w:drawing>
      </w:r>
    </w:p>
    <w:p w:rsidR="00253C38" w:rsidRPr="00E065A2" w:rsidP="00982BC1" w14:paraId="49FCA2FD" w14:textId="77777777">
      <w:pPr>
        <w:spacing w:line="269" w:lineRule="auto"/>
        <w:rPr>
          <w:sz w:val="18"/>
          <w:szCs w:val="22"/>
          <w:rtl/>
        </w:rPr>
      </w:pPr>
      <w:r w:rsidRPr="00E065A2">
        <w:rPr>
          <w:rFonts w:hint="cs"/>
          <w:sz w:val="18"/>
          <w:szCs w:val="22"/>
          <w:rtl/>
        </w:rPr>
        <w:t>המקור: הפיקוח על הבנקים.</w:t>
      </w:r>
    </w:p>
    <w:p w:rsidR="00253C38" w:rsidP="00982BC1" w14:paraId="7C059BB9" w14:textId="33B8F55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E3403E9" w14:textId="77777777">
      <w:pPr>
        <w:spacing w:line="269" w:lineRule="auto"/>
        <w:rPr>
          <w:rtl/>
        </w:rPr>
      </w:pPr>
      <w:r>
        <w:rPr>
          <w:rFonts w:hint="cs"/>
          <w:rtl/>
        </w:rPr>
        <w:t>בנק ישראל פנה למערכת הבנקאית בציפייה לתמחור ההלוואות אגב שיקוף הגידול בסיכון ובעלות גיוס המקורות, והימנעות מהעלאת ריביות מעבר לנגזר מכך. הוועדה המוניטרית הפעילה כלים מוניטריים כדי להבטיח את פעילותם התקינה של השווקים הפיננסיים ולהקל את צורכי המימון של המגזר העסקי ושל משקי הבית. בהתאם, החליטה הוועדה המוניטרית</w:t>
      </w:r>
      <w:r>
        <w:rPr>
          <w:rFonts w:hint="cs"/>
        </w:rPr>
        <w:t xml:space="preserve"> </w:t>
      </w:r>
      <w:r>
        <w:rPr>
          <w:rFonts w:hint="cs"/>
          <w:rtl/>
        </w:rPr>
        <w:t xml:space="preserve">להתערב במסחר אג"ח ממשלתיות בשוק המשני, וביום </w:t>
      </w:r>
      <w:r w:rsidRPr="00A31934">
        <w:rPr>
          <w:rtl/>
        </w:rPr>
        <w:t>23.3.20</w:t>
      </w:r>
      <w:r>
        <w:rPr>
          <w:rFonts w:hint="cs"/>
          <w:rtl/>
        </w:rPr>
        <w:t xml:space="preserve"> השיקה תוכנית לרכישת אג"ח ממשלתיות בשוק המשני בהיקף של 50 מיליארד ש"ח</w:t>
      </w:r>
      <w:r>
        <w:rPr>
          <w:rStyle w:val="FootnoteReference"/>
          <w:rtl/>
        </w:rPr>
        <w:footnoteReference w:id="54"/>
      </w:r>
      <w:r>
        <w:rPr>
          <w:rFonts w:hint="cs"/>
          <w:rtl/>
        </w:rPr>
        <w:t>, במטרה להקל את תנאי האשראי במשק ולתמוך בפעילות הכלכלית וביציבות הפיננסית. ב-</w:t>
      </w:r>
      <w:r w:rsidRPr="00A31934">
        <w:rPr>
          <w:rtl/>
        </w:rPr>
        <w:t>6.4.20</w:t>
      </w:r>
      <w:r>
        <w:rPr>
          <w:rFonts w:hint="cs"/>
          <w:rtl/>
        </w:rPr>
        <w:t xml:space="preserve"> החליטה הוועדה להפחית את הריבית המוניטרית ב-0.15 נקודות אחוז לרמה של 0.1%. הפעולה נועדה, בין היתר, לתמוך בהפחתת עלויות המימון של משקי הבית והעסקים ולתמוך בהתאוששות הפעילות הכלכלית. תרשים </w:t>
      </w:r>
      <w:r w:rsidR="00A31934">
        <w:rPr>
          <w:rFonts w:hint="cs"/>
          <w:rtl/>
        </w:rPr>
        <w:t>36</w:t>
      </w:r>
      <w:r>
        <w:rPr>
          <w:rFonts w:hint="cs"/>
          <w:rtl/>
        </w:rPr>
        <w:t xml:space="preserve"> להלן מציג את השינויים במחירי האשראי הבנקאי במהלך חודשי המשבר.</w:t>
      </w:r>
    </w:p>
    <w:p w:rsidR="00E065A2" w14:paraId="6071837E" w14:textId="77777777">
      <w:pPr>
        <w:bidi w:val="0"/>
        <w:spacing w:after="200" w:line="276" w:lineRule="auto"/>
        <w:rPr>
          <w:szCs w:val="20"/>
          <w:rtl/>
        </w:rPr>
      </w:pPr>
      <w:r>
        <w:rPr>
          <w:rtl/>
        </w:rPr>
        <w:br w:type="page"/>
      </w:r>
    </w:p>
    <w:p w:rsidR="00A31934" w:rsidP="00982BC1" w14:paraId="2C86FDA7" w14:textId="29CAB43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1BDBAD2" w14:textId="77777777">
      <w:pPr>
        <w:spacing w:line="269" w:lineRule="auto"/>
        <w:jc w:val="center"/>
        <w:rPr>
          <w:rtl/>
        </w:rPr>
      </w:pPr>
      <w:r w:rsidRPr="00171E93">
        <w:rPr>
          <w:rFonts w:hint="eastAsia"/>
          <w:b/>
          <w:bCs/>
          <w:rtl/>
        </w:rPr>
        <w:t>תרשים</w:t>
      </w:r>
      <w:r w:rsidRPr="00171E93">
        <w:rPr>
          <w:b/>
          <w:bCs/>
          <w:rtl/>
        </w:rPr>
        <w:t xml:space="preserve"> </w:t>
      </w:r>
      <w:r w:rsidR="00A31934">
        <w:rPr>
          <w:rFonts w:hint="cs"/>
          <w:b/>
          <w:bCs/>
          <w:rtl/>
        </w:rPr>
        <w:t>36</w:t>
      </w:r>
      <w:r w:rsidRPr="00171E93">
        <w:rPr>
          <w:b/>
          <w:bCs/>
          <w:rtl/>
        </w:rPr>
        <w:t xml:space="preserve">: שיעור הריבית באשראי לא צמוד לזמן קצוב שניתן במהלך החודש לפי מגזר הפעילות, </w:t>
      </w:r>
      <w:r w:rsidRPr="00FA1A8C">
        <w:rPr>
          <w:rFonts w:hint="cs"/>
          <w:b/>
          <w:bCs/>
          <w:rtl/>
        </w:rPr>
        <w:t>אוגוסט 2019 - ספטמבר 2020 (</w:t>
      </w:r>
      <w:r w:rsidRPr="00171E93">
        <w:rPr>
          <w:rFonts w:hint="eastAsia"/>
          <w:b/>
          <w:bCs/>
          <w:rtl/>
        </w:rPr>
        <w:t>באחוזים</w:t>
      </w:r>
      <w:r w:rsidRPr="00FA1A8C">
        <w:rPr>
          <w:rFonts w:hint="cs"/>
          <w:b/>
          <w:bCs/>
          <w:rtl/>
        </w:rPr>
        <w:t>)</w:t>
      </w:r>
      <w:r>
        <w:rPr>
          <w:rFonts w:hint="cs"/>
          <w:rtl/>
        </w:rPr>
        <w:t xml:space="preserve"> </w:t>
      </w:r>
    </w:p>
    <w:p w:rsidR="00253C38" w:rsidRPr="00637B3B" w:rsidP="00982BC1" w14:paraId="76B4EB3E" w14:textId="77777777">
      <w:pPr>
        <w:spacing w:line="269" w:lineRule="auto"/>
        <w:ind w:left="-851"/>
        <w:jc w:val="center"/>
        <w:rPr>
          <w:rtl/>
        </w:rPr>
      </w:pPr>
      <w:r>
        <w:rPr>
          <w:noProof/>
        </w:rPr>
        <w:drawing>
          <wp:inline distT="0" distB="0" distL="0" distR="0">
            <wp:extent cx="6596476" cy="3826650"/>
            <wp:effectExtent l="0" t="0" r="0" b="254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91529" name=""/>
                    <pic:cNvPicPr/>
                  </pic:nvPicPr>
                  <pic:blipFill>
                    <a:blip xmlns:r="http://schemas.openxmlformats.org/officeDocument/2006/relationships" r:embed="rId45"/>
                    <a:stretch>
                      <a:fillRect/>
                    </a:stretch>
                  </pic:blipFill>
                  <pic:spPr>
                    <a:xfrm>
                      <a:off x="0" y="0"/>
                      <a:ext cx="6616273" cy="3838134"/>
                    </a:xfrm>
                    <a:prstGeom prst="rect">
                      <a:avLst/>
                    </a:prstGeom>
                  </pic:spPr>
                </pic:pic>
              </a:graphicData>
            </a:graphic>
          </wp:inline>
        </w:drawing>
      </w:r>
    </w:p>
    <w:p w:rsidR="00253C38" w:rsidRPr="00E065A2" w:rsidP="00982BC1" w14:paraId="15B1AB61" w14:textId="77777777">
      <w:pPr>
        <w:spacing w:line="269" w:lineRule="auto"/>
        <w:rPr>
          <w:sz w:val="18"/>
          <w:szCs w:val="22"/>
          <w:rtl/>
        </w:rPr>
      </w:pPr>
      <w:r w:rsidRPr="00E065A2">
        <w:rPr>
          <w:rFonts w:hint="cs"/>
          <w:sz w:val="18"/>
          <w:szCs w:val="22"/>
          <w:rtl/>
        </w:rPr>
        <w:t>נתוני הפיקוח על הבנקים, בעיבוד משרד מבקר המדינה.</w:t>
      </w:r>
    </w:p>
    <w:p w:rsidR="00253C38" w:rsidP="00982BC1" w14:paraId="5C085378" w14:textId="1C56D1DF">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6771B61" w14:textId="77777777">
      <w:pPr>
        <w:spacing w:line="269" w:lineRule="auto"/>
        <w:rPr>
          <w:rtl/>
        </w:rPr>
      </w:pPr>
      <w:r w:rsidRPr="00F3377F">
        <w:rPr>
          <w:rFonts w:hint="eastAsia"/>
          <w:b/>
          <w:bCs/>
          <w:rtl/>
        </w:rPr>
        <w:t>מתרשים</w:t>
      </w:r>
      <w:r>
        <w:rPr>
          <w:rFonts w:hint="cs"/>
          <w:b/>
          <w:bCs/>
          <w:rtl/>
        </w:rPr>
        <w:t xml:space="preserve"> </w:t>
      </w:r>
      <w:r w:rsidR="00A31934">
        <w:rPr>
          <w:rFonts w:hint="cs"/>
          <w:b/>
          <w:bCs/>
          <w:rtl/>
        </w:rPr>
        <w:t>36</w:t>
      </w:r>
      <w:r w:rsidRPr="00F3377F">
        <w:rPr>
          <w:b/>
          <w:bCs/>
          <w:rtl/>
        </w:rPr>
        <w:t xml:space="preserve"> ניכר כי למרות העלייה בסיכון לא נרשמה עלייה במחירי האשראי ברוב מגזרי הפעילות, ובחלקם </w:t>
      </w:r>
      <w:r>
        <w:rPr>
          <w:rFonts w:hint="cs"/>
          <w:b/>
          <w:bCs/>
          <w:rtl/>
        </w:rPr>
        <w:t xml:space="preserve">אף </w:t>
      </w:r>
      <w:r w:rsidRPr="00F3377F">
        <w:rPr>
          <w:rFonts w:hint="eastAsia"/>
          <w:b/>
          <w:bCs/>
          <w:rtl/>
        </w:rPr>
        <w:t>תועדה</w:t>
      </w:r>
      <w:r w:rsidRPr="00F3377F">
        <w:rPr>
          <w:b/>
          <w:bCs/>
          <w:rtl/>
        </w:rPr>
        <w:t xml:space="preserve"> </w:t>
      </w:r>
      <w:r w:rsidRPr="00F3377F">
        <w:rPr>
          <w:rFonts w:hint="eastAsia"/>
          <w:b/>
          <w:bCs/>
          <w:rtl/>
        </w:rPr>
        <w:t>מגמת</w:t>
      </w:r>
      <w:r w:rsidRPr="00F3377F">
        <w:rPr>
          <w:b/>
          <w:bCs/>
          <w:rtl/>
        </w:rPr>
        <w:t xml:space="preserve"> ירידה</w:t>
      </w:r>
      <w:r>
        <w:rPr>
          <w:rStyle w:val="FootnoteReference"/>
          <w:b/>
          <w:bCs/>
          <w:rtl/>
        </w:rPr>
        <w:footnoteReference w:id="55"/>
      </w:r>
      <w:r w:rsidRPr="00F3377F">
        <w:rPr>
          <w:b/>
          <w:bCs/>
          <w:rtl/>
        </w:rPr>
        <w:t>.</w:t>
      </w:r>
      <w:r>
        <w:rPr>
          <w:rFonts w:hint="cs"/>
          <w:rtl/>
        </w:rPr>
        <w:t xml:space="preserve"> </w:t>
      </w:r>
    </w:p>
    <w:p w:rsidR="00253C38" w:rsidP="00982BC1" w14:paraId="62622A95" w14:textId="27381646">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B0887DE" w14:textId="77777777">
      <w:pPr>
        <w:spacing w:line="269" w:lineRule="auto"/>
        <w:rPr>
          <w:rtl/>
        </w:rPr>
      </w:pPr>
      <w:r>
        <w:rPr>
          <w:rFonts w:hint="cs"/>
          <w:rtl/>
        </w:rPr>
        <w:t>בצד המגזר העסקי, עם פרוץ המשבר חלה מגמת עלייה במחירי האשראי הממוצעים בקרב כל קבוצות העסקים, למעט בקבוצת העסקים הזעירים שבה חלה ירידה ניכרת. ירידת זו, בייחוד בחודשי המשבר הראשונים, נבעה, בין היתר, מפעילות הקרן לעסקים קטנים ובינוניים בערבות המדינה. השפעתה של הקרן השתקפה במהלך המשבר גם במחירי האשראי הממוצעים של קבוצות העסקים הקטנים והבינוניים ותרמה להתייצבות המחירים ברמתם טרם המשבר. בצד האשראי לדיור והאשראי במשכון דירות מגורים, שיקפה העלייה במחיר האשראי הממוצע בתחילת המשבר את הגידול בסיכון לצד הגידול בעלויות גיוס המקורות במערכת הבנקאית. עם זאת, התאוששות השווקים במהלך המשבר התבטאה בירידת מחיר האשראי הממוצע בשתי הקבוצות.</w:t>
      </w:r>
    </w:p>
    <w:p w:rsidR="00253C38" w:rsidP="00982BC1" w14:paraId="41514583" w14:textId="4C6DA6C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5E481C9" w14:textId="77777777">
      <w:pPr>
        <w:spacing w:line="269" w:lineRule="auto"/>
        <w:rPr>
          <w:b/>
          <w:bCs/>
          <w:rtl/>
        </w:rPr>
      </w:pPr>
      <w:r w:rsidRPr="009542DC">
        <w:rPr>
          <w:rFonts w:hint="cs"/>
          <w:b/>
          <w:bCs/>
          <w:rtl/>
        </w:rPr>
        <w:t xml:space="preserve">משרד מבקר המדינה מציין </w:t>
      </w:r>
      <w:r>
        <w:rPr>
          <w:rFonts w:hint="cs"/>
          <w:b/>
          <w:bCs/>
          <w:rtl/>
        </w:rPr>
        <w:t>לחיוב את פעולות בנק ישראל והחשב הכללי שתרמו לייצוב מחירי האשראי, ואף להפחתה במחירי האשראי עבור חלק מן הקבוצות העסקיות, למרות העלייה ברמת הסיכון בתקופת המשבר.</w:t>
      </w:r>
    </w:p>
    <w:p w:rsidR="00253C38" w:rsidP="00982BC1" w14:paraId="0A53FC00" w14:textId="03138E0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E7723" w:rsidP="00982BC1" w14:paraId="52F748C4" w14:textId="77777777">
      <w:pPr>
        <w:spacing w:line="269" w:lineRule="auto"/>
        <w:rPr>
          <w:b/>
          <w:bCs/>
          <w:rtl/>
        </w:rPr>
      </w:pPr>
      <w:r>
        <w:rPr>
          <w:rFonts w:hint="cs"/>
          <w:b/>
          <w:bCs/>
          <w:rtl/>
        </w:rPr>
        <w:t>מומלץ כי בנק ישראל והחשב הכללי ימשיכו לעקוב אחר מחירי האשראי במשק למגזרי הפעילות השונים, לשם בחינת הצעדים שהם נדרשים לנקוט.</w:t>
      </w:r>
    </w:p>
    <w:p w:rsidR="00E065A2" w14:paraId="062ECBEA" w14:textId="77777777">
      <w:pPr>
        <w:bidi w:val="0"/>
        <w:spacing w:after="200" w:line="276" w:lineRule="auto"/>
        <w:rPr>
          <w:rFonts w:eastAsiaTheme="majorEastAsia"/>
          <w:bCs/>
          <w:szCs w:val="26"/>
          <w:rtl/>
        </w:rPr>
      </w:pPr>
      <w:r>
        <w:rPr>
          <w:rtl/>
        </w:rPr>
        <w:br w:type="page"/>
      </w:r>
    </w:p>
    <w:p w:rsidR="00253C38" w:rsidP="00982BC1" w14:paraId="73AF6CF4" w14:textId="7CD4AE47">
      <w:pPr>
        <w:pStyle w:val="Heading4"/>
        <w:spacing w:before="0" w:line="269" w:lineRule="auto"/>
        <w:rPr>
          <w:rtl/>
        </w:rPr>
      </w:pPr>
      <w:r>
        <w:rPr>
          <w:rFonts w:hint="cs"/>
          <w:rtl/>
        </w:rPr>
        <w:t>כלים נוספים להגדלת היצע האשראי</w:t>
      </w:r>
    </w:p>
    <w:p w:rsidR="00253C38" w:rsidP="00982BC1" w14:paraId="2BF3C01B" w14:textId="2DD7363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21E28" w:rsidP="00982BC1" w14:paraId="411DA234" w14:textId="77777777">
      <w:pPr>
        <w:spacing w:line="269" w:lineRule="auto"/>
        <w:rPr>
          <w:rtl/>
        </w:rPr>
      </w:pPr>
      <w:r>
        <w:rPr>
          <w:rFonts w:hint="cs"/>
          <w:rtl/>
        </w:rPr>
        <w:t xml:space="preserve">במהלך המשבר פעל בנק ישראל, ובמסגרתו הפיקוח על הבנקים, לעודד את המערכת הבנקאית לספק אשראי למשק כדי לצמצם את הפגיעה הכלכלית ולהקל על לקוחות הבנקים בסיוע תזרימי. במסגרת זאת נקטו מגוון פעולות שנועדו להקל על המערכת הבנקאית לספק הלוואות לציבור ולהרחיב את היצע האשראי: מתווה לדחיית תשלומי הלוואות, הפחתת דרישת ההון הפיקוחית כלפי המערכת הבנקאית ועצירת חלוקת </w:t>
      </w:r>
      <w:r w:rsidRPr="0031408A">
        <w:rPr>
          <w:rFonts w:hint="cs"/>
          <w:rtl/>
        </w:rPr>
        <w:t xml:space="preserve">דיבידנדים, </w:t>
      </w:r>
      <w:r w:rsidRPr="0031408A">
        <w:rPr>
          <w:rFonts w:hint="eastAsia"/>
          <w:rtl/>
        </w:rPr>
        <w:t>הרחבת</w:t>
      </w:r>
      <w:r w:rsidRPr="0031408A">
        <w:rPr>
          <w:rFonts w:hint="cs"/>
          <w:rtl/>
        </w:rPr>
        <w:t xml:space="preserve"> חבויות</w:t>
      </w:r>
      <w:r>
        <w:rPr>
          <w:rFonts w:hint="cs"/>
          <w:rtl/>
        </w:rPr>
        <w:t xml:space="preserve"> ענף הבינוי ומתן דגשים פיקוחיים לטיפול החשבונאי בחובות ובדיווח לציבור.</w:t>
      </w:r>
    </w:p>
    <w:p w:rsidR="00253C38" w:rsidP="00982BC1" w14:paraId="28E468ED" w14:textId="5CA47DD7">
      <w:pPr>
        <w:pStyle w:val="a"/>
        <w:spacing w:line="269" w:lineRule="auto"/>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D9A233D" w14:textId="77777777">
      <w:pPr>
        <w:spacing w:line="269" w:lineRule="auto"/>
        <w:rPr>
          <w:rtl/>
        </w:rPr>
      </w:pPr>
      <w:r w:rsidRPr="004845DD">
        <w:rPr>
          <w:rFonts w:hint="cs"/>
          <w:rtl/>
        </w:rPr>
        <w:t>בהתאם,</w:t>
      </w:r>
      <w:r>
        <w:rPr>
          <w:rFonts w:hint="cs"/>
          <w:rtl/>
        </w:rPr>
        <w:t xml:space="preserve"> </w:t>
      </w:r>
      <w:r w:rsidRPr="004845DD">
        <w:rPr>
          <w:rFonts w:hint="cs"/>
          <w:rtl/>
        </w:rPr>
        <w:t xml:space="preserve">בסיכום ראשוני </w:t>
      </w:r>
      <w:r>
        <w:rPr>
          <w:rFonts w:hint="cs"/>
          <w:rtl/>
        </w:rPr>
        <w:t xml:space="preserve">מנובמבר 2020 </w:t>
      </w:r>
      <w:r w:rsidRPr="004845DD">
        <w:rPr>
          <w:rFonts w:hint="cs"/>
          <w:rtl/>
        </w:rPr>
        <w:t>של דוח קרן המטבע הבינלאומית (</w:t>
      </w:r>
      <w:r w:rsidRPr="004845DD">
        <w:rPr>
          <w:rFonts w:hint="cs"/>
        </w:rPr>
        <w:t>IMF</w:t>
      </w:r>
      <w:r w:rsidRPr="004845DD">
        <w:rPr>
          <w:rFonts w:hint="cs"/>
          <w:rtl/>
        </w:rPr>
        <w:t>) על כלכלת ישראל לשנת 2020</w:t>
      </w:r>
      <w:r>
        <w:rPr>
          <w:rStyle w:val="FootnoteReference"/>
          <w:rtl/>
        </w:rPr>
        <w:footnoteReference w:id="56"/>
      </w:r>
      <w:r w:rsidRPr="004845DD">
        <w:rPr>
          <w:rFonts w:hint="cs"/>
          <w:rtl/>
        </w:rPr>
        <w:t xml:space="preserve"> </w:t>
      </w:r>
      <w:r>
        <w:rPr>
          <w:rFonts w:hint="cs"/>
          <w:rtl/>
        </w:rPr>
        <w:t xml:space="preserve">צוין </w:t>
      </w:r>
      <w:r w:rsidRPr="004845DD">
        <w:rPr>
          <w:rFonts w:hint="cs"/>
          <w:rtl/>
        </w:rPr>
        <w:t>כי</w:t>
      </w:r>
      <w:r>
        <w:rPr>
          <w:rFonts w:hint="cs"/>
          <w:rtl/>
        </w:rPr>
        <w:t xml:space="preserve"> המדיניות השמרנית שהתווה בנק ישראל טרם המשבר סיפקה מרחב תמרון ואיפשרה לבנקים לתמוך בכלכלה. </w:t>
      </w:r>
      <w:r>
        <w:rPr>
          <w:rtl/>
        </w:rPr>
        <w:t xml:space="preserve">צעדים נחרצים </w:t>
      </w:r>
      <w:r>
        <w:rPr>
          <w:rFonts w:hint="cs"/>
          <w:rtl/>
        </w:rPr>
        <w:t>שנקט בנק ישראל</w:t>
      </w:r>
      <w:r w:rsidRPr="004845DD">
        <w:rPr>
          <w:rtl/>
        </w:rPr>
        <w:t xml:space="preserve"> סייעו בשימור </w:t>
      </w:r>
      <w:r w:rsidRPr="004845DD">
        <w:rPr>
          <w:rFonts w:hint="cs"/>
          <w:rtl/>
        </w:rPr>
        <w:t>ה</w:t>
      </w:r>
      <w:r w:rsidRPr="004845DD">
        <w:rPr>
          <w:rtl/>
        </w:rPr>
        <w:t xml:space="preserve">יציבות </w:t>
      </w:r>
      <w:r w:rsidRPr="004845DD">
        <w:rPr>
          <w:rFonts w:hint="cs"/>
          <w:rtl/>
        </w:rPr>
        <w:t>בשווקים הפיננסי</w:t>
      </w:r>
      <w:r>
        <w:rPr>
          <w:rFonts w:hint="cs"/>
          <w:rtl/>
        </w:rPr>
        <w:t>י</w:t>
      </w:r>
      <w:r w:rsidRPr="004845DD">
        <w:rPr>
          <w:rFonts w:hint="cs"/>
          <w:rtl/>
        </w:rPr>
        <w:t>ם</w:t>
      </w:r>
      <w:r>
        <w:rPr>
          <w:rtl/>
        </w:rPr>
        <w:t xml:space="preserve"> והגישה לאשראי</w:t>
      </w:r>
      <w:r>
        <w:rPr>
          <w:rFonts w:hint="cs"/>
          <w:rtl/>
        </w:rPr>
        <w:t>.</w:t>
      </w:r>
    </w:p>
    <w:p w:rsidR="00253C38" w:rsidP="00982BC1" w14:paraId="7D46BE83" w14:textId="4AFBB2A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A0581" w:rsidP="00982BC1" w14:paraId="1E07A240" w14:textId="77777777">
      <w:pPr>
        <w:spacing w:line="269" w:lineRule="auto"/>
        <w:rPr>
          <w:b/>
          <w:bCs/>
          <w:rtl/>
        </w:rPr>
      </w:pPr>
      <w:r w:rsidRPr="00750606">
        <w:rPr>
          <w:rFonts w:hint="cs"/>
          <w:b/>
          <w:bCs/>
          <w:rtl/>
        </w:rPr>
        <w:t xml:space="preserve">משרד מבקר המדינה מציין לחיוב </w:t>
      </w:r>
      <w:r>
        <w:rPr>
          <w:rFonts w:hint="cs"/>
          <w:b/>
          <w:bCs/>
          <w:rtl/>
        </w:rPr>
        <w:t>את הפעולות המהירות והזהירות שנקט בנק ישראל, ובייחוד הפיקוח על הבנקים, במהלך המשבר להרחבת היצע האשראי, מתוך שמירה על האינטרס ארוך הטווח של התאגידים הבנקאיים, של הלווים ושל המשק.</w:t>
      </w:r>
    </w:p>
    <w:p w:rsidR="00E065A2" w:rsidP="00982BC1" w14:paraId="098041A6" w14:textId="77777777">
      <w:pPr>
        <w:pStyle w:val="Heading5"/>
        <w:spacing w:line="269" w:lineRule="auto"/>
        <w:rPr>
          <w:rtl/>
        </w:rPr>
      </w:pPr>
    </w:p>
    <w:p w:rsidR="00253C38" w:rsidP="00982BC1" w14:paraId="25E83211" w14:textId="256AB3CB">
      <w:pPr>
        <w:pStyle w:val="Heading5"/>
        <w:spacing w:line="269" w:lineRule="auto"/>
        <w:rPr>
          <w:rtl/>
        </w:rPr>
      </w:pPr>
      <w:r>
        <w:rPr>
          <w:rFonts w:hint="cs"/>
          <w:rtl/>
        </w:rPr>
        <w:t>מתווה לדחיית תשלומי הלוואות</w:t>
      </w:r>
    </w:p>
    <w:p w:rsidR="00253C38" w:rsidP="00982BC1" w14:paraId="57D56E39" w14:textId="59A2B7C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31F25574" w14:textId="77777777">
      <w:pPr>
        <w:spacing w:line="269" w:lineRule="auto"/>
        <w:rPr>
          <w:rtl/>
        </w:rPr>
      </w:pPr>
      <w:r>
        <w:rPr>
          <w:rFonts w:hint="cs"/>
          <w:rtl/>
        </w:rPr>
        <w:t>ירידה בהכנסות משקי הבית והעסקים הובילה לקשיים בהחזרי הלוואות שנטלו טרם פרוץ המגפה. מתוך כוונה לסייע למגזרי הפעילות השונים להתמודד עם הקשיים הכלכליים איפשרה המערכת הבנקאית דחיית תשלומי הלוואות כדי לגשר על פערי התזרים שנוצרו. מנתוני הפיקוח על הבנקים עולה כי מתחילת המשבר ועד סוף אפריל 2020 נדחו הלוואות לכ-449,000 לקוחות בכל מגזרי הפעילות ובסכום מצטבר של כ-5.2 מיליארד ש"ח</w:t>
      </w:r>
      <w:r>
        <w:rPr>
          <w:rStyle w:val="FootnoteReference"/>
          <w:rtl/>
        </w:rPr>
        <w:footnoteReference w:id="57"/>
      </w:r>
      <w:r>
        <w:rPr>
          <w:rFonts w:hint="cs"/>
          <w:rtl/>
        </w:rPr>
        <w:t>.</w:t>
      </w:r>
    </w:p>
    <w:p w:rsidR="00253C38" w:rsidP="00982BC1" w14:paraId="38C50753" w14:textId="612266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9B6E03A" w14:textId="77777777">
      <w:pPr>
        <w:spacing w:line="269" w:lineRule="auto"/>
        <w:rPr>
          <w:rtl/>
        </w:rPr>
      </w:pPr>
      <w:r>
        <w:rPr>
          <w:rFonts w:hint="cs"/>
          <w:rtl/>
        </w:rPr>
        <w:t>בי</w:t>
      </w:r>
      <w:r w:rsidRPr="008E1EF7">
        <w:rPr>
          <w:rFonts w:hint="cs"/>
          <w:rtl/>
        </w:rPr>
        <w:t xml:space="preserve">ום </w:t>
      </w:r>
      <w:r w:rsidRPr="008E1EF7">
        <w:rPr>
          <w:rtl/>
        </w:rPr>
        <w:t>7.5.20</w:t>
      </w:r>
      <w:r w:rsidRPr="008E1EF7">
        <w:rPr>
          <w:rFonts w:hint="cs"/>
          <w:rtl/>
        </w:rPr>
        <w:t xml:space="preserve"> הודיע ה</w:t>
      </w:r>
      <w:r>
        <w:rPr>
          <w:rFonts w:hint="cs"/>
          <w:rtl/>
        </w:rPr>
        <w:t>פיקוח על הבנקים על אימוץ מתווה מקיף מינימלי</w:t>
      </w:r>
      <w:r>
        <w:rPr>
          <w:rStyle w:val="FootnoteReference"/>
          <w:rtl/>
        </w:rPr>
        <w:footnoteReference w:id="58"/>
      </w:r>
      <w:r>
        <w:rPr>
          <w:rFonts w:hint="cs"/>
          <w:rtl/>
        </w:rPr>
        <w:t xml:space="preserve"> בידי המערכת הבנקאית לדחיית תשלומי הלוואות כסיוע ללקוחות הבנקים בהתמודדות עם השלכות המשבר, ולטובת יצירת ודאות לציבור הרחב. מתווה הדחיות התייחס לשלושה מגזרי פעילות, לתקופת הדחייה, לשיעור הריבית ולאופן פריסת התשלומים, ואינו כרוך בחיוב עמלה, כפי </w:t>
      </w:r>
      <w:r w:rsidRPr="00C56B30">
        <w:rPr>
          <w:rFonts w:hint="cs"/>
          <w:rtl/>
        </w:rPr>
        <w:t>שמוצג ב</w:t>
      </w:r>
      <w:r w:rsidRPr="00C56B30" w:rsidR="00BA0E91">
        <w:rPr>
          <w:rFonts w:hint="cs"/>
          <w:rtl/>
        </w:rPr>
        <w:t xml:space="preserve">לוח </w:t>
      </w:r>
      <w:r w:rsidRPr="00C56B30" w:rsidR="00C56B30">
        <w:rPr>
          <w:rFonts w:hint="cs"/>
          <w:rtl/>
        </w:rPr>
        <w:t>7</w:t>
      </w:r>
      <w:r w:rsidRPr="00C56B30">
        <w:rPr>
          <w:rFonts w:hint="cs"/>
          <w:rtl/>
        </w:rPr>
        <w:t xml:space="preserve"> להלן</w:t>
      </w:r>
      <w:r>
        <w:rPr>
          <w:rFonts w:hint="cs"/>
          <w:rtl/>
        </w:rPr>
        <w:t>.</w:t>
      </w:r>
    </w:p>
    <w:p w:rsidR="00E065A2" w14:paraId="5B10D8AC" w14:textId="77777777">
      <w:pPr>
        <w:bidi w:val="0"/>
        <w:spacing w:after="200" w:line="276" w:lineRule="auto"/>
        <w:rPr>
          <w:szCs w:val="20"/>
          <w:rtl/>
        </w:rPr>
      </w:pPr>
      <w:r>
        <w:rPr>
          <w:rtl/>
        </w:rPr>
        <w:br w:type="page"/>
      </w:r>
    </w:p>
    <w:p w:rsidR="00253C38" w:rsidP="00982BC1" w14:paraId="77C5128B" w14:textId="1E4BBFF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EC0E6D" w:rsidP="00982BC1" w14:paraId="5E6559E7" w14:textId="35D9D060">
      <w:pPr>
        <w:spacing w:line="269" w:lineRule="auto"/>
        <w:jc w:val="center"/>
        <w:rPr>
          <w:rtl/>
        </w:rPr>
      </w:pPr>
      <w:r w:rsidRPr="00C56B30">
        <w:rPr>
          <w:rFonts w:hint="cs"/>
          <w:b/>
          <w:bCs/>
          <w:rtl/>
        </w:rPr>
        <w:t xml:space="preserve">לוח </w:t>
      </w:r>
      <w:r w:rsidRPr="00C56B30" w:rsidR="00C56B30">
        <w:rPr>
          <w:rFonts w:hint="cs"/>
          <w:b/>
          <w:bCs/>
          <w:rtl/>
        </w:rPr>
        <w:t>7</w:t>
      </w:r>
      <w:r w:rsidRPr="00786470">
        <w:rPr>
          <w:b/>
          <w:bCs/>
          <w:rtl/>
        </w:rPr>
        <w:t xml:space="preserve">: </w:t>
      </w:r>
      <w:r w:rsidRPr="00786470">
        <w:rPr>
          <w:rFonts w:hint="eastAsia"/>
          <w:b/>
          <w:bCs/>
          <w:rtl/>
        </w:rPr>
        <w:t>המתווה</w:t>
      </w:r>
      <w:r w:rsidRPr="00786470">
        <w:rPr>
          <w:b/>
          <w:bCs/>
          <w:rtl/>
        </w:rPr>
        <w:t xml:space="preserve"> </w:t>
      </w:r>
      <w:r w:rsidRPr="00FA1A8C">
        <w:rPr>
          <w:rFonts w:hint="cs"/>
          <w:b/>
          <w:bCs/>
          <w:rtl/>
        </w:rPr>
        <w:t>המינימלי</w:t>
      </w:r>
      <w:r w:rsidRPr="00786470">
        <w:rPr>
          <w:b/>
          <w:bCs/>
          <w:rtl/>
        </w:rPr>
        <w:t xml:space="preserve"> לדחיית תשלומי ההלוואות</w:t>
      </w:r>
      <w:r>
        <w:rPr>
          <w:rStyle w:val="FootnoteReference"/>
          <w:rtl/>
        </w:rPr>
        <w:footnoteReference w:id="59"/>
      </w:r>
    </w:p>
    <w:p w:rsidR="00253C38" w:rsidP="00982BC1" w14:paraId="7136D30C" w14:textId="77777777">
      <w:pPr>
        <w:spacing w:line="269" w:lineRule="auto"/>
        <w:jc w:val="center"/>
        <w:rPr>
          <w:rtl/>
        </w:rPr>
      </w:pPr>
      <w:r>
        <w:rPr>
          <w:noProof/>
        </w:rPr>
        <w:drawing>
          <wp:inline distT="0" distB="0" distL="0" distR="0">
            <wp:extent cx="4985377" cy="3108510"/>
            <wp:effectExtent l="0" t="0" r="635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10190" name="Picture 4"/>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55832" cy="3152440"/>
                    </a:xfrm>
                    <a:prstGeom prst="rect">
                      <a:avLst/>
                    </a:prstGeom>
                    <a:noFill/>
                    <a:ln>
                      <a:noFill/>
                    </a:ln>
                  </pic:spPr>
                </pic:pic>
              </a:graphicData>
            </a:graphic>
          </wp:inline>
        </w:drawing>
      </w:r>
    </w:p>
    <w:p w:rsidR="00253C38" w:rsidRPr="00E065A2" w:rsidP="00982BC1" w14:paraId="5F4B7549" w14:textId="77777777">
      <w:pPr>
        <w:spacing w:line="269" w:lineRule="auto"/>
        <w:rPr>
          <w:sz w:val="18"/>
          <w:szCs w:val="22"/>
          <w:rtl/>
        </w:rPr>
      </w:pPr>
      <w:r w:rsidRPr="00E065A2">
        <w:rPr>
          <w:rFonts w:hint="cs"/>
          <w:sz w:val="18"/>
          <w:szCs w:val="22"/>
          <w:rtl/>
        </w:rPr>
        <w:t>המקור: הפיקוח על הבנקים.</w:t>
      </w:r>
    </w:p>
    <w:p w:rsidR="00253C38" w:rsidRPr="00E065A2" w:rsidP="00982BC1" w14:paraId="6CDF4A28" w14:textId="103FA06F">
      <w:pPr>
        <w:spacing w:line="269" w:lineRule="auto"/>
        <w:rPr>
          <w:sz w:val="18"/>
          <w:szCs w:val="22"/>
          <w:rtl/>
        </w:rPr>
      </w:pPr>
      <w:r w:rsidRPr="00E065A2">
        <w:rPr>
          <w:sz w:val="18"/>
          <w:szCs w:val="22"/>
          <w:rtl/>
        </w:rPr>
        <w:t xml:space="preserve">* </w:t>
      </w:r>
      <w:r w:rsidRPr="00E065A2">
        <w:rPr>
          <w:rFonts w:hint="eastAsia"/>
          <w:sz w:val="18"/>
          <w:szCs w:val="22"/>
          <w:rtl/>
        </w:rPr>
        <w:t>ללווה</w:t>
      </w:r>
      <w:r w:rsidRPr="00E065A2">
        <w:rPr>
          <w:sz w:val="18"/>
          <w:szCs w:val="22"/>
          <w:rtl/>
        </w:rPr>
        <w:t xml:space="preserve"> </w:t>
      </w:r>
      <w:r w:rsidRPr="00E065A2">
        <w:rPr>
          <w:rFonts w:hint="eastAsia"/>
          <w:sz w:val="18"/>
          <w:szCs w:val="22"/>
          <w:rtl/>
        </w:rPr>
        <w:t>שהיה</w:t>
      </w:r>
      <w:r w:rsidRPr="00E065A2">
        <w:rPr>
          <w:sz w:val="18"/>
          <w:szCs w:val="22"/>
          <w:rtl/>
        </w:rPr>
        <w:t xml:space="preserve"> </w:t>
      </w:r>
      <w:r w:rsidRPr="00E065A2">
        <w:rPr>
          <w:rFonts w:hint="eastAsia"/>
          <w:sz w:val="18"/>
          <w:szCs w:val="22"/>
          <w:rtl/>
        </w:rPr>
        <w:t>בפיגור</w:t>
      </w:r>
      <w:r w:rsidRPr="00E065A2">
        <w:rPr>
          <w:sz w:val="18"/>
          <w:szCs w:val="22"/>
          <w:rtl/>
        </w:rPr>
        <w:t xml:space="preserve"> </w:t>
      </w:r>
      <w:r w:rsidRPr="00E065A2">
        <w:rPr>
          <w:rFonts w:hint="eastAsia"/>
          <w:sz w:val="18"/>
          <w:szCs w:val="22"/>
          <w:rtl/>
        </w:rPr>
        <w:t>לפני</w:t>
      </w:r>
      <w:r w:rsidRPr="00E065A2">
        <w:rPr>
          <w:sz w:val="18"/>
          <w:szCs w:val="22"/>
          <w:rtl/>
        </w:rPr>
        <w:t xml:space="preserve"> 28.</w:t>
      </w:r>
      <w:r w:rsidRPr="00E065A2">
        <w:rPr>
          <w:rFonts w:hint="cs"/>
          <w:sz w:val="18"/>
          <w:szCs w:val="22"/>
          <w:rtl/>
        </w:rPr>
        <w:t>2.20</w:t>
      </w:r>
      <w:r w:rsidRPr="00E065A2">
        <w:rPr>
          <w:sz w:val="18"/>
          <w:szCs w:val="22"/>
          <w:rtl/>
        </w:rPr>
        <w:t xml:space="preserve"> תתאפשר דחייה </w:t>
      </w:r>
      <w:r w:rsidRPr="00E065A2">
        <w:rPr>
          <w:rFonts w:hint="cs"/>
          <w:sz w:val="18"/>
          <w:szCs w:val="22"/>
          <w:rtl/>
        </w:rPr>
        <w:t xml:space="preserve">למשך </w:t>
      </w:r>
      <w:r w:rsidRPr="00E065A2">
        <w:rPr>
          <w:rFonts w:hint="eastAsia"/>
          <w:sz w:val="18"/>
          <w:szCs w:val="22"/>
          <w:rtl/>
        </w:rPr>
        <w:t>עד</w:t>
      </w:r>
      <w:r w:rsidRPr="00E065A2" w:rsidR="005537CA">
        <w:rPr>
          <w:sz w:val="18"/>
          <w:szCs w:val="22"/>
          <w:rtl/>
        </w:rPr>
        <w:t xml:space="preserve"> </w:t>
      </w:r>
      <w:r w:rsidRPr="00E065A2">
        <w:rPr>
          <w:sz w:val="18"/>
          <w:szCs w:val="22"/>
          <w:rtl/>
        </w:rPr>
        <w:t xml:space="preserve">180 </w:t>
      </w:r>
      <w:r w:rsidRPr="00E065A2">
        <w:rPr>
          <w:rFonts w:hint="cs"/>
          <w:sz w:val="18"/>
          <w:szCs w:val="22"/>
          <w:rtl/>
        </w:rPr>
        <w:t>ימים</w:t>
      </w:r>
      <w:r w:rsidRPr="00E065A2">
        <w:rPr>
          <w:sz w:val="18"/>
          <w:szCs w:val="22"/>
          <w:rtl/>
        </w:rPr>
        <w:t xml:space="preserve"> מיום תחילת הפיגור. לא כולל לווה שנמצא בהליך משפטי.</w:t>
      </w:r>
    </w:p>
    <w:p w:rsidR="00253C38" w:rsidRPr="00E065A2" w:rsidP="00982BC1" w14:paraId="4D2CDC2A" w14:textId="77777777">
      <w:pPr>
        <w:spacing w:line="269" w:lineRule="auto"/>
        <w:rPr>
          <w:sz w:val="18"/>
          <w:szCs w:val="22"/>
          <w:rtl/>
        </w:rPr>
      </w:pPr>
      <w:r w:rsidRPr="00E065A2">
        <w:rPr>
          <w:sz w:val="18"/>
          <w:szCs w:val="22"/>
          <w:rtl/>
        </w:rPr>
        <w:t xml:space="preserve">** לא כולל הלוואות </w:t>
      </w:r>
      <w:r w:rsidRPr="00E065A2">
        <w:rPr>
          <w:rFonts w:hint="cs"/>
          <w:sz w:val="18"/>
          <w:szCs w:val="22"/>
          <w:rtl/>
        </w:rPr>
        <w:t>בשיתוף פעולה</w:t>
      </w:r>
      <w:r w:rsidRPr="00E065A2">
        <w:rPr>
          <w:sz w:val="18"/>
          <w:szCs w:val="22"/>
          <w:rtl/>
        </w:rPr>
        <w:t xml:space="preserve"> מסחרי עם צד שלישי.</w:t>
      </w:r>
    </w:p>
    <w:p w:rsidR="00253C38" w:rsidRPr="00E065A2" w:rsidP="00982BC1" w14:paraId="4D070602" w14:textId="77777777">
      <w:pPr>
        <w:spacing w:line="269" w:lineRule="auto"/>
        <w:rPr>
          <w:sz w:val="18"/>
          <w:szCs w:val="22"/>
          <w:rtl/>
        </w:rPr>
      </w:pPr>
      <w:r w:rsidRPr="00E065A2">
        <w:rPr>
          <w:sz w:val="18"/>
          <w:szCs w:val="22"/>
          <w:rtl/>
        </w:rPr>
        <w:t xml:space="preserve">*** </w:t>
      </w:r>
      <w:r w:rsidRPr="00E065A2">
        <w:rPr>
          <w:rFonts w:hint="eastAsia"/>
          <w:sz w:val="18"/>
          <w:szCs w:val="22"/>
          <w:rtl/>
        </w:rPr>
        <w:t>אופן</w:t>
      </w:r>
      <w:r w:rsidRPr="00E065A2">
        <w:rPr>
          <w:sz w:val="18"/>
          <w:szCs w:val="22"/>
          <w:rtl/>
        </w:rPr>
        <w:t xml:space="preserve"> </w:t>
      </w:r>
      <w:r w:rsidRPr="00E065A2">
        <w:rPr>
          <w:rFonts w:hint="eastAsia"/>
          <w:sz w:val="18"/>
          <w:szCs w:val="22"/>
          <w:rtl/>
        </w:rPr>
        <w:t>פריסת</w:t>
      </w:r>
      <w:r w:rsidRPr="00E065A2">
        <w:rPr>
          <w:sz w:val="18"/>
          <w:szCs w:val="22"/>
          <w:rtl/>
        </w:rPr>
        <w:t xml:space="preserve"> </w:t>
      </w:r>
      <w:r w:rsidRPr="00E065A2">
        <w:rPr>
          <w:rFonts w:hint="eastAsia"/>
          <w:sz w:val="18"/>
          <w:szCs w:val="22"/>
          <w:rtl/>
        </w:rPr>
        <w:t>ההלוואות</w:t>
      </w:r>
      <w:r w:rsidRPr="00E065A2">
        <w:rPr>
          <w:sz w:val="18"/>
          <w:szCs w:val="22"/>
          <w:rtl/>
        </w:rPr>
        <w:t xml:space="preserve"> </w:t>
      </w:r>
      <w:r w:rsidRPr="00E065A2">
        <w:rPr>
          <w:rFonts w:hint="eastAsia"/>
          <w:sz w:val="18"/>
          <w:szCs w:val="22"/>
          <w:rtl/>
        </w:rPr>
        <w:t>בכפוף</w:t>
      </w:r>
      <w:r w:rsidRPr="00E065A2">
        <w:rPr>
          <w:sz w:val="18"/>
          <w:szCs w:val="22"/>
          <w:rtl/>
        </w:rPr>
        <w:t xml:space="preserve"> </w:t>
      </w:r>
      <w:r w:rsidRPr="00E065A2">
        <w:rPr>
          <w:rFonts w:hint="eastAsia"/>
          <w:sz w:val="18"/>
          <w:szCs w:val="22"/>
          <w:rtl/>
        </w:rPr>
        <w:t>למגבלות</w:t>
      </w:r>
      <w:r w:rsidRPr="00E065A2">
        <w:rPr>
          <w:sz w:val="18"/>
          <w:szCs w:val="22"/>
          <w:rtl/>
        </w:rPr>
        <w:t xml:space="preserve"> </w:t>
      </w:r>
      <w:r w:rsidRPr="00E065A2">
        <w:rPr>
          <w:rFonts w:hint="eastAsia"/>
          <w:sz w:val="18"/>
          <w:szCs w:val="22"/>
          <w:rtl/>
        </w:rPr>
        <w:t>טכניות</w:t>
      </w:r>
      <w:r w:rsidRPr="00E065A2">
        <w:rPr>
          <w:sz w:val="18"/>
          <w:szCs w:val="22"/>
          <w:rtl/>
        </w:rPr>
        <w:t xml:space="preserve"> </w:t>
      </w:r>
      <w:r w:rsidRPr="00E065A2">
        <w:rPr>
          <w:rFonts w:hint="eastAsia"/>
          <w:sz w:val="18"/>
          <w:szCs w:val="22"/>
          <w:rtl/>
        </w:rPr>
        <w:t>הנובעות</w:t>
      </w:r>
      <w:r w:rsidRPr="00E065A2">
        <w:rPr>
          <w:sz w:val="18"/>
          <w:szCs w:val="22"/>
          <w:rtl/>
        </w:rPr>
        <w:t xml:space="preserve"> </w:t>
      </w:r>
      <w:r w:rsidRPr="00E065A2">
        <w:rPr>
          <w:rFonts w:hint="eastAsia"/>
          <w:sz w:val="18"/>
          <w:szCs w:val="22"/>
          <w:rtl/>
        </w:rPr>
        <w:t>ממערך</w:t>
      </w:r>
      <w:r w:rsidRPr="00E065A2">
        <w:rPr>
          <w:sz w:val="18"/>
          <w:szCs w:val="22"/>
          <w:rtl/>
        </w:rPr>
        <w:t xml:space="preserve"> </w:t>
      </w:r>
      <w:r w:rsidRPr="00E065A2">
        <w:rPr>
          <w:rFonts w:hint="eastAsia"/>
          <w:sz w:val="18"/>
          <w:szCs w:val="22"/>
          <w:rtl/>
        </w:rPr>
        <w:t>המחשוב</w:t>
      </w:r>
      <w:r w:rsidRPr="00E065A2">
        <w:rPr>
          <w:sz w:val="18"/>
          <w:szCs w:val="22"/>
          <w:rtl/>
        </w:rPr>
        <w:t xml:space="preserve"> </w:t>
      </w:r>
      <w:r w:rsidRPr="00E065A2">
        <w:rPr>
          <w:rFonts w:hint="eastAsia"/>
          <w:sz w:val="18"/>
          <w:szCs w:val="22"/>
          <w:rtl/>
        </w:rPr>
        <w:t>של</w:t>
      </w:r>
      <w:r w:rsidRPr="00E065A2">
        <w:rPr>
          <w:sz w:val="18"/>
          <w:szCs w:val="22"/>
          <w:rtl/>
        </w:rPr>
        <w:t xml:space="preserve"> </w:t>
      </w:r>
      <w:r w:rsidRPr="00E065A2">
        <w:rPr>
          <w:rFonts w:hint="eastAsia"/>
          <w:sz w:val="18"/>
          <w:szCs w:val="22"/>
          <w:rtl/>
        </w:rPr>
        <w:t>הבנק</w:t>
      </w:r>
      <w:r w:rsidRPr="00E065A2">
        <w:rPr>
          <w:sz w:val="18"/>
          <w:szCs w:val="22"/>
          <w:rtl/>
        </w:rPr>
        <w:t xml:space="preserve">. </w:t>
      </w:r>
      <w:r w:rsidRPr="00E065A2">
        <w:rPr>
          <w:rFonts w:hint="eastAsia"/>
          <w:sz w:val="18"/>
          <w:szCs w:val="22"/>
          <w:rtl/>
        </w:rPr>
        <w:t>במידת</w:t>
      </w:r>
      <w:r w:rsidRPr="00E065A2">
        <w:rPr>
          <w:sz w:val="18"/>
          <w:szCs w:val="22"/>
          <w:rtl/>
        </w:rPr>
        <w:t xml:space="preserve"> </w:t>
      </w:r>
      <w:r w:rsidRPr="00E065A2">
        <w:rPr>
          <w:rFonts w:hint="eastAsia"/>
          <w:sz w:val="18"/>
          <w:szCs w:val="22"/>
          <w:rtl/>
        </w:rPr>
        <w:t>הצורך</w:t>
      </w:r>
      <w:r w:rsidRPr="00E065A2">
        <w:rPr>
          <w:sz w:val="18"/>
          <w:szCs w:val="22"/>
          <w:rtl/>
        </w:rPr>
        <w:t xml:space="preserve"> </w:t>
      </w:r>
      <w:r w:rsidRPr="00E065A2">
        <w:rPr>
          <w:rFonts w:hint="eastAsia"/>
          <w:sz w:val="18"/>
          <w:szCs w:val="22"/>
          <w:rtl/>
        </w:rPr>
        <w:t>יוצעו</w:t>
      </w:r>
      <w:r w:rsidRPr="00E065A2">
        <w:rPr>
          <w:sz w:val="18"/>
          <w:szCs w:val="22"/>
          <w:rtl/>
        </w:rPr>
        <w:t xml:space="preserve"> </w:t>
      </w:r>
      <w:r w:rsidRPr="00E065A2">
        <w:rPr>
          <w:rFonts w:hint="eastAsia"/>
          <w:sz w:val="18"/>
          <w:szCs w:val="22"/>
          <w:rtl/>
        </w:rPr>
        <w:t>פתרונות</w:t>
      </w:r>
      <w:r w:rsidRPr="00E065A2">
        <w:rPr>
          <w:sz w:val="18"/>
          <w:szCs w:val="22"/>
          <w:rtl/>
        </w:rPr>
        <w:t xml:space="preserve"> </w:t>
      </w:r>
      <w:r w:rsidRPr="00E065A2">
        <w:rPr>
          <w:rFonts w:hint="eastAsia"/>
          <w:sz w:val="18"/>
          <w:szCs w:val="22"/>
          <w:rtl/>
        </w:rPr>
        <w:t>חליפיים</w:t>
      </w:r>
      <w:r w:rsidRPr="00E065A2">
        <w:rPr>
          <w:sz w:val="18"/>
          <w:szCs w:val="22"/>
          <w:rtl/>
        </w:rPr>
        <w:t xml:space="preserve"> </w:t>
      </w:r>
      <w:r w:rsidRPr="00E065A2">
        <w:rPr>
          <w:rFonts w:hint="eastAsia"/>
          <w:sz w:val="18"/>
          <w:szCs w:val="22"/>
          <w:rtl/>
        </w:rPr>
        <w:t>למנגנון</w:t>
      </w:r>
      <w:r w:rsidRPr="00E065A2">
        <w:rPr>
          <w:sz w:val="18"/>
          <w:szCs w:val="22"/>
          <w:rtl/>
        </w:rPr>
        <w:t xml:space="preserve"> </w:t>
      </w:r>
      <w:r w:rsidRPr="00E065A2">
        <w:rPr>
          <w:rFonts w:hint="eastAsia"/>
          <w:sz w:val="18"/>
          <w:szCs w:val="22"/>
          <w:rtl/>
        </w:rPr>
        <w:t>הפריסה</w:t>
      </w:r>
      <w:r w:rsidRPr="00E065A2">
        <w:rPr>
          <w:sz w:val="18"/>
          <w:szCs w:val="22"/>
          <w:rtl/>
        </w:rPr>
        <w:t>.</w:t>
      </w:r>
    </w:p>
    <w:p w:rsidR="00253C38" w:rsidP="00982BC1" w14:paraId="217E50E5" w14:textId="199911D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05F236B0" w14:textId="77777777">
      <w:pPr>
        <w:spacing w:line="269" w:lineRule="auto"/>
        <w:rPr>
          <w:rtl/>
        </w:rPr>
      </w:pPr>
      <w:r>
        <w:rPr>
          <w:rFonts w:hint="cs"/>
          <w:rtl/>
        </w:rPr>
        <w:t>במדינות שונות בעולם יושמו תוכניות לדחיית תשלומי אשראי במסגרת תוכניות רחבות לתמיכה בכלכלה. אופי התוכניות נבדל בין המדינות במנגנון, בקריטריונים ובתנאי הזכאות להשתתפות בתוכנית. מהודעת הפיקוח על הבנקים</w:t>
      </w:r>
      <w:r>
        <w:rPr>
          <w:rStyle w:val="FootnoteReference"/>
          <w:rtl/>
        </w:rPr>
        <w:footnoteReference w:id="60"/>
      </w:r>
      <w:r>
        <w:rPr>
          <w:rFonts w:hint="cs"/>
          <w:rtl/>
        </w:rPr>
        <w:t xml:space="preserve"> עולה כי במדינות </w:t>
      </w:r>
      <w:r w:rsidRPr="008A762F">
        <w:rPr>
          <w:rFonts w:hint="cs"/>
          <w:rtl/>
        </w:rPr>
        <w:t>בנות</w:t>
      </w:r>
      <w:r>
        <w:rPr>
          <w:rFonts w:hint="cs"/>
          <w:rtl/>
        </w:rPr>
        <w:t xml:space="preserve"> השוואה לישראל בבחינת דירוג האשראי</w:t>
      </w:r>
      <w:r>
        <w:rPr>
          <w:rStyle w:val="FootnoteReference"/>
          <w:rtl/>
        </w:rPr>
        <w:footnoteReference w:id="61"/>
      </w:r>
      <w:r>
        <w:rPr>
          <w:rFonts w:hint="cs"/>
          <w:rtl/>
        </w:rPr>
        <w:t xml:space="preserve">, דחיית התשלומים נעשתה בצורה וולונטרית מול ספקי האשראי, בניגוד למדינות מתפתחות עם דירוג אשראי נמוך מישראל שבהן היא נקבעה </w:t>
      </w:r>
      <w:r w:rsidRPr="00C56B30">
        <w:rPr>
          <w:rFonts w:hint="cs"/>
          <w:rtl/>
        </w:rPr>
        <w:t xml:space="preserve">בחקיקה. </w:t>
      </w:r>
      <w:r w:rsidRPr="00C56B30" w:rsidR="00BA0E91">
        <w:rPr>
          <w:rFonts w:hint="cs"/>
          <w:rtl/>
        </w:rPr>
        <w:t xml:space="preserve">לוח </w:t>
      </w:r>
      <w:r w:rsidRPr="00C56B30" w:rsidR="00C56B30">
        <w:rPr>
          <w:rFonts w:hint="cs"/>
          <w:rtl/>
        </w:rPr>
        <w:t>8</w:t>
      </w:r>
      <w:r w:rsidRPr="00C56B30">
        <w:rPr>
          <w:rFonts w:hint="cs"/>
          <w:rtl/>
        </w:rPr>
        <w:t xml:space="preserve"> להלן מציג</w:t>
      </w:r>
      <w:r>
        <w:rPr>
          <w:rFonts w:hint="cs"/>
          <w:rtl/>
        </w:rPr>
        <w:t xml:space="preserve"> השוואה בין מדינות נבחרות במתווה דחיית תשלומי ההלוואות.</w:t>
      </w:r>
    </w:p>
    <w:p w:rsidR="00E065A2" w:rsidP="00982BC1" w14:paraId="27BF86BB" w14:textId="77777777">
      <w:pPr>
        <w:pStyle w:val="a"/>
        <w:spacing w:line="269" w:lineRule="auto"/>
        <w:rPr>
          <w:rtl/>
        </w:rPr>
      </w:pPr>
    </w:p>
    <w:p w:rsidR="00E065A2" w:rsidP="00982BC1" w14:paraId="35C04B29" w14:textId="77777777">
      <w:pPr>
        <w:pStyle w:val="a"/>
        <w:spacing w:line="269" w:lineRule="auto"/>
        <w:rPr>
          <w:rtl/>
        </w:rPr>
      </w:pPr>
    </w:p>
    <w:p w:rsidR="00E065A2" w:rsidP="00982BC1" w14:paraId="45DA6A02" w14:textId="77777777">
      <w:pPr>
        <w:pStyle w:val="a"/>
        <w:spacing w:line="269" w:lineRule="auto"/>
        <w:rPr>
          <w:rtl/>
        </w:rPr>
      </w:pPr>
    </w:p>
    <w:p w:rsidR="00E065A2" w:rsidP="00982BC1" w14:paraId="3FE76D45" w14:textId="77777777">
      <w:pPr>
        <w:pStyle w:val="a"/>
        <w:spacing w:line="269" w:lineRule="auto"/>
        <w:rPr>
          <w:rtl/>
        </w:rPr>
      </w:pPr>
    </w:p>
    <w:p w:rsidR="00E065A2" w14:paraId="40CA839D" w14:textId="77777777">
      <w:pPr>
        <w:bidi w:val="0"/>
        <w:spacing w:after="200" w:line="276" w:lineRule="auto"/>
        <w:rPr>
          <w:szCs w:val="20"/>
          <w:rtl/>
        </w:rPr>
      </w:pPr>
      <w:r>
        <w:rPr>
          <w:rtl/>
        </w:rPr>
        <w:br w:type="page"/>
      </w:r>
    </w:p>
    <w:p w:rsidR="00253C38" w:rsidP="00982BC1" w14:paraId="3828BB14" w14:textId="741766A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86470" w:rsidP="00982BC1" w14:paraId="4FBFB96A" w14:textId="4D78F389">
      <w:pPr>
        <w:spacing w:line="269" w:lineRule="auto"/>
        <w:jc w:val="center"/>
        <w:rPr>
          <w:b/>
          <w:bCs/>
          <w:rtl/>
        </w:rPr>
      </w:pPr>
      <w:r w:rsidRPr="00C56B30">
        <w:rPr>
          <w:rFonts w:hint="cs"/>
          <w:b/>
          <w:bCs/>
          <w:rtl/>
        </w:rPr>
        <w:t xml:space="preserve">לוח </w:t>
      </w:r>
      <w:r w:rsidRPr="00C56B30" w:rsidR="00C56B30">
        <w:rPr>
          <w:rFonts w:hint="cs"/>
          <w:b/>
          <w:bCs/>
          <w:rtl/>
        </w:rPr>
        <w:t>8</w:t>
      </w:r>
      <w:r w:rsidRPr="00786470">
        <w:rPr>
          <w:b/>
          <w:bCs/>
          <w:rtl/>
        </w:rPr>
        <w:t>: השוואה בין מדינות נבחרות במתווה דחיית תשלומי הלוואות</w:t>
      </w:r>
    </w:p>
    <w:p w:rsidR="00253C38" w:rsidRPr="00FA1FC8" w:rsidP="00982BC1" w14:paraId="0938FB64" w14:textId="77777777">
      <w:pPr>
        <w:spacing w:line="269" w:lineRule="auto"/>
        <w:rPr>
          <w:rtl/>
        </w:rPr>
      </w:pPr>
      <w:r>
        <w:rPr>
          <w:noProof/>
        </w:rPr>
        <w:drawing>
          <wp:inline distT="0" distB="0" distL="0" distR="0">
            <wp:extent cx="5621438" cy="4735902"/>
            <wp:effectExtent l="0" t="0" r="0" b="762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80265" name="Picture 6"/>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632090" cy="4744876"/>
                    </a:xfrm>
                    <a:prstGeom prst="rect">
                      <a:avLst/>
                    </a:prstGeom>
                    <a:noFill/>
                    <a:ln>
                      <a:noFill/>
                    </a:ln>
                  </pic:spPr>
                </pic:pic>
              </a:graphicData>
            </a:graphic>
          </wp:inline>
        </w:drawing>
      </w:r>
    </w:p>
    <w:p w:rsidR="00253C38" w:rsidRPr="00E065A2" w:rsidP="00982BC1" w14:paraId="6A10E3AC" w14:textId="77777777">
      <w:pPr>
        <w:spacing w:line="269" w:lineRule="auto"/>
        <w:rPr>
          <w:sz w:val="18"/>
          <w:szCs w:val="22"/>
          <w:rtl/>
        </w:rPr>
      </w:pPr>
      <w:r w:rsidRPr="00E065A2">
        <w:rPr>
          <w:rFonts w:hint="cs"/>
          <w:sz w:val="18"/>
          <w:szCs w:val="22"/>
          <w:rtl/>
        </w:rPr>
        <w:t>המקור: הפיקוח על הבנקים.</w:t>
      </w:r>
    </w:p>
    <w:p w:rsidR="00253C38" w:rsidP="00982BC1" w14:paraId="24FB2E1B" w14:textId="57920CF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53247582" w14:textId="77777777">
      <w:pPr>
        <w:spacing w:line="269" w:lineRule="auto"/>
        <w:rPr>
          <w:rtl/>
        </w:rPr>
      </w:pPr>
      <w:r w:rsidRPr="00C56B30">
        <w:rPr>
          <w:rFonts w:hint="cs"/>
          <w:rtl/>
        </w:rPr>
        <w:t xml:space="preserve">עולה </w:t>
      </w:r>
      <w:r w:rsidRPr="00C56B30" w:rsidR="00BA0E91">
        <w:rPr>
          <w:rFonts w:hint="cs"/>
          <w:rtl/>
        </w:rPr>
        <w:t xml:space="preserve">מלוח </w:t>
      </w:r>
      <w:r w:rsidRPr="00C56B30" w:rsidR="00C56B30">
        <w:rPr>
          <w:rFonts w:hint="cs"/>
          <w:rtl/>
        </w:rPr>
        <w:t>8</w:t>
      </w:r>
      <w:r w:rsidRPr="00C56B30">
        <w:rPr>
          <w:rFonts w:hint="cs"/>
          <w:rtl/>
        </w:rPr>
        <w:t xml:space="preserve"> כי מתווה</w:t>
      </w:r>
      <w:r>
        <w:rPr>
          <w:rFonts w:hint="cs"/>
          <w:rtl/>
        </w:rPr>
        <w:t xml:space="preserve"> דחיית תשלומי ההלוואות בישראל פונה למגזרי פעילות רבים בהשוואה למקובל במדינות העולם. עם זאת, הפנייה למגזר העסקי הוגבלה לקבוצת העסקים הזעירים ולחלק מקבוצת העסקים הקטנים, בהתאם להגדרות הפיקוח על הבנקים</w:t>
      </w:r>
      <w:r>
        <w:rPr>
          <w:rStyle w:val="FootnoteReference"/>
          <w:rtl/>
        </w:rPr>
        <w:footnoteReference w:id="62"/>
      </w:r>
      <w:r>
        <w:rPr>
          <w:rFonts w:hint="cs"/>
          <w:rtl/>
        </w:rPr>
        <w:t>.</w:t>
      </w:r>
    </w:p>
    <w:p w:rsidR="00253C38" w:rsidP="00982BC1" w14:paraId="38BCE2CE" w14:textId="73EC77E9">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4155C5DD" w14:textId="77777777">
      <w:pPr>
        <w:spacing w:line="269" w:lineRule="auto"/>
        <w:rPr>
          <w:b/>
          <w:bCs/>
          <w:rtl/>
        </w:rPr>
      </w:pPr>
      <w:r w:rsidRPr="00FD6A23">
        <w:rPr>
          <w:rFonts w:hint="cs"/>
          <w:b/>
          <w:bCs/>
          <w:rtl/>
        </w:rPr>
        <w:t xml:space="preserve">משרד מבקר המדינה </w:t>
      </w:r>
      <w:r>
        <w:rPr>
          <w:rFonts w:hint="cs"/>
          <w:b/>
          <w:bCs/>
          <w:rtl/>
        </w:rPr>
        <w:t xml:space="preserve">ממליץ לבנק ישראל </w:t>
      </w:r>
      <w:r w:rsidRPr="00FD6A23">
        <w:rPr>
          <w:rFonts w:hint="cs"/>
          <w:b/>
          <w:bCs/>
          <w:rtl/>
        </w:rPr>
        <w:t>לבחון את הרחבת ההתניות כך שיכללו קבוצות לווים רחבות יותר</w:t>
      </w:r>
      <w:r>
        <w:rPr>
          <w:rFonts w:hint="cs"/>
          <w:b/>
          <w:bCs/>
          <w:rtl/>
        </w:rPr>
        <w:t>, ובייחוד את כל</w:t>
      </w:r>
      <w:r w:rsidRPr="00FD6A23">
        <w:rPr>
          <w:rFonts w:hint="cs"/>
          <w:b/>
          <w:bCs/>
          <w:rtl/>
        </w:rPr>
        <w:t xml:space="preserve"> </w:t>
      </w:r>
      <w:r>
        <w:rPr>
          <w:rFonts w:hint="cs"/>
          <w:b/>
          <w:bCs/>
          <w:rtl/>
        </w:rPr>
        <w:t>הנמנים עם קבוצת העסקים הקטנים.</w:t>
      </w:r>
    </w:p>
    <w:p w:rsidR="00253C38" w:rsidP="00982BC1" w14:paraId="12947EA3"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5CAF467" w14:textId="3EABFA59">
      <w:pPr>
        <w:spacing w:line="269" w:lineRule="auto"/>
        <w:rPr>
          <w:rtl/>
        </w:rPr>
      </w:pPr>
      <w:r>
        <w:rPr>
          <w:rFonts w:hint="cs"/>
          <w:rtl/>
        </w:rPr>
        <w:t>הפיקוח על הבנקים כתב למשרד מבקר המדינה ב-</w:t>
      </w:r>
      <w:r w:rsidRPr="00BA0E91">
        <w:rPr>
          <w:rtl/>
        </w:rPr>
        <w:t>25.2.21</w:t>
      </w:r>
      <w:r>
        <w:rPr>
          <w:rFonts w:hint="cs"/>
          <w:rtl/>
        </w:rPr>
        <w:t xml:space="preserve"> כי נמשכת הבחינה של הרחבת ההתניות לדחיות האשראי, על רכיביו השונים, מתוך התייחסות להתפתחויות המשקיות והכלכליות. כמו כן ציין הפיקוח על הבנקים בתשובתו כי הרכבת תוכניות לדחיית האשראי היא תהליך מתמשך המתייחס בין היתר גם לשיקול הדעת של ה</w:t>
      </w:r>
      <w:r w:rsidR="00BA0E91">
        <w:rPr>
          <w:rFonts w:hint="cs"/>
          <w:rtl/>
        </w:rPr>
        <w:t>מערכת ה</w:t>
      </w:r>
      <w:r>
        <w:rPr>
          <w:rFonts w:hint="cs"/>
          <w:rtl/>
        </w:rPr>
        <w:t>בנקאי</w:t>
      </w:r>
      <w:r w:rsidR="00BA0E91">
        <w:rPr>
          <w:rFonts w:hint="cs"/>
          <w:rtl/>
        </w:rPr>
        <w:t>ת</w:t>
      </w:r>
      <w:r>
        <w:rPr>
          <w:rFonts w:hint="cs"/>
          <w:rtl/>
        </w:rPr>
        <w:t>, בייחוד באשראי העסקי שבו מורכבות העסקה גבוהה יותר.</w:t>
      </w:r>
    </w:p>
    <w:p w:rsidR="00E065A2" w:rsidP="00982BC1" w14:paraId="66B00F5B" w14:textId="421908A2">
      <w:pPr>
        <w:spacing w:line="269" w:lineRule="auto"/>
        <w:rPr>
          <w:rFonts w:hint="cs"/>
          <w:rtl/>
        </w:rPr>
      </w:pPr>
    </w:p>
    <w:p w:rsidR="00E065A2" w:rsidRPr="003A25C7" w:rsidP="00982BC1" w14:paraId="556D0E16" w14:textId="77777777">
      <w:pPr>
        <w:spacing w:line="269" w:lineRule="auto"/>
        <w:rPr>
          <w:rtl/>
        </w:rPr>
      </w:pPr>
    </w:p>
    <w:p w:rsidR="00253C38" w:rsidP="00982BC1" w14:paraId="360EEE4F" w14:textId="45C3FF8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5D90CD6" w14:textId="77777777">
      <w:pPr>
        <w:spacing w:line="269" w:lineRule="auto"/>
        <w:rPr>
          <w:rtl/>
        </w:rPr>
      </w:pPr>
      <w:r w:rsidRPr="00C56B30">
        <w:rPr>
          <w:rFonts w:hint="cs"/>
          <w:rtl/>
        </w:rPr>
        <w:t xml:space="preserve">לוח </w:t>
      </w:r>
      <w:r w:rsidRPr="00C56B30" w:rsidR="00C56B30">
        <w:rPr>
          <w:rFonts w:hint="cs"/>
          <w:rtl/>
        </w:rPr>
        <w:t>9</w:t>
      </w:r>
      <w:r w:rsidRPr="00C56B30">
        <w:rPr>
          <w:rFonts w:hint="cs"/>
          <w:rtl/>
        </w:rPr>
        <w:t xml:space="preserve"> להלן</w:t>
      </w:r>
      <w:r>
        <w:rPr>
          <w:rFonts w:hint="cs"/>
          <w:rtl/>
        </w:rPr>
        <w:t xml:space="preserve"> מציג את נתוני מימוש המתווה, ותרשים </w:t>
      </w:r>
      <w:r>
        <w:rPr>
          <w:rFonts w:hint="cs"/>
          <w:rtl/>
        </w:rPr>
        <w:t>37</w:t>
      </w:r>
      <w:r>
        <w:rPr>
          <w:rFonts w:hint="cs"/>
          <w:rtl/>
        </w:rPr>
        <w:t xml:space="preserve"> להלן מציג את שיעור ההלוואות שהלווים חזרו לשלם כסדרם.</w:t>
      </w:r>
    </w:p>
    <w:p w:rsidR="00253C38" w:rsidRPr="00BA0E91" w:rsidP="00982BC1" w14:paraId="22CE5A2A" w14:textId="51FD4CCC">
      <w:pPr>
        <w:pStyle w:val="a"/>
        <w:spacing w:line="269" w:lineRule="auto"/>
        <w:rPr>
          <w:b/>
          <w:bCs/>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5C5FE5" w:rsidRPr="00786470" w:rsidP="00982BC1" w14:paraId="6165D0CD" w14:textId="43FF89C2">
      <w:pPr>
        <w:spacing w:line="269" w:lineRule="auto"/>
        <w:ind w:left="-1134"/>
        <w:jc w:val="center"/>
        <w:rPr>
          <w:b/>
          <w:bCs/>
          <w:rtl/>
        </w:rPr>
      </w:pPr>
      <w:r w:rsidRPr="00C56B30">
        <w:rPr>
          <w:rFonts w:hint="cs"/>
          <w:b/>
          <w:bCs/>
          <w:rtl/>
        </w:rPr>
        <w:t xml:space="preserve">לוח </w:t>
      </w:r>
      <w:r w:rsidRPr="00C56B30" w:rsidR="00C56B30">
        <w:rPr>
          <w:rFonts w:hint="cs"/>
          <w:b/>
          <w:bCs/>
          <w:rtl/>
        </w:rPr>
        <w:t>9</w:t>
      </w:r>
      <w:r w:rsidRPr="00786470" w:rsidR="00253C38">
        <w:rPr>
          <w:b/>
          <w:bCs/>
          <w:rtl/>
        </w:rPr>
        <w:t xml:space="preserve">: </w:t>
      </w:r>
      <w:r w:rsidRPr="00786470" w:rsidR="00253C38">
        <w:rPr>
          <w:rFonts w:hint="eastAsia"/>
          <w:b/>
          <w:bCs/>
          <w:rtl/>
        </w:rPr>
        <w:t>נתוני</w:t>
      </w:r>
      <w:r w:rsidRPr="00786470" w:rsidR="00253C38">
        <w:rPr>
          <w:b/>
          <w:bCs/>
          <w:rtl/>
        </w:rPr>
        <w:t xml:space="preserve"> </w:t>
      </w:r>
      <w:r w:rsidRPr="00786470" w:rsidR="00253C38">
        <w:rPr>
          <w:rFonts w:hint="eastAsia"/>
          <w:b/>
          <w:bCs/>
          <w:rtl/>
        </w:rPr>
        <w:t>מימוש</w:t>
      </w:r>
      <w:r w:rsidRPr="00786470" w:rsidR="00253C38">
        <w:rPr>
          <w:b/>
          <w:bCs/>
          <w:rtl/>
        </w:rPr>
        <w:t xml:space="preserve"> </w:t>
      </w:r>
      <w:r w:rsidRPr="00786470" w:rsidR="00253C38">
        <w:rPr>
          <w:rFonts w:hint="eastAsia"/>
          <w:b/>
          <w:bCs/>
          <w:rtl/>
        </w:rPr>
        <w:t>המתווה</w:t>
      </w:r>
      <w:r w:rsidRPr="00786470" w:rsidR="00253C38">
        <w:rPr>
          <w:b/>
          <w:bCs/>
          <w:rtl/>
        </w:rPr>
        <w:t xml:space="preserve"> </w:t>
      </w:r>
      <w:r w:rsidRPr="00786470" w:rsidR="00253C38">
        <w:rPr>
          <w:rFonts w:hint="eastAsia"/>
          <w:b/>
          <w:bCs/>
          <w:rtl/>
        </w:rPr>
        <w:t>בחלוקה</w:t>
      </w:r>
      <w:r w:rsidRPr="00786470" w:rsidR="00253C38">
        <w:rPr>
          <w:b/>
          <w:bCs/>
          <w:rtl/>
        </w:rPr>
        <w:t xml:space="preserve"> </w:t>
      </w:r>
      <w:r w:rsidRPr="00786470" w:rsidR="00253C38">
        <w:rPr>
          <w:rFonts w:hint="eastAsia"/>
          <w:b/>
          <w:bCs/>
          <w:rtl/>
        </w:rPr>
        <w:t>למגזרי</w:t>
      </w:r>
      <w:r w:rsidRPr="00786470" w:rsidR="00253C38">
        <w:rPr>
          <w:b/>
          <w:bCs/>
          <w:rtl/>
        </w:rPr>
        <w:t xml:space="preserve"> </w:t>
      </w:r>
      <w:r w:rsidRPr="00786470" w:rsidR="00253C38">
        <w:rPr>
          <w:rFonts w:hint="eastAsia"/>
          <w:b/>
          <w:bCs/>
          <w:rtl/>
        </w:rPr>
        <w:t>הפעילות</w:t>
      </w:r>
      <w:r w:rsidRPr="00786470">
        <w:rPr>
          <w:b/>
          <w:bCs/>
          <w:rtl/>
        </w:rPr>
        <w:t xml:space="preserve">, </w:t>
      </w:r>
      <w:r>
        <w:rPr>
          <w:rFonts w:hint="cs"/>
          <w:b/>
          <w:bCs/>
          <w:rtl/>
        </w:rPr>
        <w:t>13.11.20</w:t>
      </w:r>
      <w:r w:rsidRPr="008B4275" w:rsidR="00253C38">
        <w:rPr>
          <w:rFonts w:hint="cs"/>
          <w:b/>
          <w:bCs/>
          <w:rtl/>
        </w:rPr>
        <w:t xml:space="preserve"> (</w:t>
      </w:r>
      <w:r w:rsidRPr="00786470" w:rsidR="00253C38">
        <w:rPr>
          <w:rFonts w:hint="eastAsia"/>
          <w:b/>
          <w:bCs/>
          <w:rtl/>
        </w:rPr>
        <w:t>במיליוני</w:t>
      </w:r>
      <w:r w:rsidRPr="00786470" w:rsidR="00253C38">
        <w:rPr>
          <w:b/>
          <w:bCs/>
          <w:rtl/>
        </w:rPr>
        <w:t xml:space="preserve"> </w:t>
      </w:r>
      <w:r w:rsidRPr="00786470" w:rsidR="00253C38">
        <w:rPr>
          <w:rFonts w:hint="eastAsia"/>
          <w:b/>
          <w:bCs/>
          <w:rtl/>
        </w:rPr>
        <w:t>ש</w:t>
      </w:r>
      <w:r w:rsidRPr="00786470" w:rsidR="00253C38">
        <w:rPr>
          <w:b/>
          <w:bCs/>
          <w:rtl/>
        </w:rPr>
        <w:t>"ח</w:t>
      </w:r>
      <w:r>
        <w:rPr>
          <w:rFonts w:hint="cs"/>
          <w:b/>
          <w:bCs/>
          <w:rtl/>
        </w:rPr>
        <w:t>)</w:t>
      </w:r>
    </w:p>
    <w:tbl>
      <w:tblPr>
        <w:tblStyle w:val="TableGrid"/>
        <w:bidiVisual/>
        <w:tblW w:w="9204" w:type="dxa"/>
        <w:tblInd w:w="-551" w:type="dxa"/>
        <w:tblLook w:val="04A0"/>
      </w:tblPr>
      <w:tblGrid>
        <w:gridCol w:w="2694"/>
        <w:gridCol w:w="1075"/>
        <w:gridCol w:w="1077"/>
        <w:gridCol w:w="1674"/>
        <w:gridCol w:w="1609"/>
        <w:gridCol w:w="1075"/>
      </w:tblGrid>
      <w:tr w14:paraId="3106CBEB" w14:textId="77777777" w:rsidTr="005C5FE5">
        <w:tblPrEx>
          <w:tblW w:w="9204" w:type="dxa"/>
          <w:tblInd w:w="-551" w:type="dxa"/>
          <w:tblLook w:val="04A0"/>
        </w:tblPrEx>
        <w:tc>
          <w:tcPr>
            <w:tcW w:w="2694" w:type="dxa"/>
            <w:shd w:val="clear" w:color="auto" w:fill="002060"/>
          </w:tcPr>
          <w:p w:rsidR="005C5FE5" w:rsidRPr="00E065A2" w:rsidP="00982BC1" w14:paraId="1A08369F" w14:textId="77777777">
            <w:pPr>
              <w:spacing w:line="269" w:lineRule="auto"/>
              <w:jc w:val="center"/>
              <w:rPr>
                <w:rFonts w:ascii="Tahoma" w:hAnsi="Tahoma" w:cs="Tahoma"/>
                <w:noProof/>
                <w:color w:val="FFFFFF" w:themeColor="background1"/>
                <w:sz w:val="22"/>
                <w:szCs w:val="22"/>
                <w:rtl/>
              </w:rPr>
            </w:pPr>
          </w:p>
        </w:tc>
        <w:tc>
          <w:tcPr>
            <w:tcW w:w="1075" w:type="dxa"/>
            <w:shd w:val="clear" w:color="auto" w:fill="002060"/>
            <w:vAlign w:val="bottom"/>
          </w:tcPr>
          <w:p w:rsidR="005C5FE5" w:rsidRPr="00E065A2" w:rsidP="00982BC1" w14:paraId="482425B0"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צרכני</w:t>
            </w:r>
          </w:p>
        </w:tc>
        <w:tc>
          <w:tcPr>
            <w:tcW w:w="1077" w:type="dxa"/>
            <w:shd w:val="clear" w:color="auto" w:fill="002060"/>
            <w:vAlign w:val="bottom"/>
          </w:tcPr>
          <w:p w:rsidR="005C5FE5" w:rsidRPr="00E065A2" w:rsidP="00982BC1" w14:paraId="2DC6A60F"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דיור</w:t>
            </w:r>
          </w:p>
        </w:tc>
        <w:tc>
          <w:tcPr>
            <w:tcW w:w="1674" w:type="dxa"/>
            <w:shd w:val="clear" w:color="auto" w:fill="002060"/>
            <w:vAlign w:val="bottom"/>
          </w:tcPr>
          <w:p w:rsidR="005C5FE5" w:rsidRPr="00E065A2" w:rsidP="00982BC1" w14:paraId="38DD4E1D"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עסקים קטנים</w:t>
            </w:r>
          </w:p>
        </w:tc>
        <w:tc>
          <w:tcPr>
            <w:tcW w:w="1609" w:type="dxa"/>
            <w:shd w:val="clear" w:color="auto" w:fill="002060"/>
            <w:vAlign w:val="bottom"/>
          </w:tcPr>
          <w:p w:rsidR="005C5FE5" w:rsidRPr="00E065A2" w:rsidP="00982BC1" w14:paraId="1D0A7F03"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עסקי-מסחרי</w:t>
            </w:r>
          </w:p>
        </w:tc>
        <w:tc>
          <w:tcPr>
            <w:tcW w:w="1075" w:type="dxa"/>
            <w:shd w:val="clear" w:color="auto" w:fill="002060"/>
            <w:vAlign w:val="bottom"/>
          </w:tcPr>
          <w:p w:rsidR="005C5FE5" w:rsidRPr="00E065A2" w:rsidP="00982BC1" w14:paraId="36B74CB7"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סה"כ</w:t>
            </w:r>
          </w:p>
        </w:tc>
      </w:tr>
      <w:tr w14:paraId="2C4AC2DD" w14:textId="77777777" w:rsidTr="005C5FE5">
        <w:tblPrEx>
          <w:tblW w:w="9204" w:type="dxa"/>
          <w:tblInd w:w="-551" w:type="dxa"/>
          <w:tblLook w:val="04A0"/>
        </w:tblPrEx>
        <w:tc>
          <w:tcPr>
            <w:tcW w:w="2694" w:type="dxa"/>
            <w:shd w:val="clear" w:color="auto" w:fill="808080" w:themeFill="background1" w:themeFillShade="80"/>
            <w:vAlign w:val="bottom"/>
          </w:tcPr>
          <w:p w:rsidR="005C5FE5" w:rsidRPr="00E065A2" w:rsidP="00982BC1" w14:paraId="6CC9BC20"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מספר הלקוחות שנדחו להם התשלומים</w:t>
            </w:r>
          </w:p>
        </w:tc>
        <w:tc>
          <w:tcPr>
            <w:tcW w:w="1075" w:type="dxa"/>
            <w:vAlign w:val="bottom"/>
          </w:tcPr>
          <w:p w:rsidR="005C5FE5" w:rsidRPr="00E065A2" w:rsidP="00982BC1" w14:paraId="12431BF4" w14:textId="77777777">
            <w:pPr>
              <w:spacing w:line="269" w:lineRule="auto"/>
              <w:jc w:val="center"/>
              <w:rPr>
                <w:rFonts w:ascii="Tahoma" w:hAnsi="Tahoma" w:cs="Tahoma"/>
                <w:noProof/>
                <w:sz w:val="22"/>
                <w:szCs w:val="22"/>
                <w:rtl/>
              </w:rPr>
            </w:pPr>
            <w:r w:rsidRPr="00E065A2">
              <w:rPr>
                <w:rFonts w:ascii="Tahoma" w:hAnsi="Tahoma" w:cs="Tahoma"/>
                <w:noProof/>
                <w:sz w:val="22"/>
                <w:szCs w:val="22"/>
                <w:rtl/>
              </w:rPr>
              <w:t>486,344</w:t>
            </w:r>
          </w:p>
        </w:tc>
        <w:tc>
          <w:tcPr>
            <w:tcW w:w="1077" w:type="dxa"/>
            <w:vAlign w:val="bottom"/>
          </w:tcPr>
          <w:p w:rsidR="005C5FE5" w:rsidRPr="00E065A2" w:rsidP="00982BC1" w14:paraId="33940ABA" w14:textId="77777777">
            <w:pPr>
              <w:spacing w:line="269" w:lineRule="auto"/>
              <w:jc w:val="center"/>
              <w:rPr>
                <w:rFonts w:ascii="Tahoma" w:hAnsi="Tahoma" w:cs="Tahoma"/>
                <w:noProof/>
                <w:sz w:val="22"/>
                <w:szCs w:val="22"/>
                <w:rtl/>
              </w:rPr>
            </w:pPr>
            <w:r w:rsidRPr="00E065A2">
              <w:rPr>
                <w:rFonts w:ascii="Tahoma" w:hAnsi="Tahoma" w:cs="Tahoma"/>
                <w:noProof/>
                <w:sz w:val="22"/>
                <w:szCs w:val="22"/>
              </w:rPr>
              <w:t>185,250</w:t>
            </w:r>
          </w:p>
        </w:tc>
        <w:tc>
          <w:tcPr>
            <w:tcW w:w="1674" w:type="dxa"/>
            <w:vAlign w:val="bottom"/>
          </w:tcPr>
          <w:p w:rsidR="005C5FE5" w:rsidRPr="00E065A2" w:rsidP="00982BC1" w14:paraId="516C460E" w14:textId="77777777">
            <w:pPr>
              <w:spacing w:line="269" w:lineRule="auto"/>
              <w:jc w:val="center"/>
              <w:rPr>
                <w:rFonts w:ascii="Tahoma" w:hAnsi="Tahoma" w:cs="Tahoma"/>
                <w:noProof/>
                <w:sz w:val="22"/>
                <w:szCs w:val="22"/>
                <w:rtl/>
              </w:rPr>
            </w:pPr>
            <w:r w:rsidRPr="00E065A2">
              <w:rPr>
                <w:rFonts w:ascii="Tahoma" w:hAnsi="Tahoma" w:cs="Tahoma"/>
                <w:noProof/>
                <w:sz w:val="22"/>
                <w:szCs w:val="22"/>
              </w:rPr>
              <w:t>178,626</w:t>
            </w:r>
          </w:p>
        </w:tc>
        <w:tc>
          <w:tcPr>
            <w:tcW w:w="1609" w:type="dxa"/>
            <w:vAlign w:val="bottom"/>
          </w:tcPr>
          <w:p w:rsidR="005C5FE5" w:rsidRPr="00E065A2" w:rsidP="00982BC1" w14:paraId="41C861AD" w14:textId="77777777">
            <w:pPr>
              <w:spacing w:line="269" w:lineRule="auto"/>
              <w:jc w:val="center"/>
              <w:rPr>
                <w:rFonts w:ascii="Tahoma" w:hAnsi="Tahoma" w:cs="Tahoma"/>
                <w:noProof/>
                <w:sz w:val="22"/>
                <w:szCs w:val="22"/>
                <w:rtl/>
              </w:rPr>
            </w:pPr>
            <w:r w:rsidRPr="00E065A2">
              <w:rPr>
                <w:rFonts w:ascii="Tahoma" w:hAnsi="Tahoma" w:cs="Tahoma"/>
                <w:noProof/>
                <w:sz w:val="22"/>
                <w:szCs w:val="22"/>
              </w:rPr>
              <w:t>8,648</w:t>
            </w:r>
          </w:p>
        </w:tc>
        <w:tc>
          <w:tcPr>
            <w:tcW w:w="1075" w:type="dxa"/>
            <w:vAlign w:val="bottom"/>
          </w:tcPr>
          <w:p w:rsidR="005C5FE5" w:rsidRPr="00E065A2" w:rsidP="00982BC1" w14:paraId="3F57F47A" w14:textId="77777777">
            <w:pPr>
              <w:spacing w:line="269" w:lineRule="auto"/>
              <w:jc w:val="center"/>
              <w:rPr>
                <w:rFonts w:ascii="Tahoma" w:hAnsi="Tahoma" w:cs="Tahoma"/>
                <w:noProof/>
                <w:sz w:val="22"/>
                <w:szCs w:val="22"/>
                <w:rtl/>
              </w:rPr>
            </w:pPr>
            <w:r w:rsidRPr="00E065A2">
              <w:rPr>
                <w:rFonts w:ascii="Tahoma" w:hAnsi="Tahoma" w:cs="Tahoma"/>
                <w:noProof/>
                <w:sz w:val="22"/>
                <w:szCs w:val="22"/>
              </w:rPr>
              <w:t>858,868</w:t>
            </w:r>
          </w:p>
        </w:tc>
      </w:tr>
      <w:tr w14:paraId="0C7B3989" w14:textId="77777777" w:rsidTr="005C5FE5">
        <w:tblPrEx>
          <w:tblW w:w="9204" w:type="dxa"/>
          <w:tblInd w:w="-551" w:type="dxa"/>
          <w:tblLook w:val="04A0"/>
        </w:tblPrEx>
        <w:tc>
          <w:tcPr>
            <w:tcW w:w="2694" w:type="dxa"/>
            <w:shd w:val="clear" w:color="auto" w:fill="808080" w:themeFill="background1" w:themeFillShade="80"/>
            <w:vAlign w:val="bottom"/>
          </w:tcPr>
          <w:p w:rsidR="005C5FE5" w:rsidRPr="00E065A2" w:rsidP="00982BC1" w14:paraId="4B226A42"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יתרת התשלומים שנדחו בפועל</w:t>
            </w:r>
          </w:p>
        </w:tc>
        <w:tc>
          <w:tcPr>
            <w:tcW w:w="1075" w:type="dxa"/>
            <w:vAlign w:val="bottom"/>
          </w:tcPr>
          <w:p w:rsidR="005C5FE5" w:rsidRPr="00E065A2" w:rsidP="00982BC1" w14:paraId="025334E1" w14:textId="77777777">
            <w:pPr>
              <w:spacing w:line="269" w:lineRule="auto"/>
              <w:jc w:val="center"/>
              <w:rPr>
                <w:rFonts w:ascii="Tahoma" w:hAnsi="Tahoma" w:cs="Tahoma"/>
                <w:b/>
                <w:bCs/>
                <w:noProof/>
                <w:sz w:val="22"/>
                <w:szCs w:val="22"/>
                <w:rtl/>
              </w:rPr>
            </w:pPr>
            <w:r w:rsidRPr="00E065A2">
              <w:rPr>
                <w:rFonts w:ascii="Tahoma" w:hAnsi="Tahoma" w:cs="Tahoma"/>
                <w:color w:val="000000"/>
                <w:sz w:val="22"/>
                <w:szCs w:val="22"/>
              </w:rPr>
              <w:t>2,020</w:t>
            </w:r>
          </w:p>
        </w:tc>
        <w:tc>
          <w:tcPr>
            <w:tcW w:w="1077" w:type="dxa"/>
            <w:vAlign w:val="bottom"/>
          </w:tcPr>
          <w:p w:rsidR="005C5FE5" w:rsidRPr="00E065A2" w:rsidP="00982BC1" w14:paraId="4D20597B" w14:textId="77777777">
            <w:pPr>
              <w:spacing w:line="269" w:lineRule="auto"/>
              <w:jc w:val="center"/>
              <w:rPr>
                <w:rFonts w:ascii="Tahoma" w:hAnsi="Tahoma" w:cs="Tahoma"/>
                <w:noProof/>
                <w:sz w:val="22"/>
                <w:szCs w:val="22"/>
                <w:rtl/>
              </w:rPr>
            </w:pPr>
            <w:r w:rsidRPr="00E065A2">
              <w:rPr>
                <w:rFonts w:ascii="Tahoma" w:hAnsi="Tahoma" w:cs="Tahoma"/>
                <w:noProof/>
                <w:sz w:val="22"/>
                <w:szCs w:val="22"/>
              </w:rPr>
              <w:t>3,278</w:t>
            </w:r>
          </w:p>
        </w:tc>
        <w:tc>
          <w:tcPr>
            <w:tcW w:w="1674" w:type="dxa"/>
            <w:vAlign w:val="bottom"/>
          </w:tcPr>
          <w:p w:rsidR="005C5FE5" w:rsidRPr="00E065A2" w:rsidP="00982BC1" w14:paraId="6D1590EF" w14:textId="77777777">
            <w:pPr>
              <w:spacing w:line="269" w:lineRule="auto"/>
              <w:jc w:val="center"/>
              <w:rPr>
                <w:rFonts w:ascii="Tahoma" w:hAnsi="Tahoma" w:cs="Tahoma"/>
                <w:noProof/>
                <w:sz w:val="22"/>
                <w:szCs w:val="22"/>
                <w:rtl/>
              </w:rPr>
            </w:pPr>
            <w:r w:rsidRPr="00E065A2">
              <w:rPr>
                <w:rFonts w:ascii="Tahoma" w:hAnsi="Tahoma" w:cs="Tahoma"/>
                <w:noProof/>
                <w:sz w:val="22"/>
                <w:szCs w:val="22"/>
              </w:rPr>
              <w:t>3,621</w:t>
            </w:r>
          </w:p>
        </w:tc>
        <w:tc>
          <w:tcPr>
            <w:tcW w:w="1609" w:type="dxa"/>
            <w:vAlign w:val="bottom"/>
          </w:tcPr>
          <w:p w:rsidR="005C5FE5" w:rsidRPr="00E065A2" w:rsidP="00982BC1" w14:paraId="6F661C14" w14:textId="77777777">
            <w:pPr>
              <w:spacing w:line="269" w:lineRule="auto"/>
              <w:jc w:val="center"/>
              <w:rPr>
                <w:rFonts w:ascii="Tahoma" w:hAnsi="Tahoma" w:cs="Tahoma"/>
                <w:noProof/>
                <w:sz w:val="22"/>
                <w:szCs w:val="22"/>
                <w:rtl/>
              </w:rPr>
            </w:pPr>
            <w:r w:rsidRPr="00E065A2">
              <w:rPr>
                <w:rFonts w:ascii="Tahoma" w:hAnsi="Tahoma" w:cs="Tahoma"/>
                <w:noProof/>
                <w:sz w:val="22"/>
                <w:szCs w:val="22"/>
              </w:rPr>
              <w:t>1,905</w:t>
            </w:r>
          </w:p>
        </w:tc>
        <w:tc>
          <w:tcPr>
            <w:tcW w:w="1075" w:type="dxa"/>
            <w:vAlign w:val="bottom"/>
          </w:tcPr>
          <w:p w:rsidR="005C5FE5" w:rsidRPr="00E065A2" w:rsidP="00982BC1" w14:paraId="3B5023D3" w14:textId="77777777">
            <w:pPr>
              <w:spacing w:line="269" w:lineRule="auto"/>
              <w:jc w:val="center"/>
              <w:rPr>
                <w:rFonts w:ascii="Tahoma" w:hAnsi="Tahoma" w:cs="Tahoma"/>
                <w:noProof/>
                <w:sz w:val="22"/>
                <w:szCs w:val="22"/>
                <w:rtl/>
              </w:rPr>
            </w:pPr>
            <w:r w:rsidRPr="00E065A2">
              <w:rPr>
                <w:rFonts w:ascii="Tahoma" w:hAnsi="Tahoma" w:cs="Tahoma"/>
                <w:noProof/>
                <w:sz w:val="22"/>
                <w:szCs w:val="22"/>
              </w:rPr>
              <w:t>10,824</w:t>
            </w:r>
          </w:p>
        </w:tc>
      </w:tr>
      <w:tr w14:paraId="21884FCF" w14:textId="77777777" w:rsidTr="005C5FE5">
        <w:tblPrEx>
          <w:tblW w:w="9204" w:type="dxa"/>
          <w:tblInd w:w="-551" w:type="dxa"/>
          <w:tblLook w:val="04A0"/>
        </w:tblPrEx>
        <w:tc>
          <w:tcPr>
            <w:tcW w:w="2694" w:type="dxa"/>
            <w:shd w:val="clear" w:color="auto" w:fill="808080" w:themeFill="background1" w:themeFillShade="80"/>
            <w:vAlign w:val="bottom"/>
          </w:tcPr>
          <w:p w:rsidR="005C5FE5" w:rsidRPr="00E065A2" w:rsidP="00982BC1" w14:paraId="6E5AF51D"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יתרת האשראי שבגינו נדחו התשלומים</w:t>
            </w:r>
          </w:p>
        </w:tc>
        <w:tc>
          <w:tcPr>
            <w:tcW w:w="1075" w:type="dxa"/>
            <w:vAlign w:val="bottom"/>
          </w:tcPr>
          <w:p w:rsidR="005C5FE5" w:rsidRPr="00E065A2" w:rsidP="00982BC1" w14:paraId="327A4A27" w14:textId="77777777">
            <w:pPr>
              <w:spacing w:line="269" w:lineRule="auto"/>
              <w:jc w:val="center"/>
              <w:rPr>
                <w:rFonts w:ascii="Tahoma" w:hAnsi="Tahoma" w:cs="Tahoma"/>
                <w:b/>
                <w:bCs/>
                <w:noProof/>
                <w:sz w:val="22"/>
                <w:szCs w:val="22"/>
                <w:rtl/>
              </w:rPr>
            </w:pPr>
            <w:r w:rsidRPr="00E065A2">
              <w:rPr>
                <w:rFonts w:ascii="Tahoma" w:hAnsi="Tahoma" w:cs="Tahoma"/>
                <w:color w:val="000000"/>
                <w:sz w:val="22"/>
                <w:szCs w:val="22"/>
              </w:rPr>
              <w:t>16,993</w:t>
            </w:r>
          </w:p>
        </w:tc>
        <w:tc>
          <w:tcPr>
            <w:tcW w:w="1077" w:type="dxa"/>
            <w:vAlign w:val="bottom"/>
          </w:tcPr>
          <w:p w:rsidR="005C5FE5" w:rsidRPr="00E065A2" w:rsidP="00982BC1" w14:paraId="187B944F" w14:textId="77777777">
            <w:pPr>
              <w:spacing w:line="269" w:lineRule="auto"/>
              <w:jc w:val="center"/>
              <w:rPr>
                <w:rFonts w:ascii="Tahoma" w:hAnsi="Tahoma" w:cs="Tahoma"/>
                <w:noProof/>
                <w:sz w:val="22"/>
                <w:szCs w:val="22"/>
                <w:rtl/>
              </w:rPr>
            </w:pPr>
            <w:r w:rsidRPr="00E065A2">
              <w:rPr>
                <w:rFonts w:ascii="Tahoma" w:hAnsi="Tahoma" w:cs="Tahoma"/>
                <w:noProof/>
                <w:sz w:val="22"/>
                <w:szCs w:val="22"/>
              </w:rPr>
              <w:t>106,684</w:t>
            </w:r>
          </w:p>
        </w:tc>
        <w:tc>
          <w:tcPr>
            <w:tcW w:w="1674" w:type="dxa"/>
            <w:vAlign w:val="bottom"/>
          </w:tcPr>
          <w:p w:rsidR="005C5FE5" w:rsidRPr="00E065A2" w:rsidP="00982BC1" w14:paraId="57F561E1" w14:textId="77777777">
            <w:pPr>
              <w:spacing w:line="269" w:lineRule="auto"/>
              <w:jc w:val="center"/>
              <w:rPr>
                <w:rFonts w:ascii="Tahoma" w:hAnsi="Tahoma" w:cs="Tahoma"/>
                <w:noProof/>
                <w:sz w:val="22"/>
                <w:szCs w:val="22"/>
                <w:rtl/>
              </w:rPr>
            </w:pPr>
            <w:r w:rsidRPr="00E065A2">
              <w:rPr>
                <w:rFonts w:ascii="Tahoma" w:hAnsi="Tahoma" w:cs="Tahoma"/>
                <w:noProof/>
                <w:sz w:val="22"/>
                <w:szCs w:val="22"/>
              </w:rPr>
              <w:t>24,144</w:t>
            </w:r>
          </w:p>
        </w:tc>
        <w:tc>
          <w:tcPr>
            <w:tcW w:w="1609" w:type="dxa"/>
            <w:vAlign w:val="bottom"/>
          </w:tcPr>
          <w:p w:rsidR="005C5FE5" w:rsidRPr="00E065A2" w:rsidP="00982BC1" w14:paraId="7BB8E401" w14:textId="77777777">
            <w:pPr>
              <w:spacing w:line="269" w:lineRule="auto"/>
              <w:jc w:val="center"/>
              <w:rPr>
                <w:rFonts w:ascii="Tahoma" w:hAnsi="Tahoma" w:cs="Tahoma"/>
                <w:noProof/>
                <w:sz w:val="22"/>
                <w:szCs w:val="22"/>
                <w:rtl/>
              </w:rPr>
            </w:pPr>
            <w:r w:rsidRPr="00E065A2">
              <w:rPr>
                <w:rFonts w:ascii="Tahoma" w:hAnsi="Tahoma" w:cs="Tahoma"/>
                <w:noProof/>
                <w:sz w:val="22"/>
                <w:szCs w:val="22"/>
              </w:rPr>
              <w:t>26,614</w:t>
            </w:r>
          </w:p>
        </w:tc>
        <w:tc>
          <w:tcPr>
            <w:tcW w:w="1075" w:type="dxa"/>
            <w:vAlign w:val="bottom"/>
          </w:tcPr>
          <w:p w:rsidR="005C5FE5" w:rsidRPr="00E065A2" w:rsidP="00982BC1" w14:paraId="7F0FF072" w14:textId="77777777">
            <w:pPr>
              <w:spacing w:line="269" w:lineRule="auto"/>
              <w:jc w:val="center"/>
              <w:rPr>
                <w:rFonts w:ascii="Tahoma" w:hAnsi="Tahoma" w:cs="Tahoma"/>
                <w:noProof/>
                <w:sz w:val="22"/>
                <w:szCs w:val="22"/>
                <w:rtl/>
              </w:rPr>
            </w:pPr>
            <w:r w:rsidRPr="00E065A2">
              <w:rPr>
                <w:rFonts w:ascii="Tahoma" w:hAnsi="Tahoma" w:cs="Tahoma"/>
                <w:noProof/>
                <w:sz w:val="22"/>
                <w:szCs w:val="22"/>
              </w:rPr>
              <w:t>174,435</w:t>
            </w:r>
          </w:p>
        </w:tc>
      </w:tr>
      <w:tr w14:paraId="20024311" w14:textId="77777777" w:rsidTr="005C5FE5">
        <w:tblPrEx>
          <w:tblW w:w="9204" w:type="dxa"/>
          <w:tblInd w:w="-551" w:type="dxa"/>
          <w:tblLook w:val="04A0"/>
        </w:tblPrEx>
        <w:tc>
          <w:tcPr>
            <w:tcW w:w="2694" w:type="dxa"/>
            <w:shd w:val="clear" w:color="auto" w:fill="808080" w:themeFill="background1" w:themeFillShade="80"/>
            <w:vAlign w:val="bottom"/>
          </w:tcPr>
          <w:p w:rsidR="005C5FE5" w:rsidRPr="00E065A2" w:rsidP="00982BC1" w14:paraId="056A7E90" w14:textId="77777777">
            <w:pPr>
              <w:spacing w:line="269" w:lineRule="auto"/>
              <w:jc w:val="center"/>
              <w:rPr>
                <w:rFonts w:ascii="Tahoma" w:hAnsi="Tahoma" w:cs="Tahoma"/>
                <w:noProof/>
                <w:color w:val="FFFFFF" w:themeColor="background1"/>
                <w:sz w:val="22"/>
                <w:szCs w:val="22"/>
                <w:rtl/>
              </w:rPr>
            </w:pPr>
            <w:r w:rsidRPr="00E065A2">
              <w:rPr>
                <w:rFonts w:ascii="Tahoma" w:hAnsi="Tahoma" w:cs="Tahoma"/>
                <w:color w:val="FFFFFF" w:themeColor="background1"/>
                <w:sz w:val="22"/>
                <w:szCs w:val="22"/>
                <w:rtl/>
              </w:rPr>
              <w:t>שיעור מסך תיק האשראי</w:t>
            </w:r>
          </w:p>
        </w:tc>
        <w:tc>
          <w:tcPr>
            <w:tcW w:w="1075" w:type="dxa"/>
            <w:vAlign w:val="bottom"/>
          </w:tcPr>
          <w:p w:rsidR="005C5FE5" w:rsidRPr="00E065A2" w:rsidP="00982BC1" w14:paraId="6185FCED" w14:textId="77777777">
            <w:pPr>
              <w:spacing w:line="269" w:lineRule="auto"/>
              <w:jc w:val="center"/>
              <w:rPr>
                <w:rFonts w:ascii="Tahoma" w:hAnsi="Tahoma" w:cs="Tahoma"/>
                <w:b/>
                <w:bCs/>
                <w:noProof/>
                <w:sz w:val="22"/>
                <w:szCs w:val="22"/>
                <w:rtl/>
              </w:rPr>
            </w:pPr>
            <w:r w:rsidRPr="00E065A2">
              <w:rPr>
                <w:rFonts w:ascii="Tahoma" w:hAnsi="Tahoma" w:cs="Tahoma"/>
                <w:color w:val="000000"/>
                <w:sz w:val="22"/>
                <w:szCs w:val="22"/>
              </w:rPr>
              <w:t>12.0%</w:t>
            </w:r>
          </w:p>
        </w:tc>
        <w:tc>
          <w:tcPr>
            <w:tcW w:w="1077" w:type="dxa"/>
            <w:vAlign w:val="bottom"/>
          </w:tcPr>
          <w:p w:rsidR="005C5FE5" w:rsidRPr="00E065A2" w:rsidP="00982BC1" w14:paraId="6C450D27" w14:textId="77777777">
            <w:pPr>
              <w:spacing w:line="269" w:lineRule="auto"/>
              <w:jc w:val="center"/>
              <w:rPr>
                <w:rFonts w:ascii="Tahoma" w:hAnsi="Tahoma" w:cs="Tahoma"/>
                <w:noProof/>
                <w:sz w:val="22"/>
                <w:szCs w:val="22"/>
                <w:rtl/>
              </w:rPr>
            </w:pPr>
            <w:r w:rsidRPr="00E065A2">
              <w:rPr>
                <w:rFonts w:ascii="Tahoma" w:hAnsi="Tahoma" w:cs="Tahoma"/>
                <w:noProof/>
                <w:sz w:val="22"/>
                <w:szCs w:val="22"/>
              </w:rPr>
              <w:t>25.4%</w:t>
            </w:r>
          </w:p>
        </w:tc>
        <w:tc>
          <w:tcPr>
            <w:tcW w:w="1674" w:type="dxa"/>
            <w:vAlign w:val="bottom"/>
          </w:tcPr>
          <w:p w:rsidR="005C5FE5" w:rsidRPr="00E065A2" w:rsidP="00982BC1" w14:paraId="30167114" w14:textId="77777777">
            <w:pPr>
              <w:spacing w:line="269" w:lineRule="auto"/>
              <w:jc w:val="center"/>
              <w:rPr>
                <w:rFonts w:ascii="Tahoma" w:hAnsi="Tahoma" w:cs="Tahoma"/>
                <w:noProof/>
                <w:sz w:val="22"/>
                <w:szCs w:val="22"/>
                <w:rtl/>
              </w:rPr>
            </w:pPr>
            <w:r w:rsidRPr="00E065A2">
              <w:rPr>
                <w:rFonts w:ascii="Tahoma" w:hAnsi="Tahoma" w:cs="Tahoma"/>
                <w:noProof/>
                <w:sz w:val="22"/>
                <w:szCs w:val="22"/>
              </w:rPr>
              <w:t>22.2%</w:t>
            </w:r>
          </w:p>
        </w:tc>
        <w:tc>
          <w:tcPr>
            <w:tcW w:w="1609" w:type="dxa"/>
            <w:vAlign w:val="bottom"/>
          </w:tcPr>
          <w:p w:rsidR="005C5FE5" w:rsidRPr="00E065A2" w:rsidP="00982BC1" w14:paraId="67FCD2EC" w14:textId="77777777">
            <w:pPr>
              <w:spacing w:line="269" w:lineRule="auto"/>
              <w:jc w:val="center"/>
              <w:rPr>
                <w:rFonts w:ascii="Tahoma" w:hAnsi="Tahoma" w:cs="Tahoma"/>
                <w:noProof/>
                <w:sz w:val="22"/>
                <w:szCs w:val="22"/>
                <w:rtl/>
              </w:rPr>
            </w:pPr>
            <w:r w:rsidRPr="00E065A2">
              <w:rPr>
                <w:rFonts w:ascii="Tahoma" w:hAnsi="Tahoma" w:cs="Tahoma"/>
                <w:noProof/>
                <w:sz w:val="22"/>
                <w:szCs w:val="22"/>
              </w:rPr>
              <w:t>6.8%</w:t>
            </w:r>
          </w:p>
        </w:tc>
        <w:tc>
          <w:tcPr>
            <w:tcW w:w="1075" w:type="dxa"/>
            <w:vAlign w:val="bottom"/>
          </w:tcPr>
          <w:p w:rsidR="005C5FE5" w:rsidRPr="00E065A2" w:rsidP="00982BC1" w14:paraId="69348C96" w14:textId="77777777">
            <w:pPr>
              <w:spacing w:line="269" w:lineRule="auto"/>
              <w:jc w:val="center"/>
              <w:rPr>
                <w:rFonts w:ascii="Tahoma" w:hAnsi="Tahoma" w:cs="Tahoma"/>
                <w:noProof/>
                <w:sz w:val="22"/>
                <w:szCs w:val="22"/>
                <w:rtl/>
              </w:rPr>
            </w:pPr>
            <w:r w:rsidRPr="00E065A2">
              <w:rPr>
                <w:rFonts w:ascii="Tahoma" w:hAnsi="Tahoma" w:cs="Tahoma"/>
                <w:noProof/>
                <w:sz w:val="22"/>
                <w:szCs w:val="22"/>
              </w:rPr>
              <w:t>16.4%</w:t>
            </w:r>
          </w:p>
        </w:tc>
      </w:tr>
    </w:tbl>
    <w:p w:rsidR="00BA0E91" w:rsidP="00982BC1" w14:paraId="11D39E39" w14:textId="698356C8">
      <w:pPr>
        <w:spacing w:line="269" w:lineRule="auto"/>
        <w:ind w:left="-1134"/>
        <w:jc w:val="center"/>
        <w:rPr>
          <w:sz w:val="16"/>
          <w:szCs w:val="20"/>
          <w:rtl/>
        </w:rPr>
      </w:pPr>
      <w:r>
        <w:rPr>
          <w:b/>
          <w:bCs/>
          <w:noProof/>
          <w:rtl/>
        </w:rPr>
        <w:t xml:space="preserve"> </w:t>
      </w:r>
    </w:p>
    <w:p w:rsidR="00253C38" w:rsidRPr="00E065A2" w:rsidP="00982BC1" w14:paraId="7E69A946" w14:textId="77777777">
      <w:pPr>
        <w:spacing w:line="269" w:lineRule="auto"/>
        <w:rPr>
          <w:sz w:val="22"/>
          <w:szCs w:val="28"/>
          <w:rtl/>
        </w:rPr>
      </w:pPr>
      <w:r w:rsidRPr="00E065A2">
        <w:rPr>
          <w:rFonts w:hint="cs"/>
          <w:sz w:val="18"/>
          <w:szCs w:val="22"/>
          <w:rtl/>
        </w:rPr>
        <w:t>הפיקוח על הבנקים, בעיבוד משרד מבקר המדינה.</w:t>
      </w:r>
    </w:p>
    <w:p w:rsidR="00253C38" w:rsidP="00982BC1" w14:paraId="368FE7F4" w14:textId="00C6B09D">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EC0E6D" w:rsidP="00982BC1" w14:paraId="49C2497E" w14:textId="77777777">
      <w:pPr>
        <w:spacing w:line="269" w:lineRule="auto"/>
        <w:jc w:val="center"/>
        <w:rPr>
          <w:rtl/>
        </w:rPr>
      </w:pPr>
      <w:r w:rsidRPr="00786470">
        <w:rPr>
          <w:rFonts w:hint="eastAsia"/>
          <w:b/>
          <w:bCs/>
          <w:rtl/>
        </w:rPr>
        <w:t>תרשים</w:t>
      </w:r>
      <w:r w:rsidRPr="00786470">
        <w:rPr>
          <w:b/>
          <w:bCs/>
          <w:rtl/>
        </w:rPr>
        <w:t xml:space="preserve"> </w:t>
      </w:r>
      <w:r w:rsidR="00BA0E91">
        <w:rPr>
          <w:rFonts w:hint="cs"/>
          <w:b/>
          <w:bCs/>
          <w:rtl/>
        </w:rPr>
        <w:t>37</w:t>
      </w:r>
      <w:r w:rsidRPr="00786470">
        <w:rPr>
          <w:b/>
          <w:bCs/>
          <w:rtl/>
        </w:rPr>
        <w:t xml:space="preserve">: </w:t>
      </w:r>
      <w:r w:rsidRPr="00786470">
        <w:rPr>
          <w:rFonts w:hint="eastAsia"/>
          <w:b/>
          <w:bCs/>
          <w:rtl/>
        </w:rPr>
        <w:t>שיעור</w:t>
      </w:r>
      <w:r w:rsidRPr="00786470">
        <w:rPr>
          <w:b/>
          <w:bCs/>
          <w:rtl/>
        </w:rPr>
        <w:t xml:space="preserve"> </w:t>
      </w:r>
      <w:r w:rsidRPr="00786470">
        <w:rPr>
          <w:rFonts w:hint="eastAsia"/>
          <w:b/>
          <w:bCs/>
          <w:rtl/>
        </w:rPr>
        <w:t>ההלוואות</w:t>
      </w:r>
      <w:r w:rsidRPr="00786470">
        <w:rPr>
          <w:b/>
          <w:bCs/>
          <w:rtl/>
        </w:rPr>
        <w:t xml:space="preserve"> </w:t>
      </w:r>
      <w:r w:rsidRPr="00786470">
        <w:rPr>
          <w:rFonts w:hint="eastAsia"/>
          <w:b/>
          <w:bCs/>
          <w:rtl/>
        </w:rPr>
        <w:t>שהלווים</w:t>
      </w:r>
      <w:r w:rsidRPr="00786470">
        <w:rPr>
          <w:b/>
          <w:bCs/>
          <w:rtl/>
        </w:rPr>
        <w:t xml:space="preserve"> </w:t>
      </w:r>
      <w:r w:rsidRPr="00786470">
        <w:rPr>
          <w:rFonts w:hint="eastAsia"/>
          <w:b/>
          <w:bCs/>
          <w:rtl/>
        </w:rPr>
        <w:t>חזרו</w:t>
      </w:r>
      <w:r w:rsidRPr="00786470">
        <w:rPr>
          <w:b/>
          <w:bCs/>
          <w:rtl/>
        </w:rPr>
        <w:t xml:space="preserve"> לשלם מסך היתרה, </w:t>
      </w:r>
      <w:r w:rsidRPr="00786470">
        <w:rPr>
          <w:rFonts w:hint="eastAsia"/>
          <w:b/>
          <w:bCs/>
          <w:rtl/>
        </w:rPr>
        <w:t>ספטמבר</w:t>
      </w:r>
      <w:r w:rsidRPr="00786470">
        <w:rPr>
          <w:b/>
          <w:bCs/>
          <w:rtl/>
        </w:rPr>
        <w:t xml:space="preserve"> 2020</w:t>
      </w:r>
      <w:r w:rsidRPr="00D72DBE">
        <w:rPr>
          <w:rFonts w:hint="cs"/>
          <w:b/>
          <w:bCs/>
          <w:rtl/>
        </w:rPr>
        <w:t xml:space="preserve"> </w:t>
      </w:r>
      <w:r>
        <w:rPr>
          <w:rFonts w:hint="cs"/>
          <w:b/>
          <w:bCs/>
          <w:rtl/>
        </w:rPr>
        <w:t>(</w:t>
      </w:r>
      <w:r w:rsidRPr="00786470">
        <w:rPr>
          <w:rFonts w:hint="eastAsia"/>
          <w:b/>
          <w:bCs/>
          <w:rtl/>
        </w:rPr>
        <w:t>באחוזים</w:t>
      </w:r>
      <w:r>
        <w:rPr>
          <w:rFonts w:hint="cs"/>
          <w:b/>
          <w:bCs/>
          <w:rtl/>
        </w:rPr>
        <w:t>)</w:t>
      </w:r>
    </w:p>
    <w:p w:rsidR="00253C38" w:rsidP="00982BC1" w14:paraId="3D8A360C" w14:textId="77777777">
      <w:pPr>
        <w:spacing w:line="269" w:lineRule="auto"/>
        <w:jc w:val="center"/>
        <w:rPr>
          <w:sz w:val="16"/>
          <w:szCs w:val="20"/>
          <w:rtl/>
        </w:rPr>
      </w:pPr>
      <w:r>
        <w:rPr>
          <w:rFonts w:hint="cs"/>
          <w:noProof/>
          <w:sz w:val="16"/>
          <w:szCs w:val="20"/>
        </w:rPr>
        <w:drawing>
          <wp:inline distT="0" distB="0" distL="0" distR="0">
            <wp:extent cx="3940321" cy="1902968"/>
            <wp:effectExtent l="19050" t="19050" r="22225" b="2159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3055" name="Picture 7"/>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2710" cy="1913781"/>
                    </a:xfrm>
                    <a:prstGeom prst="rect">
                      <a:avLst/>
                    </a:prstGeom>
                    <a:noFill/>
                    <a:ln>
                      <a:solidFill>
                        <a:sysClr val="windowText" lastClr="000000"/>
                      </a:solidFill>
                    </a:ln>
                  </pic:spPr>
                </pic:pic>
              </a:graphicData>
            </a:graphic>
          </wp:inline>
        </w:drawing>
      </w:r>
    </w:p>
    <w:p w:rsidR="00253C38" w:rsidRPr="00E065A2" w:rsidP="00982BC1" w14:paraId="7A484AF0" w14:textId="77777777">
      <w:pPr>
        <w:spacing w:line="269" w:lineRule="auto"/>
        <w:rPr>
          <w:sz w:val="18"/>
          <w:szCs w:val="22"/>
          <w:rtl/>
        </w:rPr>
      </w:pPr>
      <w:r w:rsidRPr="00E065A2">
        <w:rPr>
          <w:rFonts w:hint="cs"/>
          <w:sz w:val="18"/>
          <w:szCs w:val="22"/>
          <w:rtl/>
        </w:rPr>
        <w:t>המקור: הפיקוח על הבנקים.</w:t>
      </w:r>
    </w:p>
    <w:p w:rsidR="00253C38" w:rsidP="00982BC1" w14:paraId="426FDE8F" w14:textId="4EA33C9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CF5E79" w:rsidP="00982BC1" w14:paraId="58B9FA13" w14:textId="77777777">
      <w:pPr>
        <w:spacing w:line="269" w:lineRule="auto"/>
        <w:rPr>
          <w:rtl/>
        </w:rPr>
      </w:pPr>
      <w:r w:rsidRPr="00C56B30">
        <w:rPr>
          <w:rFonts w:hint="cs"/>
          <w:rtl/>
        </w:rPr>
        <w:t xml:space="preserve">מלוח </w:t>
      </w:r>
      <w:r w:rsidRPr="00C56B30" w:rsidR="00C56B30">
        <w:rPr>
          <w:rFonts w:hint="cs"/>
          <w:rtl/>
        </w:rPr>
        <w:t>9</w:t>
      </w:r>
      <w:r w:rsidRPr="00C56B30">
        <w:rPr>
          <w:rFonts w:hint="cs"/>
          <w:rtl/>
        </w:rPr>
        <w:t xml:space="preserve"> עולה כי</w:t>
      </w:r>
      <w:r>
        <w:rPr>
          <w:rFonts w:hint="cs"/>
          <w:rtl/>
        </w:rPr>
        <w:t xml:space="preserve"> המערכת הבנקאית אישרה כ-859,000 בקשות במסגרת המתווה, בהיקף כולל של כ-10.8 מיליארד ש"ח. יתרת האשראי שבגינו התבקשו הדחיות נאמד ב-174 מיליארד ש"ח ורוב הבקשות שאושרו ניתנו באשראי הצרכני (כ-57%), ואילו רוב יתרת האשראי שבגינו נדחו התשלומים היה באשראי לדיור (כ-61%). עולה כי עיקר הדחיות מתוך סך תיק האשראי היו באשראי לדיור, בשיעור של 25.4% ובאשראי לעסקים קטנים בשיעור של 22.2%. מתרשים </w:t>
      </w:r>
      <w:r w:rsidR="00A96F1B">
        <w:rPr>
          <w:rFonts w:hint="cs"/>
          <w:rtl/>
        </w:rPr>
        <w:t>37</w:t>
      </w:r>
      <w:r>
        <w:rPr>
          <w:rFonts w:hint="cs"/>
          <w:rtl/>
        </w:rPr>
        <w:t xml:space="preserve"> ניכר כי נכון לחודש ספטמבר חזרו הלווים לשלם כ-54% מיתרת ההלוואות שנדחתה. עוד עולה מהתרשים כי בצד האשראי העסקי רק 37% מהעסקים הגדולים חזרו לשלם את ההלוואות כסדרן, בעוד שביתר הקבוצות העסקיות, ובעיקר בקבוצת העסקים הקטנים, תועדו שיעורים גבוהים של הלוואות שהלווים חזרו לשלם כסדרן בהשוואה לסך יתרת ההלוואות שנדחו. שיעור גבוה של לווים שחזרו לשלם כסדרם מצביע על אישור זהיר, בהתאם לטובת הלווים והמערכת הבנקאית.</w:t>
      </w:r>
    </w:p>
    <w:p w:rsidR="00253C38" w:rsidP="00982BC1" w14:paraId="71BB9AD8" w14:textId="74987E8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530388B" w14:textId="7711620A">
      <w:pPr>
        <w:spacing w:line="269" w:lineRule="auto"/>
        <w:rPr>
          <w:rtl/>
        </w:rPr>
      </w:pPr>
      <w:r>
        <w:rPr>
          <w:rFonts w:hint="cs"/>
          <w:rtl/>
        </w:rPr>
        <w:t>הפיקוח על הבנקים הדגיש בהודעות שפרסם לציבור כי מתווה הדחיות לא כרוך בתשלום עמלות מצד הלווים, ועם זאת הלווים נושאים בעלויות שמקורן בגישור על פערי התזרים בין התקופות. בהתאם, דחיית התשלומים כרוכה בריבית על תקופת הדחייה לפי תנאי ההלוואה שניטלה. משכך, טרם קבלת החלטה על דחיית תשלומים חשוב לבחון את השלכות פעולת הדחייה, לרבות המחיר הכלכלי הכרוך בפעולה זו המשתקף בסכום החיוב החודשי, כדי לקבל החלטה מושכלת. בדיקת משרד מבקר המדינה העלתה כי חלק מהתלונות שהתקבלו ביחידה לפניות הציבור בבנק ישראל עסקו בתהיות הציבור בדבר המחיר שאותו הם נדרשים לשלם בגין דחיית ההלוואות.</w:t>
      </w:r>
    </w:p>
    <w:p w:rsidR="00E065A2" w:rsidP="00982BC1" w14:paraId="70EB1077" w14:textId="434B62C3">
      <w:pPr>
        <w:spacing w:line="269" w:lineRule="auto"/>
        <w:rPr>
          <w:rtl/>
        </w:rPr>
      </w:pPr>
    </w:p>
    <w:p w:rsidR="00E065A2" w:rsidRPr="008C20EB" w:rsidP="00982BC1" w14:paraId="3E18B0A7" w14:textId="77777777">
      <w:pPr>
        <w:spacing w:line="269" w:lineRule="auto"/>
        <w:rPr>
          <w:rtl/>
        </w:rPr>
      </w:pPr>
    </w:p>
    <w:p w:rsidR="00253C38" w:rsidP="00982BC1" w14:paraId="65F611DF" w14:textId="3F0E5F2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C188F00" w14:textId="77777777">
      <w:pPr>
        <w:spacing w:line="269" w:lineRule="auto"/>
        <w:rPr>
          <w:b/>
          <w:bCs/>
          <w:rtl/>
        </w:rPr>
      </w:pPr>
      <w:r>
        <w:rPr>
          <w:rFonts w:hint="cs"/>
          <w:b/>
          <w:bCs/>
          <w:rtl/>
        </w:rPr>
        <w:t xml:space="preserve">נדרשת אוריינות פיננסית כדי להבין את המשמעות של דחיית תשלומי ההלוואה. </w:t>
      </w:r>
      <w:r w:rsidRPr="00825696">
        <w:rPr>
          <w:rFonts w:hint="cs"/>
          <w:b/>
          <w:bCs/>
          <w:rtl/>
        </w:rPr>
        <w:t xml:space="preserve">משרד מבקר המדינה </w:t>
      </w:r>
      <w:r>
        <w:rPr>
          <w:rFonts w:hint="cs"/>
          <w:b/>
          <w:bCs/>
          <w:rtl/>
        </w:rPr>
        <w:t>ציין ב</w:t>
      </w:r>
      <w:r w:rsidRPr="00825696">
        <w:rPr>
          <w:rFonts w:hint="cs"/>
          <w:b/>
          <w:bCs/>
          <w:rtl/>
        </w:rPr>
        <w:t>דוח 71א (2020) כי אוריינות פיננסית נמוכה בקרב הציבור הרחב היא אחד הגורמים ה</w:t>
      </w:r>
      <w:r>
        <w:rPr>
          <w:rFonts w:hint="cs"/>
          <w:b/>
          <w:bCs/>
          <w:rtl/>
        </w:rPr>
        <w:t>עיקריים</w:t>
      </w:r>
      <w:r w:rsidRPr="00825696">
        <w:rPr>
          <w:rFonts w:hint="cs"/>
          <w:b/>
          <w:bCs/>
          <w:rtl/>
        </w:rPr>
        <w:t xml:space="preserve"> לעלויות יתר שהציבור נושא בהן ברכישת שירותים פיננסיים. בהתאם, סקר אוריינות פיננסית שערכה הלשכה המרכזית לסטטיסטיקה בשנת 2012, הציג ממצאים המעידים כי רמת האוריינות הפיננסית של הציבור בישראל נמוכה מאוד</w:t>
      </w:r>
      <w:r>
        <w:rPr>
          <w:rStyle w:val="FootnoteReference"/>
          <w:b/>
          <w:bCs/>
          <w:rtl/>
        </w:rPr>
        <w:footnoteReference w:id="63"/>
      </w:r>
      <w:r w:rsidRPr="00825696">
        <w:rPr>
          <w:rFonts w:hint="cs"/>
          <w:b/>
          <w:bCs/>
          <w:rtl/>
        </w:rPr>
        <w:t>.</w:t>
      </w:r>
      <w:r>
        <w:rPr>
          <w:rFonts w:hint="cs"/>
          <w:b/>
          <w:bCs/>
          <w:rtl/>
        </w:rPr>
        <w:t xml:space="preserve"> </w:t>
      </w:r>
    </w:p>
    <w:p w:rsidR="00253C38" w:rsidP="00982BC1" w14:paraId="4532B78F"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511250" w:rsidP="00982BC1" w14:paraId="45B8CA81" w14:textId="77777777">
      <w:pPr>
        <w:spacing w:line="269" w:lineRule="auto"/>
        <w:rPr>
          <w:rtl/>
        </w:rPr>
      </w:pPr>
      <w:r>
        <w:rPr>
          <w:rFonts w:hint="cs"/>
          <w:rtl/>
        </w:rPr>
        <w:t xml:space="preserve">בנק </w:t>
      </w:r>
      <w:r w:rsidRPr="00A96F1B">
        <w:rPr>
          <w:rFonts w:hint="cs"/>
          <w:rtl/>
        </w:rPr>
        <w:t>ישראל כתב למשרד מבקר המדינה ב-</w:t>
      </w:r>
      <w:r w:rsidRPr="00A96F1B">
        <w:rPr>
          <w:rtl/>
        </w:rPr>
        <w:t>25.2.21</w:t>
      </w:r>
      <w:r w:rsidRPr="00A96F1B">
        <w:rPr>
          <w:rFonts w:hint="cs"/>
          <w:rtl/>
        </w:rPr>
        <w:t xml:space="preserve"> כי הוא פועל בהיבט ההסברתי שבמסגרתו פורסמו הודעות</w:t>
      </w:r>
      <w:r>
        <w:rPr>
          <w:rFonts w:hint="cs"/>
          <w:rtl/>
        </w:rPr>
        <w:t xml:space="preserve"> לעיתונות, התקיימו שיחות רקע עם מובילי דעה, ראיונות לתקשורת ועוד.</w:t>
      </w:r>
    </w:p>
    <w:p w:rsidR="00253C38" w:rsidP="00982BC1" w14:paraId="5D3DA3BC" w14:textId="6CFA6C55">
      <w:pPr>
        <w:pStyle w:val="a"/>
        <w:spacing w:line="269" w:lineRule="auto"/>
        <w:rPr>
          <w:rtl/>
        </w:rPr>
      </w:pP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253C38" w:rsidP="00982BC1" w14:paraId="20BF3A37" w14:textId="77777777">
      <w:pPr>
        <w:spacing w:line="269" w:lineRule="auto"/>
        <w:rPr>
          <w:b/>
          <w:bCs/>
          <w:rtl/>
        </w:rPr>
      </w:pPr>
      <w:r>
        <w:rPr>
          <w:rFonts w:hint="cs"/>
          <w:b/>
          <w:bCs/>
          <w:rtl/>
        </w:rPr>
        <w:t>מומלץ כי בנק ישראל ימשיך לפעול כדי להסביר לציבור כי משמעות דחיית ההלוואה היא נטילת הלוואה מגשרת על פער התקופה, שבמהלכה לא יפרעו תשלומי ריבית וקרן, וכי הלווים נושאים בחיובים הנובעים מדחייה זו. בתוך כך, מומלץ שבנק ישראל ינחה את הבנקים המסחריים לפרט לציבור הלווים את משמעות דחיית ההלוואות מבחינה כספית, וידגיש לבנקים את חשיבות הגילוי ואת הצורך לפעול בהתאם לדרישות הגילוי.</w:t>
      </w:r>
    </w:p>
    <w:p w:rsidR="00253C38" w:rsidP="00982BC1" w14:paraId="63291E6E" w14:textId="6CFFA00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BD0D8F" w:rsidP="00982BC1" w14:paraId="3B81429E" w14:textId="77777777">
      <w:pPr>
        <w:spacing w:line="269" w:lineRule="auto"/>
        <w:rPr>
          <w:rtl/>
        </w:rPr>
      </w:pPr>
      <w:r w:rsidRPr="00A96F1B">
        <w:rPr>
          <w:rFonts w:hint="cs"/>
          <w:rtl/>
        </w:rPr>
        <w:t xml:space="preserve">ביום </w:t>
      </w:r>
      <w:r w:rsidRPr="00A96F1B">
        <w:rPr>
          <w:rtl/>
        </w:rPr>
        <w:t>30.11.20</w:t>
      </w:r>
      <w:r w:rsidRPr="00A96F1B">
        <w:rPr>
          <w:rFonts w:hint="cs"/>
          <w:rtl/>
        </w:rPr>
        <w:t xml:space="preserve"> גיבש הפיקוח על הבנקים מתווה נוסף, שאומץ על ידי המערכת הבנקאית, שנועד לאפשר ללקוחות שנפגעו קשות מהשלכות המשבר לדחות את תשלומי המשכנתאות וההלוואות הצרכניות. מתווה זה נועד להביא להפחתה ניכרת בהחזרים החודשיים של אוכלוסייה זו במהלך שנת 2021 ולתקופות זמן ממושכות</w:t>
      </w:r>
      <w:r>
        <w:rPr>
          <w:rStyle w:val="FootnoteReference"/>
          <w:rtl/>
        </w:rPr>
        <w:footnoteReference w:id="64"/>
      </w:r>
      <w:r w:rsidRPr="00A96F1B">
        <w:rPr>
          <w:rFonts w:hint="cs"/>
          <w:rtl/>
        </w:rPr>
        <w:t xml:space="preserve">. ביום </w:t>
      </w:r>
      <w:r w:rsidRPr="00A96F1B">
        <w:rPr>
          <w:rtl/>
        </w:rPr>
        <w:t>10.12.20</w:t>
      </w:r>
      <w:r w:rsidRPr="00A96F1B">
        <w:rPr>
          <w:rFonts w:hint="cs"/>
          <w:rtl/>
        </w:rPr>
        <w:t xml:space="preserve"> גובש מתווה נוסף לעסקים קטנים וזעירים שנפגעו מהותית מהמשבר, </w:t>
      </w:r>
      <w:r w:rsidRPr="00A96F1B">
        <w:rPr>
          <w:rFonts w:hint="eastAsia"/>
          <w:rtl/>
        </w:rPr>
        <w:t>המאפשר</w:t>
      </w:r>
      <w:r w:rsidRPr="00A96F1B">
        <w:rPr>
          <w:rtl/>
        </w:rPr>
        <w:t xml:space="preserve"> דחייה </w:t>
      </w:r>
      <w:r w:rsidRPr="00A96F1B">
        <w:rPr>
          <w:rFonts w:hint="cs"/>
          <w:rtl/>
        </w:rPr>
        <w:t>בלי שתידרש הסכמת</w:t>
      </w:r>
      <w:r w:rsidRPr="00A96F1B">
        <w:rPr>
          <w:rtl/>
        </w:rPr>
        <w:t xml:space="preserve"> הבנק, בניגוד למתווה הקודם של דחיית התשלומים.</w:t>
      </w:r>
      <w:r w:rsidRPr="00A96F1B">
        <w:rPr>
          <w:rFonts w:hint="cs"/>
          <w:rtl/>
        </w:rPr>
        <w:t xml:space="preserve"> בפרסום ההודעה של בנק ישראל נמסר כי הדחייה צפויה להפחית את החיוב</w:t>
      </w:r>
      <w:r>
        <w:rPr>
          <w:rFonts w:hint="cs"/>
          <w:rtl/>
        </w:rPr>
        <w:t xml:space="preserve"> החודשי לעסקים הזכאים בשיעור הגבוה מ-70% ולתקופה של עד שנה בהלוואות בסכום של עד 500,000 ש"ח, ולתקופה של עד חצי שנה בהלוואות מעל 500,000 ש"ח</w:t>
      </w:r>
      <w:r>
        <w:rPr>
          <w:rStyle w:val="FootnoteReference"/>
          <w:rtl/>
        </w:rPr>
        <w:footnoteReference w:id="65"/>
      </w:r>
      <w:r>
        <w:rPr>
          <w:rFonts w:hint="cs"/>
          <w:rtl/>
        </w:rPr>
        <w:t xml:space="preserve">. </w:t>
      </w:r>
    </w:p>
    <w:p w:rsidR="00253C38" w:rsidRPr="00825696" w:rsidP="00982BC1" w14:paraId="68E58D60" w14:textId="77777777">
      <w:pPr>
        <w:spacing w:line="269" w:lineRule="auto"/>
        <w:rPr>
          <w:b/>
          <w:bCs/>
          <w:rtl/>
        </w:rPr>
      </w:pPr>
    </w:p>
    <w:p w:rsidR="00253C38" w:rsidP="00982BC1" w14:paraId="496D7DE2" w14:textId="77777777">
      <w:pPr>
        <w:pStyle w:val="Heading5"/>
        <w:spacing w:line="269" w:lineRule="auto"/>
        <w:rPr>
          <w:rtl/>
        </w:rPr>
      </w:pPr>
      <w:r>
        <w:rPr>
          <w:rFonts w:hint="cs"/>
          <w:rtl/>
        </w:rPr>
        <w:t>הפחתת דרישת ההון הפיקוחית ועצירת חלוקת דיבידנדים</w:t>
      </w:r>
    </w:p>
    <w:p w:rsidR="00253C38" w:rsidP="00982BC1" w14:paraId="0883110F" w14:textId="4DA1B65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7322AA4" w14:textId="77777777">
      <w:pPr>
        <w:spacing w:line="269" w:lineRule="auto"/>
        <w:rPr>
          <w:rtl/>
        </w:rPr>
      </w:pPr>
      <w:r>
        <w:rPr>
          <w:rFonts w:hint="cs"/>
          <w:rtl/>
        </w:rPr>
        <w:t>על פי מסגרת העבודה שפרסמה ועדת באזל לפיקוח בנקאי בדצמבר 2010</w:t>
      </w:r>
      <w:r>
        <w:rPr>
          <w:rStyle w:val="FootnoteReference"/>
          <w:rtl/>
        </w:rPr>
        <w:footnoteReference w:id="66"/>
      </w:r>
      <w:r>
        <w:rPr>
          <w:rFonts w:hint="cs"/>
          <w:rtl/>
        </w:rPr>
        <w:t>, תאגידים בנקאיים נדרשים להחזיק ביחס הון עצמי רובד 1</w:t>
      </w:r>
      <w:r>
        <w:rPr>
          <w:rStyle w:val="FootnoteReference"/>
          <w:rtl/>
        </w:rPr>
        <w:footnoteReference w:id="67"/>
      </w:r>
      <w:r>
        <w:rPr>
          <w:rFonts w:hint="cs"/>
          <w:rtl/>
        </w:rPr>
        <w:t xml:space="preserve"> </w:t>
      </w:r>
      <w:r w:rsidRPr="004A628E">
        <w:rPr>
          <w:rFonts w:hint="cs"/>
          <w:rtl/>
        </w:rPr>
        <w:t>מינימלי בשיעור</w:t>
      </w:r>
      <w:r>
        <w:rPr>
          <w:rFonts w:hint="cs"/>
          <w:rtl/>
        </w:rPr>
        <w:t xml:space="preserve"> של 7%. ירידה מהרף שנקבע כרוכה בהגבלת פעילותם, לרבות באפשרותם לחלק דיבידנדים.</w:t>
      </w:r>
    </w:p>
    <w:p w:rsidR="00253C38" w:rsidP="00982BC1" w14:paraId="4A9AA647" w14:textId="6EDEB422">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9E9BD53" w14:textId="27A88831">
      <w:pPr>
        <w:spacing w:line="269" w:lineRule="auto"/>
        <w:rPr>
          <w:rtl/>
        </w:rPr>
      </w:pPr>
      <w:r>
        <w:rPr>
          <w:rFonts w:hint="cs"/>
          <w:rtl/>
        </w:rPr>
        <w:t>במסגרת תהליך הפקת הלקחים מהמשבר העולמי בשנת 2008 פעל הפיקוח על הבנקים לחיזוק הונם ויציבותם של התאגידים הבנקאיים, בין היתר, באמצעות אימוץ תקנים בין-לאומיים ושיפור איכות ההון והגדלת היקפו. במסגרת זאת הוחלט בפיקוח על הבנקים לאמץ הוראות מחמירות בהשוואה לאלה שנקבעו במסגרת העבודה שפרסמה ועדת באזל לעניין הלימות ההון. בהתאם, סעיף 40(ב) להוראת ניהול בנקאי תקין מספר 201 קובע כי יחס הון עצמי רובד 1 לנכסי סיכון משוקללים לא יפחת מ-9%, ויחס ההון הכולל לנכסי סיכון משוקללים לא יפחת מ-12.5%. עבור תאגיד בנקאי שסך נכסיו המאזניים על בסיס מאוחד שווה ל-24% או עולה על 24% מסך הנכסים המאזניים במערכת הבנקאית לא יפחת השיעור הנדרש מ-10% ומ-13.5%, בהתאמה.</w:t>
      </w:r>
    </w:p>
    <w:p w:rsidR="00E065A2" w:rsidP="00982BC1" w14:paraId="077D7C32" w14:textId="1C01F3ED">
      <w:pPr>
        <w:spacing w:line="269" w:lineRule="auto"/>
        <w:rPr>
          <w:rtl/>
        </w:rPr>
      </w:pPr>
    </w:p>
    <w:p w:rsidR="00253C38" w:rsidP="00982BC1" w14:paraId="0710D03A" w14:textId="2DD2FA1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2B1107F4" w14:textId="77777777">
      <w:pPr>
        <w:spacing w:line="269" w:lineRule="auto"/>
        <w:rPr>
          <w:rtl/>
        </w:rPr>
      </w:pPr>
      <w:r>
        <w:rPr>
          <w:rFonts w:hint="cs"/>
          <w:rtl/>
        </w:rPr>
        <w:t>בעקבות המשבר הנוכחי גדל הביקוש לאשראי לצד הסיכון לתאגידים הבנקאיים הגלום בהעמדתו. על רקע זה הודיעו בנקים מרכזיים בעולם</w:t>
      </w:r>
      <w:r>
        <w:rPr>
          <w:rStyle w:val="FootnoteReference"/>
          <w:rtl/>
        </w:rPr>
        <w:footnoteReference w:id="68"/>
      </w:r>
      <w:r>
        <w:rPr>
          <w:rFonts w:hint="cs"/>
          <w:rtl/>
        </w:rPr>
        <w:t xml:space="preserve"> על הפחתת דרישת ההון הרגולטורית כדי להבטיח את יכולת התאגידים הבנקאיים להעמיד אשראי בתקופה זאת.</w:t>
      </w:r>
    </w:p>
    <w:p w:rsidR="00253C38" w:rsidP="00982BC1" w14:paraId="476AEF09" w14:textId="7692BEDE">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C610C7A" w14:textId="77777777">
      <w:pPr>
        <w:spacing w:line="269" w:lineRule="auto"/>
        <w:rPr>
          <w:rtl/>
        </w:rPr>
      </w:pPr>
      <w:r>
        <w:rPr>
          <w:rFonts w:hint="cs"/>
          <w:rtl/>
        </w:rPr>
        <w:t xml:space="preserve">טרם התפרצות המשבר התאפיינה המערכת הבנקאית בישראל באיתנותה שהתבטאה, בין היתר, בעודפי הון ויחסי נזילות גבוהים בתאגידים הבנקאיים. מתוך ראייה ארוכת טווח וצורכי האשראי של המשק, קרא הפיקוח על הבנקים למערכת הבנקאית לסייע </w:t>
      </w:r>
      <w:r w:rsidRPr="00EB18A1">
        <w:rPr>
          <w:rFonts w:hint="cs"/>
          <w:rtl/>
        </w:rPr>
        <w:t xml:space="preserve">במתן אשראי למשקי בית ועסקים שספגו פגיעה תזרימית, וצפויים להחזיר את האשראי בתום המשבר. ביום </w:t>
      </w:r>
      <w:r w:rsidRPr="00EB18A1">
        <w:rPr>
          <w:rtl/>
        </w:rPr>
        <w:t>29.3.20</w:t>
      </w:r>
      <w:r w:rsidRPr="00EB18A1">
        <w:rPr>
          <w:rFonts w:hint="cs"/>
          <w:rtl/>
        </w:rPr>
        <w:t xml:space="preserve"> פרסם הפיקוח על הבנקים הודעה בדבר החלטה זמנית</w:t>
      </w:r>
      <w:r>
        <w:rPr>
          <w:rStyle w:val="FootnoteReference"/>
          <w:rtl/>
        </w:rPr>
        <w:footnoteReference w:id="69"/>
      </w:r>
      <w:r w:rsidRPr="00EB18A1">
        <w:rPr>
          <w:rFonts w:hint="cs"/>
          <w:rtl/>
        </w:rPr>
        <w:t xml:space="preserve"> להפחתת דרישת ההון הרגולטורית בנקודת</w:t>
      </w:r>
      <w:r>
        <w:rPr>
          <w:rFonts w:hint="cs"/>
          <w:rtl/>
        </w:rPr>
        <w:t xml:space="preserve"> אחוז, כך שיחס הון עצמי רובד 1 המינימלי הופחת ל-8% בתאגידים הבנקאיים הבינוניים והקטנים ול-9% בתאגידים הגדולים. בדברי ההסבר להחלטה, צוין כי זאת התבססה על כרית ההון הייעודית שנדרשה המערכת הבנקאית לצבור לשימוש בעת משבר כדי להגן על מערכת הבנקאות והמשק הישראלי מפני התפתחויות בלתי צפויות.</w:t>
      </w:r>
    </w:p>
    <w:p w:rsidR="00253C38" w:rsidP="00982BC1" w14:paraId="622886D9" w14:textId="0D3623C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47CA2DA4" w14:textId="77777777">
      <w:pPr>
        <w:spacing w:line="269" w:lineRule="auto"/>
        <w:rPr>
          <w:rtl/>
        </w:rPr>
      </w:pPr>
      <w:r w:rsidRPr="006766BC">
        <w:rPr>
          <w:rFonts w:hint="cs"/>
          <w:rtl/>
        </w:rPr>
        <w:t>גידול בנכסי הסיכון במערכת הבנקאית</w:t>
      </w:r>
      <w:r>
        <w:rPr>
          <w:rFonts w:hint="cs"/>
          <w:rtl/>
        </w:rPr>
        <w:t>,</w:t>
      </w:r>
      <w:r w:rsidRPr="006766BC">
        <w:rPr>
          <w:rFonts w:hint="cs"/>
          <w:rtl/>
        </w:rPr>
        <w:t xml:space="preserve"> </w:t>
      </w:r>
      <w:r>
        <w:rPr>
          <w:rFonts w:hint="cs"/>
          <w:rtl/>
        </w:rPr>
        <w:t xml:space="preserve">בעקבות </w:t>
      </w:r>
      <w:r w:rsidRPr="006766BC">
        <w:rPr>
          <w:rFonts w:hint="cs"/>
          <w:rtl/>
        </w:rPr>
        <w:t>ניצול מסגרות האשראי בקרב קבוצת העסקים הגדולים, לצד ירידה במחירי המניות</w:t>
      </w:r>
      <w:r>
        <w:rPr>
          <w:rFonts w:hint="cs"/>
          <w:rtl/>
        </w:rPr>
        <w:t xml:space="preserve"> -</w:t>
      </w:r>
      <w:r w:rsidRPr="006766BC">
        <w:rPr>
          <w:rFonts w:hint="cs"/>
          <w:rtl/>
        </w:rPr>
        <w:t xml:space="preserve"> הביאו לשחיקה חדה של ההון הבנקאי ברבעון הראשון</w:t>
      </w:r>
      <w:r>
        <w:rPr>
          <w:rFonts w:hint="cs"/>
          <w:rtl/>
        </w:rPr>
        <w:t xml:space="preserve"> של שנת 2020</w:t>
      </w:r>
      <w:r w:rsidRPr="006766BC">
        <w:rPr>
          <w:rFonts w:hint="cs"/>
          <w:rtl/>
        </w:rPr>
        <w:t xml:space="preserve">. התאוששות </w:t>
      </w:r>
      <w:r>
        <w:rPr>
          <w:rFonts w:hint="cs"/>
          <w:rtl/>
        </w:rPr>
        <w:t>השווקים הפיננסיים</w:t>
      </w:r>
      <w:r w:rsidRPr="006766BC">
        <w:rPr>
          <w:rFonts w:hint="cs"/>
          <w:rtl/>
        </w:rPr>
        <w:t xml:space="preserve"> והאטת הפעילות הכלכלית ברבעון השני</w:t>
      </w:r>
      <w:r>
        <w:rPr>
          <w:rFonts w:hint="cs"/>
          <w:rtl/>
        </w:rPr>
        <w:t xml:space="preserve"> של שנת 2020</w:t>
      </w:r>
      <w:r w:rsidRPr="006766BC">
        <w:rPr>
          <w:rFonts w:hint="cs"/>
          <w:rtl/>
        </w:rPr>
        <w:t>, שהתבטאה בצמצום היקף האשראי לציבור ובירידה בנכסי הסיכון, הביא</w:t>
      </w:r>
      <w:r>
        <w:rPr>
          <w:rFonts w:hint="cs"/>
          <w:rtl/>
        </w:rPr>
        <w:t>ו</w:t>
      </w:r>
      <w:r w:rsidRPr="006766BC">
        <w:rPr>
          <w:rFonts w:hint="cs"/>
          <w:rtl/>
        </w:rPr>
        <w:t xml:space="preserve"> לגידול </w:t>
      </w:r>
      <w:r>
        <w:rPr>
          <w:rFonts w:hint="cs"/>
          <w:rtl/>
        </w:rPr>
        <w:t>ביחס ההון העצמי במערכת הבנקאית.</w:t>
      </w:r>
    </w:p>
    <w:p w:rsidR="00253C38" w:rsidP="00982BC1" w14:paraId="3245BB41" w14:textId="4DDFF51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444F74" w:rsidP="00982BC1" w14:paraId="382D7BD0" w14:textId="77777777">
      <w:pPr>
        <w:spacing w:line="269" w:lineRule="auto"/>
        <w:rPr>
          <w:b/>
          <w:bCs/>
          <w:rtl/>
        </w:rPr>
      </w:pPr>
      <w:r w:rsidRPr="00444F74">
        <w:rPr>
          <w:rFonts w:hint="eastAsia"/>
          <w:b/>
          <w:bCs/>
          <w:rtl/>
        </w:rPr>
        <w:t>עלה</w:t>
      </w:r>
      <w:r w:rsidRPr="00444F74">
        <w:rPr>
          <w:b/>
          <w:bCs/>
          <w:rtl/>
        </w:rPr>
        <w:t xml:space="preserve"> כי </w:t>
      </w:r>
      <w:r w:rsidRPr="00444F74">
        <w:rPr>
          <w:rFonts w:hint="eastAsia"/>
          <w:b/>
          <w:bCs/>
          <w:rtl/>
        </w:rPr>
        <w:t>שיעור</w:t>
      </w:r>
      <w:r w:rsidRPr="00444F74">
        <w:rPr>
          <w:b/>
          <w:bCs/>
          <w:rtl/>
        </w:rPr>
        <w:t xml:space="preserve"> </w:t>
      </w:r>
      <w:r w:rsidRPr="00444F74">
        <w:rPr>
          <w:rFonts w:hint="eastAsia"/>
          <w:b/>
          <w:bCs/>
          <w:rtl/>
        </w:rPr>
        <w:t>הון</w:t>
      </w:r>
      <w:r w:rsidRPr="00444F74">
        <w:rPr>
          <w:b/>
          <w:bCs/>
          <w:rtl/>
        </w:rPr>
        <w:t xml:space="preserve"> </w:t>
      </w:r>
      <w:r w:rsidRPr="00444F74">
        <w:rPr>
          <w:rFonts w:hint="eastAsia"/>
          <w:b/>
          <w:bCs/>
          <w:rtl/>
        </w:rPr>
        <w:t>עצמי</w:t>
      </w:r>
      <w:r w:rsidRPr="00444F74">
        <w:rPr>
          <w:b/>
          <w:bCs/>
          <w:rtl/>
        </w:rPr>
        <w:t xml:space="preserve"> </w:t>
      </w:r>
      <w:r w:rsidRPr="00444F74">
        <w:rPr>
          <w:rFonts w:hint="eastAsia"/>
          <w:b/>
          <w:bCs/>
          <w:rtl/>
        </w:rPr>
        <w:t>רובד</w:t>
      </w:r>
      <w:r w:rsidRPr="00444F74">
        <w:rPr>
          <w:b/>
          <w:bCs/>
          <w:rtl/>
        </w:rPr>
        <w:t xml:space="preserve"> 1 </w:t>
      </w:r>
      <w:r w:rsidRPr="00444F74">
        <w:rPr>
          <w:rFonts w:hint="eastAsia"/>
          <w:b/>
          <w:bCs/>
          <w:rtl/>
        </w:rPr>
        <w:t>בסוף</w:t>
      </w:r>
      <w:r w:rsidRPr="00444F74">
        <w:rPr>
          <w:b/>
          <w:bCs/>
          <w:rtl/>
        </w:rPr>
        <w:t xml:space="preserve"> </w:t>
      </w:r>
      <w:r w:rsidRPr="00444F74">
        <w:rPr>
          <w:rFonts w:hint="eastAsia"/>
          <w:b/>
          <w:bCs/>
          <w:rtl/>
        </w:rPr>
        <w:t>שנת</w:t>
      </w:r>
      <w:r w:rsidRPr="00444F74">
        <w:rPr>
          <w:b/>
          <w:bCs/>
          <w:rtl/>
        </w:rPr>
        <w:t xml:space="preserve"> 2019 </w:t>
      </w:r>
      <w:r w:rsidRPr="00444F74">
        <w:rPr>
          <w:rFonts w:hint="eastAsia"/>
          <w:b/>
          <w:bCs/>
          <w:rtl/>
        </w:rPr>
        <w:t>נאמד</w:t>
      </w:r>
      <w:r w:rsidRPr="00444F74">
        <w:rPr>
          <w:b/>
          <w:bCs/>
          <w:rtl/>
        </w:rPr>
        <w:t xml:space="preserve"> </w:t>
      </w:r>
      <w:r w:rsidRPr="00444F74">
        <w:rPr>
          <w:rFonts w:hint="eastAsia"/>
          <w:b/>
          <w:bCs/>
          <w:rtl/>
        </w:rPr>
        <w:t>ב</w:t>
      </w:r>
      <w:r w:rsidRPr="00444F74">
        <w:rPr>
          <w:b/>
          <w:bCs/>
          <w:rtl/>
        </w:rPr>
        <w:t xml:space="preserve">-11.2% </w:t>
      </w:r>
      <w:r w:rsidRPr="00444F74">
        <w:rPr>
          <w:rFonts w:hint="eastAsia"/>
          <w:b/>
          <w:bCs/>
          <w:rtl/>
        </w:rPr>
        <w:t>לעומת</w:t>
      </w:r>
      <w:r w:rsidRPr="00444F74">
        <w:rPr>
          <w:b/>
          <w:bCs/>
          <w:rtl/>
        </w:rPr>
        <w:t xml:space="preserve"> </w:t>
      </w:r>
      <w:r w:rsidRPr="00444F74">
        <w:rPr>
          <w:rFonts w:hint="eastAsia"/>
          <w:b/>
          <w:bCs/>
          <w:rtl/>
        </w:rPr>
        <w:t>כ</w:t>
      </w:r>
      <w:r w:rsidRPr="00444F74">
        <w:rPr>
          <w:b/>
          <w:bCs/>
          <w:rtl/>
        </w:rPr>
        <w:t xml:space="preserve">-10.6% </w:t>
      </w:r>
      <w:r w:rsidRPr="00444F74">
        <w:rPr>
          <w:rFonts w:hint="eastAsia"/>
          <w:b/>
          <w:bCs/>
          <w:rtl/>
        </w:rPr>
        <w:t>בסוף</w:t>
      </w:r>
      <w:r w:rsidRPr="00444F74">
        <w:rPr>
          <w:b/>
          <w:bCs/>
          <w:rtl/>
        </w:rPr>
        <w:t xml:space="preserve"> </w:t>
      </w:r>
      <w:r w:rsidRPr="00444F74">
        <w:rPr>
          <w:rFonts w:hint="eastAsia"/>
          <w:b/>
          <w:bCs/>
          <w:rtl/>
        </w:rPr>
        <w:t>הרבעון</w:t>
      </w:r>
      <w:r w:rsidRPr="00444F74">
        <w:rPr>
          <w:b/>
          <w:bCs/>
          <w:rtl/>
        </w:rPr>
        <w:t xml:space="preserve"> </w:t>
      </w:r>
      <w:r w:rsidRPr="00444F74">
        <w:rPr>
          <w:rFonts w:hint="eastAsia"/>
          <w:b/>
          <w:bCs/>
          <w:rtl/>
        </w:rPr>
        <w:t>הראשון</w:t>
      </w:r>
      <w:r w:rsidRPr="00444F74">
        <w:rPr>
          <w:b/>
          <w:bCs/>
          <w:rtl/>
        </w:rPr>
        <w:t xml:space="preserve"> של שנת 2020 וכ-10.9% בסוף הרבעון השני של שנת 2020</w:t>
      </w:r>
      <w:r>
        <w:rPr>
          <w:rStyle w:val="FootnoteReference"/>
          <w:b/>
          <w:bCs/>
          <w:rtl/>
        </w:rPr>
        <w:footnoteReference w:id="70"/>
      </w:r>
      <w:r w:rsidRPr="00444F74">
        <w:rPr>
          <w:b/>
          <w:bCs/>
          <w:rtl/>
        </w:rPr>
        <w:t xml:space="preserve">. </w:t>
      </w:r>
      <w:r w:rsidRPr="00444F74">
        <w:rPr>
          <w:rFonts w:hint="cs"/>
          <w:b/>
          <w:bCs/>
          <w:rtl/>
        </w:rPr>
        <w:t xml:space="preserve">גידול בנכסי הסיכון באמצעות הרחבת היצע האשראי במהלך המשבר במקביל לשחיקת כריות ההון של המערכת הבנקאית והתכווצות </w:t>
      </w:r>
      <w:r w:rsidRPr="00AD47FF">
        <w:rPr>
          <w:rFonts w:hint="cs"/>
          <w:b/>
          <w:bCs/>
          <w:rtl/>
        </w:rPr>
        <w:t>התוצר, ה</w:t>
      </w:r>
      <w:r w:rsidRPr="00AD47FF" w:rsidR="00311541">
        <w:rPr>
          <w:rFonts w:hint="cs"/>
          <w:b/>
          <w:bCs/>
          <w:rtl/>
        </w:rPr>
        <w:t xml:space="preserve">מבטאת את </w:t>
      </w:r>
      <w:r w:rsidRPr="00AD47FF">
        <w:rPr>
          <w:rFonts w:hint="cs"/>
          <w:b/>
          <w:bCs/>
          <w:rtl/>
        </w:rPr>
        <w:t>צמצום הפעילות</w:t>
      </w:r>
      <w:r w:rsidRPr="00444F74">
        <w:rPr>
          <w:rFonts w:hint="cs"/>
          <w:b/>
          <w:bCs/>
          <w:rtl/>
        </w:rPr>
        <w:t xml:space="preserve"> הכלכלית, מעיד על הירתמות התאגידים הבנקאיים למתן סיוע באשראי למשק.</w:t>
      </w:r>
      <w:r w:rsidRPr="006766BC">
        <w:rPr>
          <w:rFonts w:hint="cs"/>
          <w:rtl/>
        </w:rPr>
        <w:t xml:space="preserve"> </w:t>
      </w:r>
    </w:p>
    <w:p w:rsidR="00253C38" w:rsidP="00982BC1" w14:paraId="43F3B42D" w14:textId="3767D60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754057A" w14:textId="77777777">
      <w:pPr>
        <w:spacing w:line="269" w:lineRule="auto"/>
        <w:rPr>
          <w:rtl/>
        </w:rPr>
      </w:pPr>
      <w:r w:rsidRPr="00EB18A1">
        <w:rPr>
          <w:rFonts w:hint="cs"/>
          <w:rtl/>
        </w:rPr>
        <w:t xml:space="preserve">ביום </w:t>
      </w:r>
      <w:r w:rsidRPr="00EB18A1">
        <w:rPr>
          <w:rtl/>
        </w:rPr>
        <w:t>29.3.20</w:t>
      </w:r>
      <w:r w:rsidRPr="00EB18A1">
        <w:rPr>
          <w:rFonts w:hint="cs"/>
          <w:rtl/>
        </w:rPr>
        <w:t xml:space="preserve"> הנחה הפיקוח על הבנקים את הדירקטוריונים של התאגידים הבנקאיים לבחון מחדש את מדיניות</w:t>
      </w:r>
      <w:r>
        <w:rPr>
          <w:rFonts w:hint="cs"/>
          <w:rtl/>
        </w:rPr>
        <w:t xml:space="preserve"> חלוקת הדיבידנדים והרכישה העצמית של המניות בעת המשבר, כדי למקד את ההפחתה בדרישת ההון הפיקוחית לגידול האשראי ולתמיכה במשקי הבית והעסקים. הנחיה זו הובילה את התאגידים הבנקאיים להצהיר כי אין בכוונתם לחלק דיבידנדים בשנת 2020 בשל השפעות המשבר.</w:t>
      </w:r>
    </w:p>
    <w:p w:rsidR="00253C38" w:rsidP="00982BC1" w14:paraId="6D62FF12" w14:textId="0E54DA4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311541" w:rsidP="00982BC1" w14:paraId="09E04928" w14:textId="503CBA4A">
      <w:pPr>
        <w:spacing w:line="269" w:lineRule="auto"/>
        <w:rPr>
          <w:b/>
          <w:bCs/>
          <w:rtl/>
        </w:rPr>
      </w:pPr>
      <w:r w:rsidRPr="00444F74">
        <w:rPr>
          <w:rFonts w:hint="eastAsia"/>
          <w:b/>
          <w:bCs/>
          <w:rtl/>
        </w:rPr>
        <w:t>מומלץ</w:t>
      </w:r>
      <w:r w:rsidRPr="00444F74">
        <w:rPr>
          <w:b/>
          <w:bCs/>
          <w:rtl/>
        </w:rPr>
        <w:t xml:space="preserve"> כי בנק ישראל ימשיך לעקוב אחר שיעור הון עצמי רובד 1</w:t>
      </w:r>
      <w:r>
        <w:rPr>
          <w:rFonts w:hint="cs"/>
          <w:b/>
          <w:bCs/>
          <w:rtl/>
        </w:rPr>
        <w:t>,</w:t>
      </w:r>
      <w:r w:rsidR="00786470">
        <w:rPr>
          <w:rFonts w:hint="cs"/>
          <w:b/>
          <w:bCs/>
          <w:rtl/>
        </w:rPr>
        <w:t xml:space="preserve"> </w:t>
      </w:r>
      <w:r w:rsidRPr="00444F74">
        <w:rPr>
          <w:b/>
          <w:bCs/>
          <w:rtl/>
        </w:rPr>
        <w:t>לשם קביעת המשך הנחיותיו בעניין זה</w:t>
      </w:r>
      <w:r>
        <w:rPr>
          <w:rFonts w:hint="cs"/>
          <w:b/>
          <w:bCs/>
          <w:rtl/>
        </w:rPr>
        <w:t>.</w:t>
      </w:r>
    </w:p>
    <w:p w:rsidR="00E065A2" w:rsidP="00982BC1" w14:paraId="44C37C21" w14:textId="77777777">
      <w:pPr>
        <w:spacing w:line="269" w:lineRule="auto"/>
        <w:rPr>
          <w:b/>
          <w:bCs/>
          <w:rtl/>
        </w:rPr>
      </w:pPr>
    </w:p>
    <w:p w:rsidR="00253C38" w:rsidP="00982BC1" w14:paraId="7C63417E" w14:textId="77777777">
      <w:pPr>
        <w:pStyle w:val="Heading5"/>
        <w:spacing w:line="269" w:lineRule="auto"/>
        <w:rPr>
          <w:rtl/>
        </w:rPr>
      </w:pPr>
      <w:r>
        <w:rPr>
          <w:rFonts w:hint="cs"/>
          <w:rtl/>
        </w:rPr>
        <w:t>הרחבת מגבלת חבויות ענף הבינוי</w:t>
      </w:r>
    </w:p>
    <w:p w:rsidR="00253C38" w:rsidP="00982BC1" w14:paraId="06D4874C" w14:textId="66E8A26A">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257204A" w14:textId="598A674D">
      <w:pPr>
        <w:spacing w:line="269" w:lineRule="auto"/>
        <w:rPr>
          <w:rtl/>
        </w:rPr>
      </w:pPr>
      <w:r>
        <w:rPr>
          <w:rFonts w:hint="cs"/>
          <w:rtl/>
        </w:rPr>
        <w:t>ריכוזיות תיק האשראי, ובכלל זה הריכוזיות הענפית, היא אחד ממקורות סיכון האשראי בתאגידים בנקאיים. משכך, נקבעה בסעיף 5(א) להוראת ניהול בנקאי תקין מספר 315</w:t>
      </w:r>
      <w:r>
        <w:rPr>
          <w:rStyle w:val="FootnoteReference"/>
          <w:rtl/>
        </w:rPr>
        <w:footnoteReference w:id="71"/>
      </w:r>
      <w:r>
        <w:rPr>
          <w:rFonts w:hint="cs"/>
          <w:rtl/>
        </w:rPr>
        <w:t xml:space="preserve"> של הפיקוח על הבנקים מגבלת חבות ענפית בשיעור של 20% מתוך סך חבויות הציבור לתאגיד בנקאי.</w:t>
      </w:r>
    </w:p>
    <w:p w:rsidR="00253C38" w:rsidP="00982BC1" w14:paraId="037E7AC6" w14:textId="27967E4A">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638A0C6" w14:textId="77777777">
      <w:pPr>
        <w:spacing w:line="269" w:lineRule="auto"/>
        <w:rPr>
          <w:rtl/>
        </w:rPr>
      </w:pPr>
      <w:r>
        <w:rPr>
          <w:rFonts w:hint="cs"/>
          <w:rtl/>
        </w:rPr>
        <w:t>על פי סעיף 5(ב) להוראה, שיעור כל החבויות של ענף "בינוי, נדל"ן ותעשייה ומסחר של מוצרים אל-מתכתיים בבנייה" (להלן - ענף הבינוי) לתאגיד בנקאי לא יעלה על 24% מסך חבויות הציבור לתאגיד בנקאי. עם זאת, סך חבות ענף הבינוי בניכוי חבויות למימון פרויקטים בשותפות המגזר הציבורי עם המגזר הפרטי הכלולות בענף "עבודות הנדסה אזרחית" בסיווג האחיד של ענפי הכלכלה (2011), לא יעלה על 20% מסך חבויות הציבור לתאגיד בנקאי. חישוב המגבלה הענפית מורכב מאשראי מאזני</w:t>
      </w:r>
      <w:r>
        <w:rPr>
          <w:rStyle w:val="FootnoteReference"/>
          <w:rtl/>
        </w:rPr>
        <w:footnoteReference w:id="72"/>
      </w:r>
      <w:r>
        <w:rPr>
          <w:rFonts w:hint="cs"/>
          <w:rtl/>
        </w:rPr>
        <w:t xml:space="preserve"> בתוספת רכיבים חוץ-מאזניים</w:t>
      </w:r>
      <w:r>
        <w:rPr>
          <w:rStyle w:val="FootnoteReference"/>
          <w:rtl/>
        </w:rPr>
        <w:footnoteReference w:id="73"/>
      </w:r>
      <w:r w:rsidRPr="00A73CB0">
        <w:rPr>
          <w:rFonts w:hint="cs"/>
          <w:rtl/>
        </w:rPr>
        <w:t>.</w:t>
      </w:r>
    </w:p>
    <w:p w:rsidR="00253C38" w:rsidP="00982BC1" w14:paraId="657C9129" w14:textId="45D561A7">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76D9CBCD" w14:textId="77777777">
      <w:pPr>
        <w:spacing w:line="269" w:lineRule="auto"/>
        <w:rPr>
          <w:rtl/>
        </w:rPr>
      </w:pPr>
      <w:r>
        <w:rPr>
          <w:rFonts w:hint="cs"/>
          <w:rtl/>
        </w:rPr>
        <w:t xml:space="preserve">ביום </w:t>
      </w:r>
      <w:r w:rsidRPr="00EB18A1">
        <w:rPr>
          <w:rtl/>
        </w:rPr>
        <w:t>19.3.20</w:t>
      </w:r>
      <w:r w:rsidRPr="00EB18A1">
        <w:rPr>
          <w:rFonts w:hint="cs"/>
          <w:rtl/>
        </w:rPr>
        <w:t xml:space="preserve"> עדכן הפיקוח על הבנקים את ההוראה באופן זמני</w:t>
      </w:r>
      <w:r>
        <w:rPr>
          <w:rStyle w:val="FootnoteReference"/>
          <w:rtl/>
        </w:rPr>
        <w:footnoteReference w:id="74"/>
      </w:r>
      <w:r w:rsidRPr="00EB18A1">
        <w:rPr>
          <w:rFonts w:hint="cs"/>
          <w:rtl/>
        </w:rPr>
        <w:t xml:space="preserve"> במטרה לתמוך בהמשך פעילות ענף הבינוי ולסייע לקבלנים לעמוד בצורכי המימון המתגברים, לנוכח המחסור הצפוי בעובדים ועיכובים בבנייה. במסגרת זאת אושר לתאגידים בנקאיים להגדיל את האשראי לענף הבינוי כך שסך האשראי בניכוי חבויות לתשתיות לאומיות יעלה משיעור של 20% ל-22% מסך חבויות הציבור. ביום </w:t>
      </w:r>
      <w:r w:rsidRPr="00EB18A1">
        <w:rPr>
          <w:rtl/>
        </w:rPr>
        <w:t>7.12.20</w:t>
      </w:r>
      <w:r w:rsidRPr="00EB18A1">
        <w:rPr>
          <w:rFonts w:hint="cs"/>
          <w:rtl/>
        </w:rPr>
        <w:t xml:space="preserve"> הודיע</w:t>
      </w:r>
      <w:r>
        <w:rPr>
          <w:rFonts w:hint="cs"/>
          <w:rtl/>
        </w:rPr>
        <w:t xml:space="preserve"> הפיקוח על הבנקים, בין היתר, על הארכת תוקף ההקלה בהוראת שעה עד שנת 2025 ועל צמצום מגבלת החשיפה לענף הבינוי ב-2% (סף המגבלה עלה ל-26%). המפקח על הבנקים ציין כי ההקלות נעשו לאחר בחינה של סיכוני הריכוזיות הענפיים הקיימים, וכי צעדים אלה יאפשרו למשק להתאושש באופן טוב יותר לאחר היציאה מהמשבר והם בעלי פוטנציאל גידול אשראי המוערך ב-18 מיליארד ש"ח. </w:t>
      </w:r>
    </w:p>
    <w:p w:rsidR="00253C38" w:rsidP="00982BC1" w14:paraId="1C6C659F" w14:textId="164A1608">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058338D7" w14:textId="77777777">
      <w:pPr>
        <w:spacing w:line="269" w:lineRule="auto"/>
        <w:rPr>
          <w:rtl/>
        </w:rPr>
      </w:pPr>
      <w:r>
        <w:rPr>
          <w:rFonts w:hint="cs"/>
          <w:rtl/>
        </w:rPr>
        <w:t xml:space="preserve">תרשים </w:t>
      </w:r>
      <w:r w:rsidR="00311541">
        <w:rPr>
          <w:rFonts w:hint="cs"/>
          <w:rtl/>
        </w:rPr>
        <w:t>38</w:t>
      </w:r>
      <w:r>
        <w:rPr>
          <w:rFonts w:hint="cs"/>
          <w:rtl/>
        </w:rPr>
        <w:t xml:space="preserve"> להלן מציג את השינוי בסך האשראי לציבור ובאשראי לענף הבינוי בהתאם לסיכון האשראי המאזני, הממחיש את השינוי בהיקף האשראי שהועמד לענף.</w:t>
      </w:r>
    </w:p>
    <w:p w:rsidR="00253C38" w:rsidP="00982BC1" w14:paraId="16284CCD" w14:textId="407815A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86470" w:rsidP="00982BC1" w14:paraId="4ECBE8BA" w14:textId="77777777">
      <w:pPr>
        <w:spacing w:line="269" w:lineRule="auto"/>
        <w:jc w:val="center"/>
        <w:rPr>
          <w:b/>
          <w:bCs/>
          <w:rtl/>
        </w:rPr>
      </w:pPr>
      <w:r w:rsidRPr="00786470">
        <w:rPr>
          <w:rFonts w:hint="eastAsia"/>
          <w:b/>
          <w:bCs/>
          <w:rtl/>
        </w:rPr>
        <w:t>תרשים</w:t>
      </w:r>
      <w:r w:rsidRPr="00786470">
        <w:rPr>
          <w:b/>
          <w:bCs/>
          <w:rtl/>
        </w:rPr>
        <w:t xml:space="preserve"> </w:t>
      </w:r>
      <w:r w:rsidR="00311541">
        <w:rPr>
          <w:rFonts w:hint="cs"/>
          <w:b/>
          <w:bCs/>
          <w:rtl/>
        </w:rPr>
        <w:t>38</w:t>
      </w:r>
      <w:r w:rsidRPr="00786470">
        <w:rPr>
          <w:b/>
          <w:bCs/>
          <w:rtl/>
        </w:rPr>
        <w:t xml:space="preserve">: השינוי בסך </w:t>
      </w:r>
      <w:r w:rsidRPr="00786470">
        <w:rPr>
          <w:rFonts w:hint="eastAsia"/>
          <w:b/>
          <w:bCs/>
          <w:rtl/>
        </w:rPr>
        <w:t>האשראי</w:t>
      </w:r>
      <w:r w:rsidRPr="00786470">
        <w:rPr>
          <w:b/>
          <w:bCs/>
          <w:rtl/>
        </w:rPr>
        <w:t xml:space="preserve"> לציבור </w:t>
      </w:r>
      <w:r w:rsidRPr="00D72DBE">
        <w:rPr>
          <w:rFonts w:hint="cs"/>
          <w:b/>
          <w:bCs/>
          <w:rtl/>
        </w:rPr>
        <w:t>ולענף</w:t>
      </w:r>
      <w:r w:rsidRPr="00786470">
        <w:rPr>
          <w:b/>
          <w:bCs/>
          <w:rtl/>
        </w:rPr>
        <w:t xml:space="preserve"> הבינוי </w:t>
      </w:r>
      <w:r w:rsidRPr="00D72DBE">
        <w:rPr>
          <w:rFonts w:hint="cs"/>
          <w:b/>
          <w:bCs/>
          <w:rtl/>
        </w:rPr>
        <w:t xml:space="preserve">(במיליארדי ש"ח) </w:t>
      </w:r>
    </w:p>
    <w:p w:rsidR="00253C38" w:rsidP="00982BC1" w14:paraId="7FAC1796" w14:textId="77777777">
      <w:pPr>
        <w:spacing w:line="269" w:lineRule="auto"/>
        <w:jc w:val="center"/>
        <w:rPr>
          <w:rtl/>
        </w:rPr>
      </w:pPr>
      <w:r>
        <w:rPr>
          <w:noProof/>
        </w:rPr>
        <w:drawing>
          <wp:inline distT="0" distB="0" distL="0" distR="0">
            <wp:extent cx="4559854" cy="297180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90324" name=""/>
                    <pic:cNvPicPr/>
                  </pic:nvPicPr>
                  <pic:blipFill>
                    <a:blip xmlns:r="http://schemas.openxmlformats.org/officeDocument/2006/relationships" r:embed="rId49"/>
                    <a:stretch>
                      <a:fillRect/>
                    </a:stretch>
                  </pic:blipFill>
                  <pic:spPr>
                    <a:xfrm>
                      <a:off x="0" y="0"/>
                      <a:ext cx="4578100" cy="2983692"/>
                    </a:xfrm>
                    <a:prstGeom prst="rect">
                      <a:avLst/>
                    </a:prstGeom>
                  </pic:spPr>
                </pic:pic>
              </a:graphicData>
            </a:graphic>
          </wp:inline>
        </w:drawing>
      </w:r>
    </w:p>
    <w:p w:rsidR="00253C38" w:rsidRPr="00E065A2" w:rsidP="00982BC1" w14:paraId="0811C48A" w14:textId="77777777">
      <w:pPr>
        <w:spacing w:line="269" w:lineRule="auto"/>
        <w:rPr>
          <w:sz w:val="18"/>
          <w:szCs w:val="22"/>
          <w:rtl/>
        </w:rPr>
      </w:pPr>
      <w:r w:rsidRPr="00E065A2">
        <w:rPr>
          <w:rFonts w:hint="cs"/>
          <w:sz w:val="18"/>
          <w:szCs w:val="22"/>
          <w:rtl/>
        </w:rPr>
        <w:t>נתוני הפיקוח על הבנקים, בעיבוד משרד מבקר המדינה.</w:t>
      </w:r>
    </w:p>
    <w:p w:rsidR="00253C38" w:rsidP="00982BC1" w14:paraId="2CAD9D1A" w14:textId="35EB384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B70C66A" w14:textId="77777777">
      <w:pPr>
        <w:spacing w:line="269" w:lineRule="auto"/>
        <w:rPr>
          <w:b/>
          <w:bCs/>
          <w:rtl/>
        </w:rPr>
      </w:pPr>
      <w:r w:rsidRPr="008709E0">
        <w:rPr>
          <w:rFonts w:hint="eastAsia"/>
          <w:b/>
          <w:bCs/>
          <w:rtl/>
        </w:rPr>
        <w:t>מתרשים</w:t>
      </w:r>
      <w:r>
        <w:rPr>
          <w:rFonts w:hint="cs"/>
          <w:b/>
          <w:bCs/>
          <w:rtl/>
        </w:rPr>
        <w:t xml:space="preserve"> </w:t>
      </w:r>
      <w:r w:rsidR="00311541">
        <w:rPr>
          <w:rFonts w:hint="cs"/>
          <w:b/>
          <w:bCs/>
          <w:rtl/>
        </w:rPr>
        <w:t>38</w:t>
      </w:r>
      <w:r w:rsidRPr="008709E0">
        <w:rPr>
          <w:b/>
          <w:bCs/>
          <w:rtl/>
        </w:rPr>
        <w:t xml:space="preserve"> </w:t>
      </w:r>
      <w:r w:rsidRPr="008709E0">
        <w:rPr>
          <w:rFonts w:hint="eastAsia"/>
          <w:b/>
          <w:bCs/>
          <w:rtl/>
        </w:rPr>
        <w:t>עולה</w:t>
      </w:r>
      <w:r w:rsidRPr="008709E0">
        <w:rPr>
          <w:b/>
          <w:bCs/>
          <w:rtl/>
        </w:rPr>
        <w:t xml:space="preserve"> </w:t>
      </w:r>
      <w:r w:rsidRPr="008709E0">
        <w:rPr>
          <w:rFonts w:hint="eastAsia"/>
          <w:b/>
          <w:bCs/>
          <w:rtl/>
        </w:rPr>
        <w:t>כי</w:t>
      </w:r>
      <w:r w:rsidRPr="008709E0">
        <w:rPr>
          <w:b/>
          <w:bCs/>
          <w:rtl/>
        </w:rPr>
        <w:t xml:space="preserve"> </w:t>
      </w:r>
      <w:r w:rsidRPr="008709E0">
        <w:rPr>
          <w:rFonts w:hint="eastAsia"/>
          <w:b/>
          <w:bCs/>
          <w:rtl/>
        </w:rPr>
        <w:t>בסוף</w:t>
      </w:r>
      <w:r w:rsidRPr="008709E0">
        <w:rPr>
          <w:b/>
          <w:bCs/>
          <w:rtl/>
        </w:rPr>
        <w:t xml:space="preserve"> </w:t>
      </w:r>
      <w:r w:rsidRPr="008709E0">
        <w:rPr>
          <w:rFonts w:hint="eastAsia"/>
          <w:b/>
          <w:bCs/>
          <w:rtl/>
        </w:rPr>
        <w:t>שנת</w:t>
      </w:r>
      <w:r w:rsidRPr="008709E0">
        <w:rPr>
          <w:b/>
          <w:bCs/>
          <w:rtl/>
        </w:rPr>
        <w:t xml:space="preserve"> 2019 </w:t>
      </w:r>
      <w:r w:rsidRPr="008709E0">
        <w:rPr>
          <w:rFonts w:hint="eastAsia"/>
          <w:b/>
          <w:bCs/>
          <w:rtl/>
        </w:rPr>
        <w:t>סך</w:t>
      </w:r>
      <w:r w:rsidRPr="008709E0">
        <w:rPr>
          <w:b/>
          <w:bCs/>
          <w:rtl/>
        </w:rPr>
        <w:t xml:space="preserve"> </w:t>
      </w:r>
      <w:r w:rsidRPr="008709E0">
        <w:rPr>
          <w:rFonts w:hint="eastAsia"/>
          <w:b/>
          <w:bCs/>
          <w:rtl/>
        </w:rPr>
        <w:t>האשראי</w:t>
      </w:r>
      <w:r w:rsidRPr="008709E0">
        <w:rPr>
          <w:b/>
          <w:bCs/>
          <w:rtl/>
        </w:rPr>
        <w:t xml:space="preserve"> </w:t>
      </w:r>
      <w:r w:rsidRPr="008709E0">
        <w:rPr>
          <w:rFonts w:hint="eastAsia"/>
          <w:b/>
          <w:bCs/>
          <w:rtl/>
        </w:rPr>
        <w:t>לציבור</w:t>
      </w:r>
      <w:r w:rsidRPr="008709E0">
        <w:rPr>
          <w:b/>
          <w:bCs/>
          <w:rtl/>
        </w:rPr>
        <w:t xml:space="preserve"> </w:t>
      </w:r>
      <w:r w:rsidRPr="008709E0">
        <w:rPr>
          <w:rFonts w:hint="eastAsia"/>
          <w:b/>
          <w:bCs/>
          <w:rtl/>
        </w:rPr>
        <w:t>הסתכם</w:t>
      </w:r>
      <w:r w:rsidRPr="008709E0">
        <w:rPr>
          <w:b/>
          <w:bCs/>
          <w:rtl/>
        </w:rPr>
        <w:t xml:space="preserve"> </w:t>
      </w:r>
      <w:r w:rsidRPr="008709E0">
        <w:rPr>
          <w:rFonts w:hint="eastAsia"/>
          <w:b/>
          <w:bCs/>
          <w:rtl/>
        </w:rPr>
        <w:t>בכ</w:t>
      </w:r>
      <w:r w:rsidRPr="008709E0">
        <w:rPr>
          <w:b/>
          <w:bCs/>
          <w:rtl/>
        </w:rPr>
        <w:t xml:space="preserve">-992 </w:t>
      </w:r>
      <w:r w:rsidRPr="008709E0">
        <w:rPr>
          <w:rFonts w:hint="eastAsia"/>
          <w:b/>
          <w:bCs/>
          <w:rtl/>
        </w:rPr>
        <w:t>מיליארד</w:t>
      </w:r>
      <w:r w:rsidRPr="008709E0">
        <w:rPr>
          <w:b/>
          <w:bCs/>
          <w:rtl/>
        </w:rPr>
        <w:t xml:space="preserve"> </w:t>
      </w:r>
      <w:r w:rsidRPr="008709E0">
        <w:rPr>
          <w:rFonts w:hint="eastAsia"/>
          <w:b/>
          <w:bCs/>
          <w:rtl/>
        </w:rPr>
        <w:t>ש</w:t>
      </w:r>
      <w:r w:rsidRPr="008709E0">
        <w:rPr>
          <w:b/>
          <w:bCs/>
          <w:rtl/>
        </w:rPr>
        <w:t xml:space="preserve">"ח, </w:t>
      </w:r>
      <w:r>
        <w:rPr>
          <w:rFonts w:hint="cs"/>
          <w:b/>
          <w:bCs/>
          <w:rtl/>
        </w:rPr>
        <w:t>ו</w:t>
      </w:r>
      <w:r w:rsidRPr="008709E0">
        <w:rPr>
          <w:rFonts w:hint="eastAsia"/>
          <w:b/>
          <w:bCs/>
          <w:rtl/>
        </w:rPr>
        <w:t>מתוכו</w:t>
      </w:r>
      <w:r w:rsidRPr="008709E0">
        <w:rPr>
          <w:b/>
          <w:bCs/>
          <w:rtl/>
        </w:rPr>
        <w:t xml:space="preserve"> </w:t>
      </w:r>
      <w:r w:rsidRPr="008709E0">
        <w:rPr>
          <w:rFonts w:hint="eastAsia"/>
          <w:b/>
          <w:bCs/>
          <w:rtl/>
        </w:rPr>
        <w:t>כ</w:t>
      </w:r>
      <w:r w:rsidRPr="008709E0">
        <w:rPr>
          <w:b/>
          <w:bCs/>
          <w:rtl/>
        </w:rPr>
        <w:t xml:space="preserve">-153 </w:t>
      </w:r>
      <w:r w:rsidRPr="008709E0">
        <w:rPr>
          <w:rFonts w:hint="eastAsia"/>
          <w:b/>
          <w:bCs/>
          <w:rtl/>
        </w:rPr>
        <w:t>מיליארד</w:t>
      </w:r>
      <w:r w:rsidRPr="008709E0">
        <w:rPr>
          <w:b/>
          <w:bCs/>
          <w:rtl/>
        </w:rPr>
        <w:t xml:space="preserve"> </w:t>
      </w:r>
      <w:r w:rsidRPr="008709E0">
        <w:rPr>
          <w:rFonts w:hint="eastAsia"/>
          <w:b/>
          <w:bCs/>
          <w:rtl/>
        </w:rPr>
        <w:t>ש</w:t>
      </w:r>
      <w:r w:rsidRPr="008709E0">
        <w:rPr>
          <w:b/>
          <w:bCs/>
          <w:rtl/>
        </w:rPr>
        <w:t xml:space="preserve">"ח (15.4%) </w:t>
      </w:r>
      <w:r w:rsidRPr="008709E0">
        <w:rPr>
          <w:rFonts w:hint="eastAsia"/>
          <w:b/>
          <w:bCs/>
          <w:rtl/>
        </w:rPr>
        <w:t>יוחסו</w:t>
      </w:r>
      <w:r w:rsidRPr="008709E0">
        <w:rPr>
          <w:b/>
          <w:bCs/>
          <w:rtl/>
        </w:rPr>
        <w:t xml:space="preserve"> </w:t>
      </w:r>
      <w:r w:rsidRPr="008709E0">
        <w:rPr>
          <w:rFonts w:hint="eastAsia"/>
          <w:b/>
          <w:bCs/>
          <w:rtl/>
        </w:rPr>
        <w:t>לענף</w:t>
      </w:r>
      <w:r w:rsidRPr="008709E0">
        <w:rPr>
          <w:b/>
          <w:bCs/>
          <w:rtl/>
        </w:rPr>
        <w:t xml:space="preserve"> </w:t>
      </w:r>
      <w:r w:rsidRPr="008709E0">
        <w:rPr>
          <w:rFonts w:hint="eastAsia"/>
          <w:b/>
          <w:bCs/>
          <w:rtl/>
        </w:rPr>
        <w:t>הבינוי</w:t>
      </w:r>
      <w:r w:rsidRPr="008709E0">
        <w:rPr>
          <w:b/>
          <w:bCs/>
          <w:rtl/>
        </w:rPr>
        <w:t xml:space="preserve">, </w:t>
      </w:r>
      <w:r w:rsidRPr="008709E0">
        <w:rPr>
          <w:rFonts w:hint="eastAsia"/>
          <w:b/>
          <w:bCs/>
          <w:rtl/>
        </w:rPr>
        <w:t>ואילו</w:t>
      </w:r>
      <w:r w:rsidRPr="008709E0">
        <w:rPr>
          <w:b/>
          <w:bCs/>
          <w:rtl/>
        </w:rPr>
        <w:t xml:space="preserve"> </w:t>
      </w:r>
      <w:r w:rsidRPr="008709E0">
        <w:rPr>
          <w:rFonts w:hint="eastAsia"/>
          <w:b/>
          <w:bCs/>
          <w:rtl/>
        </w:rPr>
        <w:t>בסוף</w:t>
      </w:r>
      <w:r w:rsidRPr="008709E0">
        <w:rPr>
          <w:b/>
          <w:bCs/>
          <w:rtl/>
        </w:rPr>
        <w:t xml:space="preserve"> </w:t>
      </w:r>
      <w:r w:rsidRPr="008709E0">
        <w:rPr>
          <w:rFonts w:hint="eastAsia"/>
          <w:b/>
          <w:bCs/>
          <w:rtl/>
        </w:rPr>
        <w:t>הרבעון</w:t>
      </w:r>
      <w:r w:rsidRPr="008709E0">
        <w:rPr>
          <w:b/>
          <w:bCs/>
          <w:rtl/>
        </w:rPr>
        <w:t xml:space="preserve"> </w:t>
      </w:r>
      <w:r w:rsidRPr="008709E0">
        <w:rPr>
          <w:rFonts w:hint="eastAsia"/>
          <w:b/>
          <w:bCs/>
          <w:rtl/>
        </w:rPr>
        <w:t>הראשון</w:t>
      </w:r>
      <w:r w:rsidRPr="008709E0">
        <w:rPr>
          <w:b/>
          <w:bCs/>
          <w:rtl/>
        </w:rPr>
        <w:t xml:space="preserve"> </w:t>
      </w:r>
      <w:r w:rsidRPr="008709E0">
        <w:rPr>
          <w:rFonts w:hint="eastAsia"/>
          <w:b/>
          <w:bCs/>
          <w:rtl/>
        </w:rPr>
        <w:t>של</w:t>
      </w:r>
      <w:r w:rsidRPr="008709E0">
        <w:rPr>
          <w:b/>
          <w:bCs/>
          <w:rtl/>
        </w:rPr>
        <w:t xml:space="preserve"> </w:t>
      </w:r>
      <w:r w:rsidRPr="008709E0">
        <w:rPr>
          <w:rFonts w:hint="eastAsia"/>
          <w:b/>
          <w:bCs/>
          <w:rtl/>
        </w:rPr>
        <w:t>שנת</w:t>
      </w:r>
      <w:r w:rsidRPr="008709E0">
        <w:rPr>
          <w:b/>
          <w:bCs/>
          <w:rtl/>
        </w:rPr>
        <w:t xml:space="preserve"> 2020 </w:t>
      </w:r>
      <w:r w:rsidRPr="008709E0">
        <w:rPr>
          <w:rFonts w:hint="eastAsia"/>
          <w:b/>
          <w:bCs/>
          <w:rtl/>
        </w:rPr>
        <w:t>הסתכם</w:t>
      </w:r>
      <w:r w:rsidRPr="008709E0">
        <w:rPr>
          <w:b/>
          <w:bCs/>
          <w:rtl/>
        </w:rPr>
        <w:t xml:space="preserve"> </w:t>
      </w:r>
      <w:r w:rsidRPr="008709E0">
        <w:rPr>
          <w:rFonts w:hint="eastAsia"/>
          <w:b/>
          <w:bCs/>
          <w:rtl/>
        </w:rPr>
        <w:t>האשראי</w:t>
      </w:r>
      <w:r w:rsidRPr="008709E0">
        <w:rPr>
          <w:b/>
          <w:bCs/>
          <w:rtl/>
        </w:rPr>
        <w:t xml:space="preserve"> </w:t>
      </w:r>
      <w:r w:rsidRPr="008709E0">
        <w:rPr>
          <w:rFonts w:hint="eastAsia"/>
          <w:b/>
          <w:bCs/>
          <w:rtl/>
        </w:rPr>
        <w:t>לציבור</w:t>
      </w:r>
      <w:r w:rsidRPr="008709E0">
        <w:rPr>
          <w:b/>
          <w:bCs/>
          <w:rtl/>
        </w:rPr>
        <w:t xml:space="preserve"> </w:t>
      </w:r>
      <w:r w:rsidRPr="008709E0">
        <w:rPr>
          <w:rFonts w:hint="eastAsia"/>
          <w:b/>
          <w:bCs/>
          <w:rtl/>
        </w:rPr>
        <w:t>בכ</w:t>
      </w:r>
      <w:r w:rsidRPr="008709E0">
        <w:rPr>
          <w:b/>
          <w:bCs/>
          <w:rtl/>
        </w:rPr>
        <w:t xml:space="preserve">-1,030 </w:t>
      </w:r>
      <w:r>
        <w:rPr>
          <w:rFonts w:hint="cs"/>
          <w:b/>
          <w:bCs/>
          <w:rtl/>
        </w:rPr>
        <w:t xml:space="preserve">מיליארד ש"ח, </w:t>
      </w:r>
      <w:r w:rsidRPr="008709E0">
        <w:rPr>
          <w:rFonts w:hint="eastAsia"/>
          <w:b/>
          <w:bCs/>
          <w:rtl/>
        </w:rPr>
        <w:t>ו</w:t>
      </w:r>
      <w:r>
        <w:rPr>
          <w:rFonts w:hint="cs"/>
          <w:b/>
          <w:bCs/>
          <w:rtl/>
        </w:rPr>
        <w:t>בסוף הרבעון השני ב</w:t>
      </w:r>
      <w:r w:rsidRPr="008709E0">
        <w:rPr>
          <w:b/>
          <w:bCs/>
          <w:rtl/>
        </w:rPr>
        <w:t xml:space="preserve">-1,013 </w:t>
      </w:r>
      <w:r w:rsidRPr="008709E0">
        <w:rPr>
          <w:rFonts w:hint="eastAsia"/>
          <w:b/>
          <w:bCs/>
          <w:rtl/>
        </w:rPr>
        <w:t>מיליארד</w:t>
      </w:r>
      <w:r w:rsidRPr="008709E0">
        <w:rPr>
          <w:b/>
          <w:bCs/>
          <w:rtl/>
        </w:rPr>
        <w:t xml:space="preserve"> </w:t>
      </w:r>
      <w:r w:rsidRPr="008709E0">
        <w:rPr>
          <w:rFonts w:hint="eastAsia"/>
          <w:b/>
          <w:bCs/>
          <w:rtl/>
        </w:rPr>
        <w:t>ש</w:t>
      </w:r>
      <w:r w:rsidRPr="008709E0">
        <w:rPr>
          <w:b/>
          <w:bCs/>
          <w:rtl/>
        </w:rPr>
        <w:t xml:space="preserve">"ח, </w:t>
      </w:r>
      <w:r>
        <w:rPr>
          <w:rFonts w:hint="cs"/>
          <w:b/>
          <w:bCs/>
          <w:rtl/>
        </w:rPr>
        <w:t>ו</w:t>
      </w:r>
      <w:r w:rsidRPr="008709E0">
        <w:rPr>
          <w:rFonts w:hint="eastAsia"/>
          <w:b/>
          <w:bCs/>
          <w:rtl/>
        </w:rPr>
        <w:t>מתוכם</w:t>
      </w:r>
      <w:r w:rsidRPr="008709E0">
        <w:rPr>
          <w:b/>
          <w:bCs/>
          <w:rtl/>
        </w:rPr>
        <w:t xml:space="preserve"> </w:t>
      </w:r>
      <w:r>
        <w:rPr>
          <w:rFonts w:hint="cs"/>
          <w:b/>
          <w:bCs/>
          <w:rtl/>
        </w:rPr>
        <w:t xml:space="preserve">יוחסו לענף הבינוי ברבעון הראשון </w:t>
      </w:r>
      <w:r w:rsidRPr="008709E0">
        <w:rPr>
          <w:rFonts w:hint="eastAsia"/>
          <w:b/>
          <w:bCs/>
          <w:rtl/>
        </w:rPr>
        <w:t>כ</w:t>
      </w:r>
      <w:r w:rsidRPr="008709E0">
        <w:rPr>
          <w:b/>
          <w:bCs/>
          <w:rtl/>
        </w:rPr>
        <w:t xml:space="preserve">-159 </w:t>
      </w:r>
      <w:r w:rsidRPr="008709E0">
        <w:rPr>
          <w:rFonts w:hint="eastAsia"/>
          <w:b/>
          <w:bCs/>
          <w:rtl/>
        </w:rPr>
        <w:t>מיליארד</w:t>
      </w:r>
      <w:r w:rsidRPr="008709E0">
        <w:rPr>
          <w:b/>
          <w:bCs/>
          <w:rtl/>
        </w:rPr>
        <w:t xml:space="preserve"> </w:t>
      </w:r>
      <w:r w:rsidRPr="008709E0">
        <w:rPr>
          <w:rFonts w:hint="eastAsia"/>
          <w:b/>
          <w:bCs/>
          <w:rtl/>
        </w:rPr>
        <w:t>ש</w:t>
      </w:r>
      <w:r w:rsidRPr="008709E0">
        <w:rPr>
          <w:b/>
          <w:bCs/>
          <w:rtl/>
        </w:rPr>
        <w:t xml:space="preserve">"ח (15.5%) </w:t>
      </w:r>
      <w:r w:rsidRPr="008709E0">
        <w:rPr>
          <w:rFonts w:hint="eastAsia"/>
          <w:b/>
          <w:bCs/>
          <w:rtl/>
        </w:rPr>
        <w:t>ו</w:t>
      </w:r>
      <w:r w:rsidRPr="008709E0">
        <w:rPr>
          <w:b/>
          <w:bCs/>
          <w:rtl/>
        </w:rPr>
        <w:t xml:space="preserve">-162 </w:t>
      </w:r>
      <w:r w:rsidRPr="008709E0">
        <w:rPr>
          <w:rFonts w:hint="eastAsia"/>
          <w:b/>
          <w:bCs/>
          <w:rtl/>
        </w:rPr>
        <w:t>מיליארד</w:t>
      </w:r>
      <w:r w:rsidRPr="008709E0">
        <w:rPr>
          <w:b/>
          <w:bCs/>
          <w:rtl/>
        </w:rPr>
        <w:t xml:space="preserve"> </w:t>
      </w:r>
      <w:r w:rsidRPr="008709E0">
        <w:rPr>
          <w:rFonts w:hint="eastAsia"/>
          <w:b/>
          <w:bCs/>
          <w:rtl/>
        </w:rPr>
        <w:t>ש</w:t>
      </w:r>
      <w:r w:rsidRPr="008709E0">
        <w:rPr>
          <w:b/>
          <w:bCs/>
          <w:rtl/>
        </w:rPr>
        <w:t>"ח</w:t>
      </w:r>
      <w:r w:rsidR="00311541">
        <w:rPr>
          <w:rFonts w:hint="cs"/>
          <w:b/>
          <w:bCs/>
          <w:rtl/>
        </w:rPr>
        <w:t xml:space="preserve"> </w:t>
      </w:r>
      <w:r w:rsidR="00311541">
        <w:rPr>
          <w:b/>
          <w:bCs/>
          <w:rtl/>
        </w:rPr>
        <w:t>(</w:t>
      </w:r>
      <w:r w:rsidRPr="008709E0" w:rsidR="00311541">
        <w:rPr>
          <w:b/>
          <w:bCs/>
          <w:rtl/>
        </w:rPr>
        <w:t>15.9%)</w:t>
      </w:r>
      <w:r w:rsidRPr="008709E0">
        <w:rPr>
          <w:b/>
          <w:bCs/>
          <w:rtl/>
        </w:rPr>
        <w:t xml:space="preserve"> </w:t>
      </w:r>
      <w:r w:rsidRPr="008709E0">
        <w:rPr>
          <w:rFonts w:hint="eastAsia"/>
          <w:b/>
          <w:bCs/>
          <w:rtl/>
        </w:rPr>
        <w:t>לענף</w:t>
      </w:r>
      <w:r w:rsidRPr="008709E0">
        <w:rPr>
          <w:b/>
          <w:bCs/>
          <w:rtl/>
        </w:rPr>
        <w:t xml:space="preserve"> </w:t>
      </w:r>
      <w:r>
        <w:rPr>
          <w:rFonts w:hint="cs"/>
          <w:b/>
          <w:bCs/>
          <w:rtl/>
        </w:rPr>
        <w:t>זה ברבעון השני</w:t>
      </w:r>
      <w:r w:rsidRPr="008709E0">
        <w:rPr>
          <w:b/>
          <w:bCs/>
          <w:rtl/>
        </w:rPr>
        <w:t>.</w:t>
      </w:r>
    </w:p>
    <w:p w:rsidR="00253C38" w:rsidP="00982BC1" w14:paraId="50788D6D"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A03072" w:rsidP="00982BC1" w14:paraId="3BD65BED" w14:textId="77777777">
      <w:pPr>
        <w:spacing w:line="269" w:lineRule="auto"/>
        <w:rPr>
          <w:rtl/>
        </w:rPr>
      </w:pPr>
      <w:r>
        <w:rPr>
          <w:rFonts w:hint="cs"/>
          <w:rtl/>
        </w:rPr>
        <w:t xml:space="preserve">בנק ישראל כתב למשרד מבקר </w:t>
      </w:r>
      <w:r w:rsidRPr="00EB18A1">
        <w:rPr>
          <w:rFonts w:hint="cs"/>
          <w:rtl/>
        </w:rPr>
        <w:t>המדינה ב-</w:t>
      </w:r>
      <w:r w:rsidRPr="00EB18A1">
        <w:rPr>
          <w:rtl/>
        </w:rPr>
        <w:t>25.2.21</w:t>
      </w:r>
      <w:r w:rsidRPr="00EB18A1">
        <w:rPr>
          <w:rFonts w:hint="cs"/>
          <w:rtl/>
        </w:rPr>
        <w:t xml:space="preserve"> כי הוא</w:t>
      </w:r>
      <w:r>
        <w:rPr>
          <w:rFonts w:hint="cs"/>
          <w:rtl/>
        </w:rPr>
        <w:t xml:space="preserve"> פעל וממשיך לפעול במהלך המשבר לביצוע ניתוחים שונים שנועדו לתמוך בקבלת</w:t>
      </w:r>
      <w:r w:rsidRPr="007610F1">
        <w:rPr>
          <w:rtl/>
        </w:rPr>
        <w:t xml:space="preserve"> ההחלטות</w:t>
      </w:r>
      <w:r>
        <w:rPr>
          <w:rFonts w:hint="cs"/>
          <w:rtl/>
        </w:rPr>
        <w:t xml:space="preserve"> על אופי ההקלות הרגולטוריות. במסגרת זו הוחלט להרחיב את תוקף הקלת המגבלה לחמש שנים, אחרי שנבחן האיזון בין צורכי השוק בעת המשבר לבין גישה שמרנית המיועדת למנוע גידול בעל אופי קבוע בריכוזיות ענף הבינוי.</w:t>
      </w:r>
    </w:p>
    <w:p w:rsidR="00253C38" w:rsidP="00982BC1" w14:paraId="299157F5" w14:textId="01946C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F55B6" w:rsidP="00982BC1" w14:paraId="47E82912" w14:textId="77777777">
      <w:pPr>
        <w:pStyle w:val="Heading5"/>
        <w:spacing w:line="269" w:lineRule="auto"/>
        <w:rPr>
          <w:b/>
          <w:bCs w:val="0"/>
        </w:rPr>
      </w:pPr>
      <w:r w:rsidRPr="007F55B6">
        <w:rPr>
          <w:rFonts w:hint="eastAsia"/>
          <w:b/>
          <w:spacing w:val="0"/>
          <w:rtl/>
        </w:rPr>
        <w:t>מומלץ</w:t>
      </w:r>
      <w:r w:rsidRPr="007F55B6">
        <w:rPr>
          <w:b/>
          <w:spacing w:val="0"/>
          <w:rtl/>
        </w:rPr>
        <w:t xml:space="preserve"> </w:t>
      </w:r>
      <w:r w:rsidRPr="007F55B6">
        <w:rPr>
          <w:rFonts w:hint="eastAsia"/>
          <w:b/>
          <w:spacing w:val="0"/>
          <w:rtl/>
        </w:rPr>
        <w:t>כי</w:t>
      </w:r>
      <w:r w:rsidRPr="007F55B6">
        <w:rPr>
          <w:b/>
          <w:spacing w:val="0"/>
          <w:rtl/>
        </w:rPr>
        <w:t xml:space="preserve"> </w:t>
      </w:r>
      <w:r w:rsidRPr="007F55B6">
        <w:rPr>
          <w:rFonts w:hint="eastAsia"/>
          <w:b/>
          <w:spacing w:val="0"/>
          <w:rtl/>
        </w:rPr>
        <w:t>בנק</w:t>
      </w:r>
      <w:r w:rsidRPr="007F55B6">
        <w:rPr>
          <w:b/>
          <w:spacing w:val="0"/>
          <w:rtl/>
        </w:rPr>
        <w:t xml:space="preserve"> </w:t>
      </w:r>
      <w:r w:rsidRPr="007F55B6">
        <w:rPr>
          <w:rFonts w:hint="eastAsia"/>
          <w:b/>
          <w:spacing w:val="0"/>
          <w:rtl/>
        </w:rPr>
        <w:t>ישראל</w:t>
      </w:r>
      <w:r w:rsidRPr="007F55B6">
        <w:rPr>
          <w:b/>
          <w:spacing w:val="0"/>
          <w:rtl/>
        </w:rPr>
        <w:t xml:space="preserve"> </w:t>
      </w:r>
      <w:r w:rsidRPr="007F55B6">
        <w:rPr>
          <w:rFonts w:hint="eastAsia"/>
          <w:b/>
          <w:spacing w:val="0"/>
          <w:rtl/>
        </w:rPr>
        <w:t>ינתח</w:t>
      </w:r>
      <w:r w:rsidRPr="007F55B6">
        <w:rPr>
          <w:b/>
          <w:spacing w:val="0"/>
          <w:rtl/>
        </w:rPr>
        <w:t xml:space="preserve"> </w:t>
      </w:r>
      <w:r w:rsidRPr="007F55B6">
        <w:rPr>
          <w:rFonts w:hint="eastAsia"/>
          <w:b/>
          <w:spacing w:val="0"/>
          <w:rtl/>
        </w:rPr>
        <w:t>את</w:t>
      </w:r>
      <w:r w:rsidRPr="007F55B6">
        <w:rPr>
          <w:b/>
          <w:spacing w:val="0"/>
          <w:rtl/>
        </w:rPr>
        <w:t xml:space="preserve"> </w:t>
      </w:r>
      <w:r w:rsidRPr="007F55B6">
        <w:rPr>
          <w:rFonts w:hint="eastAsia"/>
          <w:b/>
          <w:spacing w:val="0"/>
          <w:rtl/>
        </w:rPr>
        <w:t>הגידול</w:t>
      </w:r>
      <w:r w:rsidRPr="007F55B6">
        <w:rPr>
          <w:b/>
          <w:spacing w:val="0"/>
          <w:rtl/>
        </w:rPr>
        <w:t xml:space="preserve"> </w:t>
      </w:r>
      <w:r w:rsidRPr="007F55B6">
        <w:rPr>
          <w:rFonts w:hint="eastAsia"/>
          <w:b/>
          <w:spacing w:val="0"/>
          <w:rtl/>
        </w:rPr>
        <w:t>בהיקף</w:t>
      </w:r>
      <w:r w:rsidRPr="007F55B6">
        <w:rPr>
          <w:b/>
          <w:spacing w:val="0"/>
          <w:rtl/>
        </w:rPr>
        <w:t xml:space="preserve"> </w:t>
      </w:r>
      <w:r w:rsidRPr="007F55B6">
        <w:rPr>
          <w:rFonts w:hint="eastAsia"/>
          <w:b/>
          <w:spacing w:val="0"/>
          <w:rtl/>
        </w:rPr>
        <w:t>האשראי</w:t>
      </w:r>
      <w:r w:rsidRPr="007F55B6">
        <w:rPr>
          <w:b/>
          <w:spacing w:val="0"/>
          <w:rtl/>
        </w:rPr>
        <w:t xml:space="preserve"> </w:t>
      </w:r>
      <w:r w:rsidRPr="007F55B6">
        <w:rPr>
          <w:rFonts w:hint="eastAsia"/>
          <w:b/>
          <w:spacing w:val="0"/>
          <w:rtl/>
        </w:rPr>
        <w:t>הנוגע</w:t>
      </w:r>
      <w:r w:rsidRPr="007F55B6">
        <w:rPr>
          <w:b/>
          <w:spacing w:val="0"/>
          <w:rtl/>
        </w:rPr>
        <w:t xml:space="preserve"> </w:t>
      </w:r>
      <w:r w:rsidRPr="007F55B6">
        <w:rPr>
          <w:rFonts w:hint="eastAsia"/>
          <w:b/>
          <w:spacing w:val="0"/>
          <w:rtl/>
        </w:rPr>
        <w:t>לענף</w:t>
      </w:r>
      <w:r w:rsidRPr="007F55B6">
        <w:rPr>
          <w:b/>
          <w:spacing w:val="0"/>
          <w:rtl/>
        </w:rPr>
        <w:t xml:space="preserve"> </w:t>
      </w:r>
      <w:r w:rsidRPr="007F55B6">
        <w:rPr>
          <w:rFonts w:hint="eastAsia"/>
          <w:b/>
          <w:spacing w:val="0"/>
          <w:rtl/>
        </w:rPr>
        <w:t>הבינוי</w:t>
      </w:r>
      <w:r>
        <w:rPr>
          <w:rFonts w:eastAsiaTheme="minorHAnsi" w:hint="cs"/>
          <w:b/>
          <w:spacing w:val="0"/>
          <w:rtl/>
        </w:rPr>
        <w:t>,</w:t>
      </w:r>
      <w:r w:rsidRPr="007F55B6">
        <w:rPr>
          <w:b/>
          <w:spacing w:val="0"/>
          <w:rtl/>
        </w:rPr>
        <w:t xml:space="preserve"> ויבחן את השפעת </w:t>
      </w:r>
      <w:r w:rsidRPr="00AD47FF">
        <w:rPr>
          <w:rFonts w:eastAsiaTheme="minorHAnsi" w:hint="cs"/>
          <w:b/>
          <w:spacing w:val="0"/>
          <w:rtl/>
        </w:rPr>
        <w:t>צמצום</w:t>
      </w:r>
      <w:r w:rsidRPr="007F55B6">
        <w:rPr>
          <w:b/>
          <w:spacing w:val="0"/>
          <w:rtl/>
        </w:rPr>
        <w:t xml:space="preserve"> מגבלת חבויות ענף הבינוי על מחירי הנדל"ן ברמה המשקית.</w:t>
      </w:r>
    </w:p>
    <w:p w:rsidR="00E065A2" w:rsidP="00982BC1" w14:paraId="78104DBB" w14:textId="77777777">
      <w:pPr>
        <w:pStyle w:val="Heading5"/>
        <w:spacing w:line="269" w:lineRule="auto"/>
        <w:rPr>
          <w:rtl/>
        </w:rPr>
      </w:pPr>
    </w:p>
    <w:p w:rsidR="00253C38" w:rsidP="00982BC1" w14:paraId="307C73ED" w14:textId="46605100">
      <w:pPr>
        <w:pStyle w:val="Heading5"/>
        <w:spacing w:line="269" w:lineRule="auto"/>
        <w:rPr>
          <w:rtl/>
        </w:rPr>
      </w:pPr>
      <w:r w:rsidRPr="00080971">
        <w:rPr>
          <w:rFonts w:hint="cs"/>
          <w:rtl/>
        </w:rPr>
        <w:t xml:space="preserve">דגשים פיקוחיים </w:t>
      </w:r>
      <w:r>
        <w:rPr>
          <w:rFonts w:hint="cs"/>
          <w:rtl/>
        </w:rPr>
        <w:t>בעניין ה</w:t>
      </w:r>
      <w:r w:rsidRPr="00080971">
        <w:rPr>
          <w:rFonts w:hint="cs"/>
          <w:rtl/>
        </w:rPr>
        <w:t>טיפול החשבונאי בחובות והדיווח לציבור</w:t>
      </w:r>
    </w:p>
    <w:p w:rsidR="00253C38" w:rsidP="00982BC1" w14:paraId="31782384" w14:textId="267FCF5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8F73F50" w14:textId="77777777">
      <w:pPr>
        <w:spacing w:line="269" w:lineRule="auto"/>
        <w:rPr>
          <w:rtl/>
        </w:rPr>
      </w:pPr>
      <w:r>
        <w:rPr>
          <w:rFonts w:hint="cs"/>
          <w:rtl/>
        </w:rPr>
        <w:t>מידע המלמד על ירידה בסיכויי הפירעון של הלוואה ספציפית או על כך שלא תשולם מחייב תאגידים בנקאיים לפעול בהתאם להוראות הדיווח לציבור בנושא סיווג חובות בעייתיים ומחיקות חשבונאיות. על פי ההוראות, ארגון מחדש של חוב בעייתי מתקיים כאשר מסיבות כלכליות או משפטיות הקשורות לקשיים פיננסיים של החייב, התאגיד הבנקאי מוותר על חוב אשר בתנאים אחרים לא היה שוקל לפעול כן</w:t>
      </w:r>
      <w:r>
        <w:rPr>
          <w:rStyle w:val="FootnoteReference"/>
          <w:rtl/>
        </w:rPr>
        <w:footnoteReference w:id="75"/>
      </w:r>
      <w:r>
        <w:rPr>
          <w:rFonts w:hint="cs"/>
          <w:rtl/>
        </w:rPr>
        <w:t>.</w:t>
      </w:r>
    </w:p>
    <w:p w:rsidR="00253C38" w:rsidP="00982BC1" w14:paraId="7044E163" w14:textId="23132914">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1D878070" w14:textId="77777777">
      <w:pPr>
        <w:spacing w:line="269" w:lineRule="auto"/>
        <w:rPr>
          <w:rtl/>
        </w:rPr>
      </w:pPr>
      <w:r>
        <w:rPr>
          <w:rFonts w:hint="cs"/>
          <w:rtl/>
        </w:rPr>
        <w:t>במטרה לתמוך בפעילות המערכת הבנקאית, לסייע ללווים בעת המשבר ולפעול להרחבת היצע האשראי הוחלט בפיקוח על הבנקים לעדכן את הוראות סיווג ההלוואות כבעייתיות, בדומה לדגשים שפרסמו רשויות בארצות הברית ובעולם</w:t>
      </w:r>
      <w:r>
        <w:rPr>
          <w:rStyle w:val="FootnoteReference"/>
          <w:rtl/>
        </w:rPr>
        <w:footnoteReference w:id="76"/>
      </w:r>
      <w:r>
        <w:rPr>
          <w:rFonts w:hint="cs"/>
          <w:rtl/>
        </w:rPr>
        <w:t xml:space="preserve">. לפיכך עדכן הפיקוח על הבנקים </w:t>
      </w:r>
      <w:r w:rsidRPr="00EB18A1">
        <w:rPr>
          <w:rFonts w:hint="cs"/>
          <w:rtl/>
        </w:rPr>
        <w:t xml:space="preserve">ביום </w:t>
      </w:r>
      <w:r w:rsidRPr="00EB18A1">
        <w:rPr>
          <w:rtl/>
        </w:rPr>
        <w:t>21.4.20</w:t>
      </w:r>
      <w:r w:rsidRPr="00EB18A1">
        <w:rPr>
          <w:rFonts w:hint="cs"/>
          <w:rtl/>
        </w:rPr>
        <w:t xml:space="preserve"> את</w:t>
      </w:r>
      <w:r>
        <w:rPr>
          <w:rFonts w:hint="cs"/>
          <w:rtl/>
        </w:rPr>
        <w:t xml:space="preserve"> הדגשים לאופן יישום הדרישות הקיימות בהוראות הדיווח לציבור ביחס לטיפול החשבונאי</w:t>
      </w:r>
      <w:r>
        <w:rPr>
          <w:rStyle w:val="FootnoteReference"/>
          <w:rtl/>
        </w:rPr>
        <w:footnoteReference w:id="77"/>
      </w:r>
      <w:r>
        <w:rPr>
          <w:rFonts w:hint="cs"/>
          <w:rtl/>
        </w:rPr>
        <w:t xml:space="preserve">. </w:t>
      </w:r>
    </w:p>
    <w:p w:rsidR="00253C38" w:rsidP="00982BC1" w14:paraId="72570AB2" w14:textId="577945D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10424FD8" w14:textId="77777777">
      <w:pPr>
        <w:spacing w:line="269" w:lineRule="auto"/>
        <w:rPr>
          <w:rtl/>
        </w:rPr>
      </w:pPr>
      <w:r>
        <w:rPr>
          <w:rFonts w:hint="cs"/>
          <w:rtl/>
        </w:rPr>
        <w:t xml:space="preserve">בעדכון ההוראות נקבע כי אין לסווג חובות בארגון מחדש של חוב בעייתי, כאשר בשל אירועי נגיף הקורונה בוצעו בתום לב שינויים לזמן קצר בתשלומים של לווים אשר לא היו בפיגור. כמו כן נקבע כי חובות שטרם המשבר לא היו בפיגור וניתנה להם דחייה בשל אירועי נגיף הקורונה, תאגיד בנקאי אינו נדרש לסווגם </w:t>
      </w:r>
      <w:r w:rsidRPr="007610F1">
        <w:rPr>
          <w:rFonts w:hint="eastAsia"/>
          <w:rtl/>
        </w:rPr>
        <w:t>כחובות</w:t>
      </w:r>
      <w:r>
        <w:rPr>
          <w:rFonts w:hint="cs"/>
          <w:rtl/>
        </w:rPr>
        <w:t xml:space="preserve"> בפיגור בשל הדחייה. לעומת זאת, כאשר נדחו תשלומים בשל אירועי נגיף הקורונה בחובות שהיו בפיגור לפני הדחייה, יש להתאים את מצב הפיגור חזרה למצב כפי שהיה לפני שבוצעה הדחייה ולהקפיאו במשך דחיית תקופת התשלום</w:t>
      </w:r>
      <w:r>
        <w:rPr>
          <w:rStyle w:val="FootnoteReference"/>
          <w:rtl/>
        </w:rPr>
        <w:footnoteReference w:id="78"/>
      </w:r>
      <w:r>
        <w:rPr>
          <w:rFonts w:hint="cs"/>
          <w:rtl/>
        </w:rPr>
        <w:t>.</w:t>
      </w:r>
    </w:p>
    <w:p w:rsidR="00253C38" w:rsidP="00982BC1" w14:paraId="5AFDCAA3" w14:textId="68AF516D">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B932E9" w:rsidP="00982BC1" w14:paraId="5553BFC2" w14:textId="77777777">
      <w:pPr>
        <w:spacing w:line="269" w:lineRule="auto"/>
        <w:rPr>
          <w:rtl/>
        </w:rPr>
      </w:pPr>
      <w:r>
        <w:rPr>
          <w:rFonts w:hint="cs"/>
          <w:rtl/>
        </w:rPr>
        <w:t>בנסיבות הקיימות ולנוכח חשיבותו של גילוי מלא ומעודכן בדוחות לציבור של התאגידים</w:t>
      </w:r>
      <w:r w:rsidR="0047388F">
        <w:rPr>
          <w:rFonts w:hint="cs"/>
          <w:rtl/>
        </w:rPr>
        <w:t xml:space="preserve"> הבנקאיים, נקבע כי יש לתת גילוי בדבר מידע</w:t>
      </w:r>
      <w:r>
        <w:rPr>
          <w:rFonts w:hint="cs"/>
          <w:rtl/>
        </w:rPr>
        <w:t xml:space="preserve"> </w:t>
      </w:r>
      <w:r w:rsidR="0047388F">
        <w:rPr>
          <w:rFonts w:hint="cs"/>
          <w:rtl/>
        </w:rPr>
        <w:t>מהותי</w:t>
      </w:r>
      <w:r>
        <w:rPr>
          <w:rFonts w:hint="cs"/>
          <w:rtl/>
        </w:rPr>
        <w:t xml:space="preserve"> לחובות ששונו תנאיהם במסגרת ההתמודדות עם אירועי נגיף הקורונה</w:t>
      </w:r>
      <w:r w:rsidRPr="00B932E9">
        <w:rPr>
          <w:rFonts w:hint="cs"/>
          <w:rtl/>
        </w:rPr>
        <w:t xml:space="preserve">, אשר לא </w:t>
      </w:r>
      <w:r w:rsidR="0047388F">
        <w:rPr>
          <w:rFonts w:hint="cs"/>
          <w:rtl/>
        </w:rPr>
        <w:t>סווגו כארגון מחדש של חוב בעייתי. זאת בנוסף</w:t>
      </w:r>
      <w:r w:rsidRPr="00B932E9">
        <w:rPr>
          <w:rFonts w:hint="cs"/>
          <w:rtl/>
        </w:rPr>
        <w:t xml:space="preserve"> לחובות הדיווח הקיימות על הלוואות המסווגות כארגון מחדש של חוב בעייתי.</w:t>
      </w:r>
    </w:p>
    <w:p w:rsidR="00253C38" w:rsidRPr="00B932E9" w:rsidP="00982BC1" w14:paraId="08F04893" w14:textId="1C795C7F">
      <w:pPr>
        <w:pStyle w:val="a"/>
        <w:spacing w:line="269" w:lineRule="auto"/>
        <w:rPr>
          <w:rtl/>
        </w:rPr>
      </w:pPr>
      <w:r w:rsidRPr="00B932E9">
        <w:rPr>
          <w:rtl/>
        </w:rPr>
        <w:fldChar w:fldCharType="begin"/>
      </w:r>
      <w:r w:rsidRPr="00B932E9">
        <w:rPr>
          <w:rtl/>
        </w:rPr>
        <w:instrText xml:space="preserve"> </w:instrText>
      </w:r>
      <w:r w:rsidRPr="00B932E9">
        <w:instrText>AUTONUMLGL \e  \* MERGEFORMAT</w:instrText>
      </w:r>
      <w:r w:rsidRPr="00B932E9">
        <w:rPr>
          <w:rtl/>
        </w:rPr>
        <w:instrText xml:space="preserve"> </w:instrText>
      </w:r>
      <w:r w:rsidRPr="00B932E9">
        <w:rPr>
          <w:rtl/>
        </w:rPr>
        <w:fldChar w:fldCharType="end"/>
      </w:r>
    </w:p>
    <w:p w:rsidR="000F413C" w:rsidP="00982BC1" w14:paraId="051CF3BE" w14:textId="32DDB033">
      <w:pPr>
        <w:spacing w:line="269" w:lineRule="auto"/>
        <w:rPr>
          <w:b/>
          <w:bCs/>
          <w:rtl/>
        </w:rPr>
      </w:pPr>
      <w:r w:rsidRPr="00B932E9">
        <w:rPr>
          <w:rFonts w:hint="eastAsia"/>
          <w:b/>
          <w:bCs/>
          <w:rtl/>
        </w:rPr>
        <w:t>מומלץ</w:t>
      </w:r>
      <w:r w:rsidRPr="00B932E9">
        <w:rPr>
          <w:b/>
          <w:bCs/>
          <w:rtl/>
        </w:rPr>
        <w:t xml:space="preserve"> כי ה</w:t>
      </w:r>
      <w:r w:rsidRPr="00B932E9">
        <w:rPr>
          <w:rFonts w:hint="cs"/>
          <w:b/>
          <w:bCs/>
          <w:rtl/>
        </w:rPr>
        <w:t xml:space="preserve">מפקח </w:t>
      </w:r>
      <w:r w:rsidRPr="00B932E9">
        <w:rPr>
          <w:rFonts w:hint="eastAsia"/>
          <w:b/>
          <w:bCs/>
          <w:rtl/>
        </w:rPr>
        <w:t>על</w:t>
      </w:r>
      <w:r w:rsidRPr="00B932E9">
        <w:rPr>
          <w:b/>
          <w:bCs/>
          <w:rtl/>
        </w:rPr>
        <w:t xml:space="preserve"> </w:t>
      </w:r>
      <w:r w:rsidRPr="00AD47FF">
        <w:rPr>
          <w:b/>
          <w:bCs/>
          <w:rtl/>
        </w:rPr>
        <w:t>הבנקים בבנק ישראל י</w:t>
      </w:r>
      <w:r w:rsidRPr="00AD47FF">
        <w:rPr>
          <w:rFonts w:hint="cs"/>
          <w:b/>
          <w:bCs/>
          <w:rtl/>
        </w:rPr>
        <w:t>משיך לבחון את</w:t>
      </w:r>
      <w:r w:rsidRPr="00AD47FF">
        <w:rPr>
          <w:b/>
          <w:bCs/>
          <w:rtl/>
        </w:rPr>
        <w:t xml:space="preserve"> הנחיותיו</w:t>
      </w:r>
      <w:r w:rsidRPr="00B932E9">
        <w:rPr>
          <w:b/>
          <w:bCs/>
          <w:rtl/>
        </w:rPr>
        <w:t xml:space="preserve"> בנושא, </w:t>
      </w:r>
      <w:r w:rsidRPr="00B932E9">
        <w:rPr>
          <w:rFonts w:hint="cs"/>
          <w:b/>
          <w:bCs/>
          <w:rtl/>
        </w:rPr>
        <w:t xml:space="preserve">באופן עיתי, </w:t>
      </w:r>
      <w:r w:rsidRPr="00B932E9">
        <w:rPr>
          <w:rFonts w:hint="eastAsia"/>
          <w:b/>
          <w:bCs/>
          <w:rtl/>
        </w:rPr>
        <w:t>לאור</w:t>
      </w:r>
      <w:r w:rsidRPr="00B932E9">
        <w:rPr>
          <w:b/>
          <w:bCs/>
          <w:rtl/>
        </w:rPr>
        <w:t xml:space="preserve"> </w:t>
      </w:r>
      <w:r w:rsidRPr="00B932E9">
        <w:rPr>
          <w:rFonts w:hint="eastAsia"/>
          <w:b/>
          <w:bCs/>
          <w:rtl/>
        </w:rPr>
        <w:t>התמשכות</w:t>
      </w:r>
      <w:r w:rsidRPr="00B932E9">
        <w:rPr>
          <w:b/>
          <w:bCs/>
          <w:rtl/>
        </w:rPr>
        <w:t xml:space="preserve"> </w:t>
      </w:r>
      <w:r w:rsidRPr="00B932E9">
        <w:rPr>
          <w:rFonts w:hint="eastAsia"/>
          <w:b/>
          <w:bCs/>
          <w:rtl/>
        </w:rPr>
        <w:t>משבר</w:t>
      </w:r>
      <w:r w:rsidRPr="00B932E9">
        <w:rPr>
          <w:b/>
          <w:bCs/>
          <w:rtl/>
        </w:rPr>
        <w:t xml:space="preserve"> </w:t>
      </w:r>
      <w:r w:rsidRPr="00B932E9">
        <w:rPr>
          <w:rFonts w:hint="eastAsia"/>
          <w:b/>
          <w:bCs/>
          <w:rtl/>
        </w:rPr>
        <w:t>הקורונה</w:t>
      </w:r>
      <w:r w:rsidRPr="00B932E9">
        <w:rPr>
          <w:b/>
          <w:bCs/>
          <w:rtl/>
        </w:rPr>
        <w:t>.</w:t>
      </w:r>
    </w:p>
    <w:p w:rsidR="00E065A2" w:rsidP="00982BC1" w14:paraId="7DBD6A77" w14:textId="77777777">
      <w:pPr>
        <w:spacing w:line="269" w:lineRule="auto"/>
        <w:rPr>
          <w:b/>
          <w:bCs/>
          <w:rtl/>
        </w:rPr>
      </w:pPr>
    </w:p>
    <w:p w:rsidR="00E065A2" w14:paraId="2B3F7A85" w14:textId="77777777">
      <w:pPr>
        <w:bidi w:val="0"/>
        <w:spacing w:after="200" w:line="276" w:lineRule="auto"/>
        <w:rPr>
          <w:rFonts w:eastAsiaTheme="majorEastAsia"/>
          <w:bCs/>
          <w:szCs w:val="28"/>
          <w:u w:val="single"/>
          <w:rtl/>
        </w:rPr>
      </w:pPr>
      <w:r>
        <w:rPr>
          <w:rtl/>
        </w:rPr>
        <w:br w:type="page"/>
      </w:r>
    </w:p>
    <w:p w:rsidR="000F413C" w:rsidP="00982BC1" w14:paraId="42BF6650" w14:textId="7730EEA0">
      <w:pPr>
        <w:pStyle w:val="Heading3"/>
        <w:bidi w:val="0"/>
        <w:spacing w:before="0" w:line="269" w:lineRule="auto"/>
        <w:jc w:val="right"/>
      </w:pPr>
      <w:r>
        <w:rPr>
          <w:rFonts w:hint="cs"/>
          <w:rtl/>
        </w:rPr>
        <w:t>יציבות השווקים והגופים הפיננסיים במהלך המשבר</w:t>
      </w:r>
    </w:p>
    <w:p w:rsidR="000F413C" w:rsidP="00982BC1" w14:paraId="43C4DDEF" w14:textId="05C4A8C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P="00982BC1" w14:paraId="7282EF9D" w14:textId="77777777">
      <w:pPr>
        <w:spacing w:line="269" w:lineRule="auto"/>
        <w:rPr>
          <w:rtl/>
        </w:rPr>
      </w:pPr>
      <w:r>
        <w:rPr>
          <w:rFonts w:hint="cs"/>
          <w:rtl/>
        </w:rPr>
        <w:t>התרחבות המשבר הבריאותי מחוץ לסין הובילה לבהלה בשווקים הפיננסיים שהתבטאה בירידות שערים חדות החל בסוף חודש פברואר 2020 שערערו את היציבות הכלכלית במשק. בהלה זו השתקפה, בין היתר, בהצהרות ראשי הרגולטורים הפיננסיים בבנק ישראל וברשות ני"ע בדבר חששותיהם משיתוק המערכת הפיננסית במהלך חודש מרץ.</w:t>
      </w:r>
    </w:p>
    <w:p w:rsidR="000F413C" w:rsidP="00982BC1" w14:paraId="242F596A" w14:textId="46718AB4">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47860941" w14:textId="77777777">
      <w:pPr>
        <w:spacing w:line="269" w:lineRule="auto"/>
        <w:rPr>
          <w:rtl/>
        </w:rPr>
      </w:pPr>
      <w:r>
        <w:rPr>
          <w:rFonts w:hint="cs"/>
          <w:rtl/>
        </w:rPr>
        <w:t>נפילות שערים חדות התבטאו, בין היתר, בירידה בשווי קרנות הנאמנות</w:t>
      </w:r>
      <w:r>
        <w:rPr>
          <w:rStyle w:val="FootnoteReference"/>
          <w:rtl/>
        </w:rPr>
        <w:footnoteReference w:id="79"/>
      </w:r>
      <w:r>
        <w:rPr>
          <w:rFonts w:hint="cs"/>
          <w:rtl/>
        </w:rPr>
        <w:t>, בעקבות פיחות שווי הנכסים המנוהלים, ובפידיונות בהיקפים חסרי תקדים</w:t>
      </w:r>
      <w:r>
        <w:rPr>
          <w:rStyle w:val="FootnoteReference"/>
          <w:rtl/>
        </w:rPr>
        <w:footnoteReference w:id="80"/>
      </w:r>
      <w:r>
        <w:rPr>
          <w:rFonts w:hint="cs"/>
          <w:rtl/>
        </w:rPr>
        <w:t xml:space="preserve"> שאירעו במהלך חודש מרץ, לנוכח בהלת ציבור המשקיעים ורצונם לנתב את השקעותיהם לאפיקים בטוחים יותר. על פי נתוני רשות ני"ע במהלך חודש זה נפדו כ-42 מיליארד ש"ח מקרנות הנאמנות, ויתרות הקרנות ירדו בשיעור של כ-30%, מכ-357 מיליארד ש"ח, ערב המשבר, לכדי 255 מיליארד ש"ח בנקודת השפל</w:t>
      </w:r>
      <w:r>
        <w:rPr>
          <w:rStyle w:val="FootnoteReference"/>
          <w:rtl/>
        </w:rPr>
        <w:footnoteReference w:id="81"/>
      </w:r>
      <w:r>
        <w:rPr>
          <w:rFonts w:hint="cs"/>
          <w:rtl/>
        </w:rPr>
        <w:t>. תרשים 39 להלן מתאר את היקף הפידיונות הגבוה מתחילת המשבר בחלוקה לסוגי קרנות הנאמנות.</w:t>
      </w:r>
    </w:p>
    <w:p w:rsidR="000F413C" w:rsidP="00982BC1" w14:paraId="7C1DE2F8" w14:textId="3454B425">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0F413C" w:rsidP="00982BC1" w14:paraId="21993490" w14:textId="2CCE00C9">
      <w:pPr>
        <w:spacing w:line="269" w:lineRule="auto"/>
        <w:jc w:val="center"/>
        <w:rPr>
          <w:b/>
          <w:bCs/>
          <w:rtl/>
        </w:rPr>
      </w:pPr>
      <w:r w:rsidRPr="000F413C">
        <w:rPr>
          <w:rFonts w:hint="eastAsia"/>
          <w:b/>
          <w:bCs/>
          <w:rtl/>
        </w:rPr>
        <w:t>תרשים</w:t>
      </w:r>
      <w:r w:rsidRPr="000F413C">
        <w:rPr>
          <w:b/>
          <w:bCs/>
          <w:rtl/>
        </w:rPr>
        <w:t xml:space="preserve"> </w:t>
      </w:r>
      <w:r>
        <w:rPr>
          <w:rFonts w:hint="cs"/>
          <w:b/>
          <w:bCs/>
          <w:rtl/>
        </w:rPr>
        <w:t>39</w:t>
      </w:r>
      <w:r w:rsidRPr="000F413C">
        <w:rPr>
          <w:b/>
          <w:bCs/>
          <w:rtl/>
        </w:rPr>
        <w:t xml:space="preserve">: </w:t>
      </w:r>
      <w:r w:rsidRPr="000F413C">
        <w:rPr>
          <w:rFonts w:hint="eastAsia"/>
          <w:b/>
          <w:bCs/>
          <w:rtl/>
        </w:rPr>
        <w:t>יצירות</w:t>
      </w:r>
      <w:r w:rsidRPr="000F413C">
        <w:rPr>
          <w:b/>
          <w:bCs/>
          <w:rtl/>
        </w:rPr>
        <w:t xml:space="preserve"> </w:t>
      </w:r>
      <w:r w:rsidRPr="00B64AE4">
        <w:rPr>
          <w:rFonts w:hint="cs"/>
          <w:b/>
          <w:bCs/>
          <w:rtl/>
        </w:rPr>
        <w:t>ופ</w:t>
      </w:r>
      <w:r>
        <w:rPr>
          <w:rFonts w:hint="cs"/>
          <w:b/>
          <w:bCs/>
          <w:rtl/>
        </w:rPr>
        <w:t>י</w:t>
      </w:r>
      <w:r w:rsidRPr="00B64AE4">
        <w:rPr>
          <w:rFonts w:hint="cs"/>
          <w:b/>
          <w:bCs/>
          <w:rtl/>
        </w:rPr>
        <w:t>דיונות</w:t>
      </w:r>
      <w:r w:rsidRPr="000F413C">
        <w:rPr>
          <w:b/>
          <w:bCs/>
          <w:rtl/>
        </w:rPr>
        <w:t xml:space="preserve"> נטו מצטברים בחלוקה לסוגי קרנות, </w:t>
      </w:r>
      <w:r>
        <w:rPr>
          <w:rFonts w:hint="cs"/>
          <w:b/>
          <w:bCs/>
          <w:rtl/>
        </w:rPr>
        <w:t>פברואר - מאי 2020</w:t>
      </w:r>
      <w:r w:rsidRPr="00B64AE4">
        <w:rPr>
          <w:rFonts w:hint="cs"/>
          <w:b/>
          <w:bCs/>
          <w:rtl/>
        </w:rPr>
        <w:t xml:space="preserve"> </w:t>
      </w:r>
      <w:r>
        <w:rPr>
          <w:rFonts w:hint="cs"/>
          <w:b/>
          <w:bCs/>
          <w:rtl/>
        </w:rPr>
        <w:t>(</w:t>
      </w:r>
      <w:r w:rsidRPr="000F413C">
        <w:rPr>
          <w:rFonts w:hint="eastAsia"/>
          <w:b/>
          <w:bCs/>
          <w:rtl/>
        </w:rPr>
        <w:t>במיליארדי</w:t>
      </w:r>
      <w:r w:rsidRPr="000F413C">
        <w:rPr>
          <w:b/>
          <w:bCs/>
          <w:rtl/>
        </w:rPr>
        <w:t xml:space="preserve"> </w:t>
      </w:r>
      <w:r w:rsidRPr="000F413C">
        <w:rPr>
          <w:rFonts w:hint="eastAsia"/>
          <w:b/>
          <w:bCs/>
          <w:rtl/>
        </w:rPr>
        <w:t>ש</w:t>
      </w:r>
      <w:r w:rsidRPr="000F413C">
        <w:rPr>
          <w:b/>
          <w:bCs/>
          <w:rtl/>
        </w:rPr>
        <w:t>"ח</w:t>
      </w:r>
      <w:r>
        <w:rPr>
          <w:rFonts w:hint="cs"/>
          <w:b/>
          <w:bCs/>
          <w:rtl/>
        </w:rPr>
        <w:t>)</w:t>
      </w:r>
    </w:p>
    <w:p w:rsidR="000F413C" w:rsidP="00982BC1" w14:paraId="0D824485" w14:textId="77777777">
      <w:pPr>
        <w:spacing w:line="269" w:lineRule="auto"/>
        <w:ind w:left="-425"/>
        <w:jc w:val="center"/>
        <w:rPr>
          <w:rtl/>
        </w:rPr>
      </w:pPr>
      <w:r>
        <w:rPr>
          <w:noProof/>
        </w:rPr>
        <w:drawing>
          <wp:inline distT="0" distB="0" distL="0" distR="0">
            <wp:extent cx="5252988" cy="3735490"/>
            <wp:effectExtent l="0" t="0" r="5080" b="0"/>
            <wp:docPr id="503410407" name="תמונה 5034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46370" name="תמונה 19"/>
                    <pic:cNvPicPr>
                      <a:picLocks noChangeAspect="1" noChangeArrowheads="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5929" cy="3751804"/>
                    </a:xfrm>
                    <a:prstGeom prst="rect">
                      <a:avLst/>
                    </a:prstGeom>
                    <a:noFill/>
                    <a:ln>
                      <a:noFill/>
                    </a:ln>
                  </pic:spPr>
                </pic:pic>
              </a:graphicData>
            </a:graphic>
          </wp:inline>
        </w:drawing>
      </w:r>
    </w:p>
    <w:p w:rsidR="000F413C" w:rsidRPr="00E065A2" w:rsidP="00982BC1" w14:paraId="598B4B60" w14:textId="77777777">
      <w:pPr>
        <w:spacing w:line="269" w:lineRule="auto"/>
        <w:rPr>
          <w:sz w:val="18"/>
          <w:szCs w:val="22"/>
          <w:rtl/>
        </w:rPr>
      </w:pPr>
      <w:r w:rsidRPr="00E065A2">
        <w:rPr>
          <w:rFonts w:hint="cs"/>
          <w:sz w:val="18"/>
          <w:szCs w:val="22"/>
          <w:rtl/>
        </w:rPr>
        <w:t>המקור: רשות ני"ע.</w:t>
      </w:r>
    </w:p>
    <w:p w:rsidR="000F413C" w:rsidP="00982BC1" w14:paraId="4FD79065" w14:textId="14C2E3CF">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1BCB4976" w14:textId="77777777">
      <w:pPr>
        <w:spacing w:line="269" w:lineRule="auto"/>
        <w:rPr>
          <w:rtl/>
        </w:rPr>
      </w:pPr>
      <w:r>
        <w:rPr>
          <w:rFonts w:hint="cs"/>
          <w:rtl/>
        </w:rPr>
        <w:t xml:space="preserve">פידיונות בהיקפים גדולים בצד קרנות הנאמנות הובילו למצוקת נזילות שקלית. לפיכך החלו מנהלי הקרנות במכירה מהירה ורחבה לציבור של אג"ח ממשלתיות, המאופיינות בנזילותן הגבוהה, כדי להצטייד במזומנים ולגשר על הביקוש הגובר לפידיון הקרנות. בד בבד הובילו הירידות החדות בשווקים הפיננסיים לדרישה לחיזוק הביטחונות בעד נכסים שרכשו הגופים המוסדיים מסוכני </w:t>
      </w:r>
      <w:r>
        <w:rPr>
          <w:rFonts w:hint="cs"/>
          <w:rtl/>
        </w:rPr>
        <w:t>הבורסות בחו"ל באמצעות הלוואות (</w:t>
      </w:r>
      <w:r>
        <w:t>Margin Call</w:t>
      </w:r>
      <w:r>
        <w:rPr>
          <w:rFonts w:hint="cs"/>
          <w:rtl/>
        </w:rPr>
        <w:t>)</w:t>
      </w:r>
      <w:r>
        <w:rPr>
          <w:rStyle w:val="FootnoteReference"/>
          <w:rtl/>
        </w:rPr>
        <w:footnoteReference w:id="82"/>
      </w:r>
      <w:r>
        <w:rPr>
          <w:rFonts w:hint="cs"/>
          <w:rtl/>
        </w:rPr>
        <w:t>, ויצרו מצוקת נזילות דולרית. על רקע זה החלו גם הגופים המוסדיים לממש את החזקתם באג"ח ממשלתיות, והעצימו את היקף מכירתן במקום לספוג את ההיצע שנוצר בשל מכירתן המואצת בקרנות הנאמנות</w:t>
      </w:r>
      <w:r>
        <w:rPr>
          <w:rStyle w:val="FootnoteReference"/>
          <w:rtl/>
        </w:rPr>
        <w:footnoteReference w:id="83"/>
      </w:r>
      <w:r>
        <w:rPr>
          <w:rFonts w:hint="cs"/>
          <w:rtl/>
        </w:rPr>
        <w:t>.</w:t>
      </w:r>
    </w:p>
    <w:p w:rsidR="000F413C" w:rsidP="00982BC1" w14:paraId="60CDF461" w14:textId="277089FA">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0F413C" w:rsidP="00982BC1" w14:paraId="58251623" w14:textId="77777777">
      <w:pPr>
        <w:spacing w:line="269" w:lineRule="auto"/>
        <w:rPr>
          <w:rtl/>
        </w:rPr>
      </w:pPr>
      <w:r>
        <w:rPr>
          <w:rFonts w:hint="cs"/>
          <w:rtl/>
        </w:rPr>
        <w:t>מצוקת הנזילות הדולרית התפתחה באותה עת גם בשווקים רבים בעולם ומנעה מהגופים המוסדיים לקבל מענה בשוק ההחלף</w:t>
      </w:r>
      <w:r>
        <w:rPr>
          <w:rStyle w:val="FootnoteReference"/>
          <w:rtl/>
        </w:rPr>
        <w:footnoteReference w:id="84"/>
      </w:r>
      <w:r>
        <w:rPr>
          <w:rFonts w:hint="cs"/>
          <w:rtl/>
        </w:rPr>
        <w:t>. משכך, פנו לשוק הספוט</w:t>
      </w:r>
      <w:r>
        <w:rPr>
          <w:rStyle w:val="FootnoteReference"/>
          <w:rtl/>
        </w:rPr>
        <w:footnoteReference w:id="85"/>
      </w:r>
      <w:r>
        <w:rPr>
          <w:rFonts w:hint="cs"/>
          <w:rtl/>
        </w:rPr>
        <w:t>, המירו לדולר את השקלים שקיבלו בעד אג"ח ממשלתיות שמימשו, והובילו לפיחות מזורז בערכו של המטבע המקומי, בדומה למדינות אחרות, ובניגוד למגמת הייסוף בערכו של השקל ביחס לדולר בשנים האחרונות. כשל בשווקים מוביל להתרחקות ממחירם הכלכלי של הנכסים ועלול להוביל לבועות, ובעקבותיהן למשברים ולאי-יציבות המונעת מימוש עסקאות</w:t>
      </w:r>
      <w:r>
        <w:rPr>
          <w:rStyle w:val="FootnoteReference"/>
          <w:rtl/>
        </w:rPr>
        <w:footnoteReference w:id="86"/>
      </w:r>
      <w:r>
        <w:rPr>
          <w:rFonts w:hint="cs"/>
          <w:rtl/>
        </w:rPr>
        <w:t>. הכשלים שהתהוו בשוק האג"ח ובשוק המט"ח התבטאו, בין היתר, בפגיעה</w:t>
      </w:r>
      <w:r>
        <w:rPr>
          <w:rFonts w:hint="cs"/>
        </w:rPr>
        <w:t xml:space="preserve"> </w:t>
      </w:r>
      <w:r>
        <w:rPr>
          <w:rFonts w:hint="cs"/>
          <w:rtl/>
        </w:rPr>
        <w:t>בחוסכים, לנוכח ירידת מחיר אג"ח, וכן ביצואנים מאחר שאי-אפשר היה לקבע את שער החליפין כנגד עסקאות המרה עתידיות בתנאים טובים. הגידול בהיצע אג"ח ממשלתיות, שהתבטא בעלייה בתשואותיהן, הוביל לצד אי-הוודאות והעלייה בפרמיית הסיכון הכוללת בשוק, לגידול ניכר בעלויות המימון של גירעון הממשלה, לעלייה חדה בתשואות אג"ח קונצרניות, ובהן אג"ח בנקאיות, ולגידול בעלויות המימון למגזר העסקי ושל האשראי הבנקאי.</w:t>
      </w:r>
    </w:p>
    <w:p w:rsidR="000F413C" w:rsidP="00982BC1" w14:paraId="21CF21F2" w14:textId="4A4117A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P="00982BC1" w14:paraId="2256039A" w14:textId="513C7E5B">
      <w:pPr>
        <w:spacing w:line="269" w:lineRule="auto"/>
        <w:rPr>
          <w:rtl/>
        </w:rPr>
      </w:pPr>
      <w:r w:rsidRPr="000F413C">
        <w:rPr>
          <w:rStyle w:val="7"/>
          <w:rFonts w:hint="eastAsia"/>
          <w:rtl/>
        </w:rPr>
        <w:t>בנק</w:t>
      </w:r>
      <w:r w:rsidRPr="000F413C">
        <w:rPr>
          <w:rStyle w:val="7"/>
          <w:rtl/>
        </w:rPr>
        <w:t xml:space="preserve"> </w:t>
      </w:r>
      <w:r w:rsidRPr="000F413C">
        <w:rPr>
          <w:rStyle w:val="7"/>
          <w:rFonts w:hint="eastAsia"/>
          <w:rtl/>
        </w:rPr>
        <w:t>ישראל</w:t>
      </w:r>
      <w:r w:rsidRPr="000F413C">
        <w:rPr>
          <w:rStyle w:val="7"/>
          <w:rtl/>
        </w:rPr>
        <w:t>:</w:t>
      </w:r>
      <w:r>
        <w:rPr>
          <w:rFonts w:hint="cs"/>
          <w:rtl/>
        </w:rPr>
        <w:t xml:space="preserve"> ביום </w:t>
      </w:r>
      <w:r w:rsidRPr="00EB18A1">
        <w:rPr>
          <w:rtl/>
        </w:rPr>
        <w:t>15.3.20</w:t>
      </w:r>
      <w:r w:rsidRPr="00EB18A1">
        <w:rPr>
          <w:rFonts w:hint="cs"/>
          <w:rtl/>
        </w:rPr>
        <w:t>, כשבוע לאחר הפיחות החד בערך השקל, החליטה הוועדה המוניטרית בבנק ישראל להתערב בשווקים כדי להשיבם לפעילות תקינה. במסגרת זו הוחלט על רכישת אג"ח ממשלתיות בשוק המשני ועל ביצוע עסקאות ריפו (</w:t>
      </w:r>
      <w:r w:rsidRPr="00EB18A1">
        <w:t xml:space="preserve">Repurchase </w:t>
      </w:r>
      <w:r w:rsidRPr="00EB18A1">
        <w:rPr>
          <w:rFonts w:hint="cs"/>
        </w:rPr>
        <w:t>A</w:t>
      </w:r>
      <w:r w:rsidRPr="00EB18A1">
        <w:t>greement</w:t>
      </w:r>
      <w:r w:rsidRPr="00EB18A1">
        <w:rPr>
          <w:rFonts w:hint="cs"/>
          <w:rtl/>
        </w:rPr>
        <w:t>)</w:t>
      </w:r>
      <w:r>
        <w:rPr>
          <w:rStyle w:val="FootnoteReference"/>
          <w:rtl/>
        </w:rPr>
        <w:footnoteReference w:id="87"/>
      </w:r>
      <w:r w:rsidRPr="00EB18A1">
        <w:rPr>
          <w:rFonts w:hint="cs"/>
          <w:rtl/>
        </w:rPr>
        <w:t xml:space="preserve"> עם גופים מוסדיים וקרנות נאמנות כדי לספק נזילות למשק וכדי לוודא ששוק האג"ח הממשלתי מתפקד כיאות</w:t>
      </w:r>
      <w:r>
        <w:rPr>
          <w:rStyle w:val="FootnoteReference"/>
          <w:rtl/>
        </w:rPr>
        <w:footnoteReference w:id="88"/>
      </w:r>
      <w:r w:rsidRPr="00EB18A1">
        <w:rPr>
          <w:rFonts w:hint="cs"/>
          <w:rtl/>
        </w:rPr>
        <w:t xml:space="preserve">. ביום </w:t>
      </w:r>
      <w:r w:rsidRPr="00EB18A1">
        <w:rPr>
          <w:rtl/>
        </w:rPr>
        <w:t>16.3.20</w:t>
      </w:r>
      <w:r w:rsidRPr="00EB18A1">
        <w:rPr>
          <w:rFonts w:hint="cs"/>
          <w:rtl/>
        </w:rPr>
        <w:t xml:space="preserve"> הודיע בנק ישראל</w:t>
      </w:r>
      <w:r w:rsidRPr="00EB18A1">
        <w:rPr>
          <w:rFonts w:hint="cs"/>
        </w:rPr>
        <w:t xml:space="preserve"> </w:t>
      </w:r>
      <w:r w:rsidRPr="00EB18A1">
        <w:rPr>
          <w:rFonts w:hint="cs"/>
          <w:rtl/>
        </w:rPr>
        <w:t>על הפעלת כלי נוסף להבטחת הנזילות בשווקים הפיננסיים באמצעות קשירת עסקאות החלף (</w:t>
      </w:r>
      <w:r w:rsidRPr="00EB18A1">
        <w:t>Swap</w:t>
      </w:r>
      <w:r w:rsidRPr="00EB18A1">
        <w:rPr>
          <w:rFonts w:hint="cs"/>
          <w:rtl/>
        </w:rPr>
        <w:t>)</w:t>
      </w:r>
      <w:r>
        <w:rPr>
          <w:rStyle w:val="FootnoteReference"/>
          <w:rtl/>
        </w:rPr>
        <w:footnoteReference w:id="89"/>
      </w:r>
      <w:r w:rsidRPr="00EB18A1">
        <w:rPr>
          <w:rFonts w:hint="cs"/>
          <w:rtl/>
        </w:rPr>
        <w:t xml:space="preserve"> דולר/שקל עם פירעון לשבוע מול הבנקים המקומיים. שימוש בכלי זה הורחב ביום </w:t>
      </w:r>
      <w:r w:rsidRPr="00EB18A1">
        <w:rPr>
          <w:rtl/>
        </w:rPr>
        <w:t>18.3.20</w:t>
      </w:r>
      <w:r w:rsidRPr="00EB18A1">
        <w:rPr>
          <w:rFonts w:hint="cs"/>
          <w:rtl/>
        </w:rPr>
        <w:t xml:space="preserve"> עם הודעת בנק ישראל להקצאת 15 מיליארד דולר לביצוע עסקאות החלף ולטווחים של למעלה משבוע. במטרה להקל את תנאי האשראי במשק ולתמוך בפעילות הכלכלית וביציבות הפיננסית, החליטה הוועדה המוניטרית ביום </w:t>
      </w:r>
      <w:r w:rsidRPr="00EB18A1">
        <w:rPr>
          <w:rtl/>
        </w:rPr>
        <w:t>23.3.20</w:t>
      </w:r>
      <w:r w:rsidRPr="00EB18A1">
        <w:rPr>
          <w:rFonts w:hint="cs"/>
          <w:rtl/>
        </w:rPr>
        <w:t xml:space="preserve"> להשיק</w:t>
      </w:r>
      <w:r>
        <w:rPr>
          <w:rFonts w:hint="cs"/>
          <w:rtl/>
        </w:rPr>
        <w:t xml:space="preserve"> תוכנית לרכישת אג"ח ממשלתי בשוק המשני בהיקף של 50 מיליארד </w:t>
      </w:r>
      <w:r w:rsidRPr="00441DDF">
        <w:rPr>
          <w:rFonts w:hint="cs"/>
          <w:rtl/>
        </w:rPr>
        <w:t>ש"ח</w:t>
      </w:r>
      <w:r>
        <w:rPr>
          <w:rFonts w:hint="cs"/>
          <w:rtl/>
        </w:rPr>
        <w:t>. ההודעה פורסמה סמוך להודעת הבנק המרכזי בארצות הברית על תוכנית רכישה מקיפה של אג"ח ממשלתיות. תרשימים 40 - 42</w:t>
      </w:r>
      <w:r w:rsidR="005537CA">
        <w:rPr>
          <w:rtl/>
        </w:rPr>
        <w:t xml:space="preserve"> </w:t>
      </w:r>
      <w:r>
        <w:rPr>
          <w:rFonts w:hint="cs"/>
          <w:rtl/>
        </w:rPr>
        <w:t xml:space="preserve">להלן מציגים את התנודתיות בשווקים הפיננסיים במהלך תקופת המשבר. </w:t>
      </w:r>
    </w:p>
    <w:p w:rsidR="00E065A2" w14:paraId="3E70EDAB" w14:textId="77777777">
      <w:pPr>
        <w:bidi w:val="0"/>
        <w:spacing w:after="200" w:line="276" w:lineRule="auto"/>
        <w:rPr>
          <w:szCs w:val="20"/>
          <w:rtl/>
        </w:rPr>
      </w:pPr>
      <w:r>
        <w:rPr>
          <w:rtl/>
        </w:rPr>
        <w:br w:type="page"/>
      </w:r>
    </w:p>
    <w:p w:rsidR="000F413C" w:rsidP="00982BC1" w14:paraId="58D4F7BF" w14:textId="604B2901">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0F413C" w:rsidP="00982BC1" w14:paraId="7D313B31" w14:textId="77777777">
      <w:pPr>
        <w:spacing w:line="269" w:lineRule="auto"/>
        <w:jc w:val="center"/>
        <w:rPr>
          <w:u w:val="single"/>
          <w:rtl/>
        </w:rPr>
      </w:pPr>
      <w:r w:rsidRPr="000F413C">
        <w:rPr>
          <w:rFonts w:hint="eastAsia"/>
          <w:b/>
          <w:bCs/>
          <w:rtl/>
        </w:rPr>
        <w:t>תרשים</w:t>
      </w:r>
      <w:r w:rsidRPr="000F413C">
        <w:rPr>
          <w:b/>
          <w:bCs/>
          <w:rtl/>
        </w:rPr>
        <w:t xml:space="preserve"> </w:t>
      </w:r>
      <w:r>
        <w:rPr>
          <w:rFonts w:hint="cs"/>
          <w:b/>
          <w:bCs/>
          <w:rtl/>
        </w:rPr>
        <w:t>40</w:t>
      </w:r>
      <w:r w:rsidRPr="000F413C">
        <w:rPr>
          <w:b/>
          <w:bCs/>
          <w:rtl/>
        </w:rPr>
        <w:t xml:space="preserve">: שוק </w:t>
      </w:r>
      <w:r w:rsidRPr="000F413C">
        <w:rPr>
          <w:rFonts w:hint="eastAsia"/>
          <w:b/>
          <w:bCs/>
          <w:rtl/>
        </w:rPr>
        <w:t>האג</w:t>
      </w:r>
      <w:r w:rsidRPr="000F413C">
        <w:rPr>
          <w:b/>
          <w:bCs/>
          <w:rtl/>
        </w:rPr>
        <w:t>"ח</w:t>
      </w:r>
      <w:r w:rsidRPr="00B64AE4">
        <w:rPr>
          <w:rFonts w:hint="cs"/>
          <w:b/>
          <w:bCs/>
          <w:rtl/>
        </w:rPr>
        <w:t>:</w:t>
      </w:r>
      <w:r w:rsidRPr="000F413C">
        <w:rPr>
          <w:b/>
          <w:bCs/>
          <w:rtl/>
        </w:rPr>
        <w:t xml:space="preserve"> תשואות אג"ח ממשלתי ואג"ח </w:t>
      </w:r>
      <w:r w:rsidRPr="000F413C">
        <w:rPr>
          <w:rFonts w:hint="eastAsia"/>
          <w:b/>
          <w:bCs/>
          <w:rtl/>
        </w:rPr>
        <w:t>קונצרני</w:t>
      </w:r>
      <w:r w:rsidRPr="000F413C">
        <w:rPr>
          <w:b/>
          <w:bCs/>
          <w:rtl/>
        </w:rPr>
        <w:t xml:space="preserve"> בחלוקה לענפי</w:t>
      </w:r>
      <w:r w:rsidRPr="000F413C">
        <w:rPr>
          <w:rFonts w:hint="eastAsia"/>
          <w:b/>
          <w:bCs/>
          <w:rtl/>
        </w:rPr>
        <w:t>ם</w:t>
      </w:r>
      <w:r>
        <w:rPr>
          <w:rFonts w:hint="cs"/>
          <w:b/>
          <w:bCs/>
          <w:rtl/>
        </w:rPr>
        <w:t xml:space="preserve"> (באחוזים)</w:t>
      </w:r>
    </w:p>
    <w:p w:rsidR="000F413C" w:rsidP="00982BC1" w14:paraId="64B8BAB7" w14:textId="77777777">
      <w:pPr>
        <w:spacing w:line="269" w:lineRule="auto"/>
        <w:jc w:val="center"/>
        <w:rPr>
          <w:rtl/>
        </w:rPr>
      </w:pPr>
    </w:p>
    <w:p w:rsidR="000F413C" w:rsidP="00982BC1" w14:paraId="1DDFD852" w14:textId="77777777">
      <w:pPr>
        <w:spacing w:line="269" w:lineRule="auto"/>
        <w:ind w:left="-1701"/>
        <w:jc w:val="center"/>
        <w:rPr>
          <w:rtl/>
        </w:rPr>
      </w:pPr>
      <w:r>
        <w:rPr>
          <w:noProof/>
        </w:rPr>
        <w:drawing>
          <wp:inline distT="0" distB="0" distL="0" distR="0">
            <wp:extent cx="7443211" cy="3322242"/>
            <wp:effectExtent l="0" t="0" r="5715" b="0"/>
            <wp:docPr id="503410408" name="תמונה 50341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83198"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7472377" cy="3335260"/>
                    </a:xfrm>
                    <a:prstGeom prst="rect">
                      <a:avLst/>
                    </a:prstGeom>
                    <a:noFill/>
                    <a:ln>
                      <a:noFill/>
                    </a:ln>
                  </pic:spPr>
                </pic:pic>
              </a:graphicData>
            </a:graphic>
          </wp:inline>
        </w:drawing>
      </w:r>
    </w:p>
    <w:p w:rsidR="000F413C" w:rsidRPr="00E065A2" w:rsidP="00982BC1" w14:paraId="2F7A9376" w14:textId="77777777">
      <w:pPr>
        <w:spacing w:line="269" w:lineRule="auto"/>
        <w:rPr>
          <w:sz w:val="22"/>
          <w:szCs w:val="28"/>
          <w:rtl/>
        </w:rPr>
      </w:pPr>
      <w:r w:rsidRPr="00E065A2">
        <w:rPr>
          <w:rFonts w:hint="cs"/>
          <w:sz w:val="18"/>
          <w:szCs w:val="22"/>
          <w:rtl/>
        </w:rPr>
        <w:t>המקור: בנק ישראל.</w:t>
      </w:r>
    </w:p>
    <w:p w:rsidR="000F413C" w:rsidP="00982BC1" w14:paraId="0C77EF43" w14:textId="28924C25">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0F413C" w:rsidP="00982BC1" w14:paraId="70228533" w14:textId="77777777">
      <w:pPr>
        <w:spacing w:line="269" w:lineRule="auto"/>
        <w:rPr>
          <w:rtl/>
        </w:rPr>
      </w:pPr>
      <w:r>
        <w:rPr>
          <w:rFonts w:hint="cs"/>
          <w:rtl/>
        </w:rPr>
        <w:t xml:space="preserve">מתרשים 40 עולה כי הודעת בנק ישראל על רכישת אג"ח ממשלתיות הובילה לירידה בתשואות אג"ח שקליות בענפי הפעילות השונים. עם זאת, ההשפעה על תשואות האג"ח הממשלתיות אירעה רק </w:t>
      </w:r>
      <w:r w:rsidRPr="002214FB">
        <w:rPr>
          <w:rFonts w:hint="cs"/>
          <w:rtl/>
        </w:rPr>
        <w:t xml:space="preserve">לאחר מועד ההכרזה על </w:t>
      </w:r>
      <w:r>
        <w:rPr>
          <w:rFonts w:hint="cs"/>
          <w:rtl/>
        </w:rPr>
        <w:t>תוכניות</w:t>
      </w:r>
      <w:r w:rsidRPr="002214FB">
        <w:rPr>
          <w:rFonts w:hint="cs"/>
          <w:rtl/>
        </w:rPr>
        <w:t xml:space="preserve"> הרכישה הגדולות של אג"ח ממשלתיות בבנקים המרכזיים בישראל </w:t>
      </w:r>
      <w:r w:rsidRPr="002214FB">
        <w:rPr>
          <w:rFonts w:hint="eastAsia"/>
          <w:rtl/>
        </w:rPr>
        <w:t>ובא</w:t>
      </w:r>
      <w:r>
        <w:rPr>
          <w:rFonts w:hint="cs"/>
          <w:rtl/>
        </w:rPr>
        <w:t>רצות הברית</w:t>
      </w:r>
      <w:r w:rsidRPr="002214FB">
        <w:rPr>
          <w:rFonts w:hint="cs"/>
          <w:rtl/>
        </w:rPr>
        <w:t>.</w:t>
      </w:r>
    </w:p>
    <w:p w:rsidR="000F413C" w:rsidP="00982BC1" w14:paraId="775CE7A4" w14:textId="16181EAA">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0F413C" w:rsidRPr="000F413C" w:rsidP="00982BC1" w14:paraId="422F70FE" w14:textId="77777777">
      <w:pPr>
        <w:spacing w:line="269" w:lineRule="auto"/>
        <w:jc w:val="center"/>
        <w:rPr>
          <w:b/>
          <w:bCs/>
          <w:u w:val="single"/>
          <w:rtl/>
        </w:rPr>
      </w:pPr>
      <w:r w:rsidRPr="000F413C">
        <w:rPr>
          <w:rFonts w:hint="eastAsia"/>
          <w:b/>
          <w:bCs/>
          <w:rtl/>
        </w:rPr>
        <w:t>תרשים</w:t>
      </w:r>
      <w:r w:rsidRPr="000F413C">
        <w:rPr>
          <w:b/>
          <w:bCs/>
          <w:rtl/>
        </w:rPr>
        <w:t xml:space="preserve"> </w:t>
      </w:r>
      <w:r w:rsidRPr="00194919">
        <w:rPr>
          <w:rFonts w:hint="cs"/>
          <w:b/>
          <w:bCs/>
          <w:rtl/>
        </w:rPr>
        <w:t>41</w:t>
      </w:r>
      <w:r w:rsidRPr="000F413C">
        <w:rPr>
          <w:b/>
          <w:bCs/>
          <w:rtl/>
        </w:rPr>
        <w:t xml:space="preserve">: שוק </w:t>
      </w:r>
      <w:r w:rsidRPr="000F413C">
        <w:rPr>
          <w:rFonts w:hint="eastAsia"/>
          <w:b/>
          <w:bCs/>
          <w:rtl/>
        </w:rPr>
        <w:t>המט</w:t>
      </w:r>
      <w:r w:rsidRPr="000F413C">
        <w:rPr>
          <w:b/>
          <w:bCs/>
          <w:rtl/>
        </w:rPr>
        <w:t>"ח</w:t>
      </w:r>
      <w:r w:rsidRPr="00194919">
        <w:rPr>
          <w:rFonts w:hint="cs"/>
          <w:b/>
          <w:bCs/>
          <w:rtl/>
        </w:rPr>
        <w:t>:</w:t>
      </w:r>
      <w:r w:rsidRPr="000F413C">
        <w:rPr>
          <w:b/>
          <w:bCs/>
          <w:rtl/>
        </w:rPr>
        <w:t xml:space="preserve"> הריבית הגלומה בעסקת החלף לשבוע</w:t>
      </w:r>
      <w:r w:rsidRPr="00194919">
        <w:rPr>
          <w:rFonts w:hint="cs"/>
          <w:b/>
          <w:bCs/>
          <w:rtl/>
        </w:rPr>
        <w:t xml:space="preserve">, ינואר </w:t>
      </w:r>
      <w:r w:rsidRPr="00194919">
        <w:rPr>
          <w:b/>
          <w:bCs/>
          <w:rtl/>
        </w:rPr>
        <w:t>–</w:t>
      </w:r>
      <w:r w:rsidRPr="00194919">
        <w:rPr>
          <w:rFonts w:hint="cs"/>
          <w:b/>
          <w:bCs/>
          <w:rtl/>
        </w:rPr>
        <w:t xml:space="preserve"> מאי 2020</w:t>
      </w:r>
    </w:p>
    <w:p w:rsidR="000F413C" w:rsidP="00982BC1" w14:paraId="310EA833" w14:textId="77777777">
      <w:pPr>
        <w:spacing w:line="269" w:lineRule="auto"/>
        <w:ind w:left="-850"/>
        <w:jc w:val="center"/>
        <w:rPr>
          <w:sz w:val="16"/>
          <w:szCs w:val="20"/>
        </w:rPr>
      </w:pPr>
      <w:r>
        <w:rPr>
          <w:noProof/>
          <w:sz w:val="16"/>
          <w:szCs w:val="20"/>
        </w:rPr>
        <w:drawing>
          <wp:inline distT="0" distB="0" distL="0" distR="0">
            <wp:extent cx="6469380" cy="3051022"/>
            <wp:effectExtent l="0" t="0" r="7620" b="0"/>
            <wp:docPr id="503410409" name="תמונה 5034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08581" name="תמונה 5"/>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23090" cy="3076352"/>
                    </a:xfrm>
                    <a:prstGeom prst="rect">
                      <a:avLst/>
                    </a:prstGeom>
                    <a:noFill/>
                    <a:ln>
                      <a:noFill/>
                    </a:ln>
                  </pic:spPr>
                </pic:pic>
              </a:graphicData>
            </a:graphic>
          </wp:inline>
        </w:drawing>
      </w:r>
    </w:p>
    <w:p w:rsidR="000F413C" w:rsidP="00982BC1" w14:paraId="1A5783E5" w14:textId="00EF7B70">
      <w:pPr>
        <w:spacing w:line="269" w:lineRule="auto"/>
        <w:rPr>
          <w:sz w:val="18"/>
          <w:szCs w:val="22"/>
          <w:rtl/>
        </w:rPr>
      </w:pPr>
      <w:r w:rsidRPr="00E065A2">
        <w:rPr>
          <w:rFonts w:hint="cs"/>
          <w:sz w:val="18"/>
          <w:szCs w:val="22"/>
          <w:rtl/>
        </w:rPr>
        <w:t>המקור: בנק ישראל.</w:t>
      </w:r>
    </w:p>
    <w:p w:rsidR="00E065A2" w:rsidRPr="00E065A2" w:rsidP="00982BC1" w14:paraId="7E5F3520" w14:textId="77777777">
      <w:pPr>
        <w:spacing w:line="269" w:lineRule="auto"/>
        <w:rPr>
          <w:sz w:val="18"/>
          <w:szCs w:val="22"/>
          <w:rtl/>
        </w:rPr>
      </w:pPr>
    </w:p>
    <w:p w:rsidR="000F413C" w:rsidRPr="00D47AE9" w:rsidP="00982BC1" w14:paraId="2A6BBA17" w14:textId="2DAAA546">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0F413C" w:rsidP="00982BC1" w14:paraId="01CECC4A" w14:textId="77777777">
      <w:pPr>
        <w:spacing w:line="269" w:lineRule="auto"/>
        <w:jc w:val="center"/>
        <w:rPr>
          <w:b/>
          <w:bCs/>
          <w:rtl/>
        </w:rPr>
      </w:pPr>
      <w:r w:rsidRPr="000F413C">
        <w:rPr>
          <w:rFonts w:hint="eastAsia"/>
          <w:b/>
          <w:bCs/>
          <w:rtl/>
        </w:rPr>
        <w:t>תרשים</w:t>
      </w:r>
      <w:r w:rsidRPr="000F413C">
        <w:rPr>
          <w:b/>
          <w:bCs/>
          <w:rtl/>
        </w:rPr>
        <w:t xml:space="preserve"> </w:t>
      </w:r>
      <w:r>
        <w:rPr>
          <w:rFonts w:hint="cs"/>
          <w:b/>
          <w:bCs/>
          <w:rtl/>
        </w:rPr>
        <w:t>42</w:t>
      </w:r>
      <w:r w:rsidRPr="000F413C">
        <w:rPr>
          <w:b/>
          <w:bCs/>
          <w:rtl/>
        </w:rPr>
        <w:t xml:space="preserve">: שוק </w:t>
      </w:r>
      <w:r w:rsidRPr="000F413C">
        <w:rPr>
          <w:rFonts w:hint="eastAsia"/>
          <w:b/>
          <w:bCs/>
          <w:rtl/>
        </w:rPr>
        <w:t>המט</w:t>
      </w:r>
      <w:r w:rsidRPr="000F413C">
        <w:rPr>
          <w:b/>
          <w:bCs/>
          <w:rtl/>
        </w:rPr>
        <w:t>"ח - שער החליפין דולר/שקל</w:t>
      </w:r>
    </w:p>
    <w:p w:rsidR="000F413C" w:rsidP="00982BC1" w14:paraId="757FF4BE" w14:textId="77777777">
      <w:pPr>
        <w:spacing w:line="269" w:lineRule="auto"/>
        <w:ind w:left="-1701"/>
      </w:pPr>
      <w:r>
        <w:rPr>
          <w:noProof/>
        </w:rPr>
        <w:drawing>
          <wp:inline distT="0" distB="0" distL="0" distR="0">
            <wp:extent cx="7301152" cy="2647950"/>
            <wp:effectExtent l="0" t="0" r="0" b="0"/>
            <wp:docPr id="503410410" name="תמונה 50341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86586" name="תמונה 8"/>
                    <pic:cNvPicPr>
                      <a:picLocks noChangeAspect="1" noChangeArrowheads="1"/>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316892" cy="2653659"/>
                    </a:xfrm>
                    <a:prstGeom prst="rect">
                      <a:avLst/>
                    </a:prstGeom>
                    <a:noFill/>
                    <a:ln>
                      <a:noFill/>
                    </a:ln>
                  </pic:spPr>
                </pic:pic>
              </a:graphicData>
            </a:graphic>
          </wp:inline>
        </w:drawing>
      </w:r>
    </w:p>
    <w:p w:rsidR="000F413C" w:rsidRPr="00E065A2" w:rsidP="00982BC1" w14:paraId="48DD1044" w14:textId="77777777">
      <w:pPr>
        <w:spacing w:line="269" w:lineRule="auto"/>
        <w:rPr>
          <w:sz w:val="18"/>
          <w:szCs w:val="22"/>
          <w:rtl/>
        </w:rPr>
      </w:pPr>
      <w:r w:rsidRPr="00E065A2">
        <w:rPr>
          <w:rFonts w:hint="cs"/>
          <w:sz w:val="18"/>
          <w:szCs w:val="22"/>
          <w:rtl/>
        </w:rPr>
        <w:t>נתוני בנק ישראל, בעיבוד משרד מבקר המדינה.</w:t>
      </w:r>
    </w:p>
    <w:p w:rsidR="000F413C" w:rsidP="00982BC1" w14:paraId="63C5D931" w14:textId="0B6B4616">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382A1A7F" w14:textId="77777777">
      <w:pPr>
        <w:spacing w:line="269" w:lineRule="auto"/>
        <w:rPr>
          <w:rtl/>
        </w:rPr>
      </w:pPr>
      <w:r>
        <w:rPr>
          <w:rFonts w:hint="cs"/>
          <w:rtl/>
        </w:rPr>
        <w:t>מתרשימים 40 - 42</w:t>
      </w:r>
      <w:r w:rsidRPr="00EB18A1">
        <w:rPr>
          <w:rFonts w:hint="cs"/>
          <w:rtl/>
        </w:rPr>
        <w:t xml:space="preserve"> עולה כי הפעולות שנקט בנק ישראל הביאו לייצוב המערכת הפיננסית ולהשבתה לפעילות תקינה. </w:t>
      </w:r>
      <w:r w:rsidRPr="00AD47FF">
        <w:rPr>
          <w:rFonts w:hint="cs"/>
          <w:rtl/>
        </w:rPr>
        <w:t xml:space="preserve">במהלך הביקורת העלתה רשות שוק ההון טענות לפני צוות הביקורת, ולפיהן פעולות בנק ישראל נעשו בעיכוב של כשבועיים, על אף הצורך בפעולות מהירות. המצוקה בשווקים אירעה בתחילת חודש מרץ, ובנק ישראל החל בפעולותיו ביום </w:t>
      </w:r>
      <w:r w:rsidRPr="00AD47FF">
        <w:rPr>
          <w:rtl/>
        </w:rPr>
        <w:t>15.3.20</w:t>
      </w:r>
      <w:r w:rsidRPr="00AD47FF">
        <w:rPr>
          <w:rFonts w:hint="cs"/>
          <w:rtl/>
        </w:rPr>
        <w:t>. בנק ישראל</w:t>
      </w:r>
      <w:r w:rsidRPr="00EB18A1">
        <w:rPr>
          <w:rFonts w:hint="cs"/>
          <w:rtl/>
        </w:rPr>
        <w:t xml:space="preserve"> הסביר לצוות הביקורת כי לוח הזמנים שבו פעל איפשר בחינה זהירה של התפתחות האירועים בסביבת אי-וודאות גבוהה, תרם ליצירת משמעת שוק, וחשוב מכך - לא נגרם נזק ממשי בשל כך שלא פעל מיידית.</w:t>
      </w:r>
    </w:p>
    <w:p w:rsidR="000F413C" w:rsidP="00982BC1" w14:paraId="424750FB" w14:textId="111BE747">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775543" w:rsidP="00982BC1" w14:paraId="44FA74AA" w14:textId="77777777">
      <w:pPr>
        <w:spacing w:line="269" w:lineRule="auto"/>
        <w:rPr>
          <w:rtl/>
        </w:rPr>
      </w:pPr>
      <w:r w:rsidRPr="000F413C">
        <w:rPr>
          <w:rStyle w:val="7"/>
          <w:rFonts w:hint="eastAsia"/>
          <w:rtl/>
        </w:rPr>
        <w:t>רשות</w:t>
      </w:r>
      <w:r w:rsidRPr="000F413C">
        <w:rPr>
          <w:rStyle w:val="7"/>
          <w:rtl/>
        </w:rPr>
        <w:t xml:space="preserve"> </w:t>
      </w:r>
      <w:r w:rsidRPr="000F413C">
        <w:rPr>
          <w:rStyle w:val="7"/>
          <w:rFonts w:hint="eastAsia"/>
          <w:rtl/>
        </w:rPr>
        <w:t>שוק</w:t>
      </w:r>
      <w:r w:rsidRPr="000F413C">
        <w:rPr>
          <w:rStyle w:val="7"/>
          <w:rtl/>
        </w:rPr>
        <w:t xml:space="preserve"> </w:t>
      </w:r>
      <w:r w:rsidRPr="000F413C">
        <w:rPr>
          <w:rStyle w:val="7"/>
          <w:rFonts w:hint="eastAsia"/>
          <w:rtl/>
        </w:rPr>
        <w:t>ההון</w:t>
      </w:r>
      <w:r w:rsidRPr="000F413C">
        <w:rPr>
          <w:rStyle w:val="7"/>
          <w:rtl/>
        </w:rPr>
        <w:t>:</w:t>
      </w:r>
      <w:r>
        <w:rPr>
          <w:rFonts w:hint="cs"/>
          <w:rtl/>
        </w:rPr>
        <w:t xml:space="preserve"> רשות שוק ההון אחראית להסדרה ולפיקוח בתחומי שוקי החיסכון הפנסיוני, הביטוח והשירותים הפיננסיים המוסדרים בישראל. </w:t>
      </w:r>
      <w:r>
        <w:rPr>
          <w:rFonts w:ascii="David" w:hAnsi="David" w:hint="cs"/>
          <w:rtl/>
        </w:rPr>
        <w:t xml:space="preserve">סעיף ג1 לחוק הפיקוח על שירותים פיננסיים (ביטוח), התשמ"א-1981, מסדיר את תפקידי רשות שוק ההון, לרבות </w:t>
      </w:r>
      <w:r>
        <w:rPr>
          <w:rFonts w:ascii="David" w:hAnsi="David" w:hint="cs"/>
          <w:sz w:val="24"/>
          <w:rtl/>
        </w:rPr>
        <w:t>הגנה ושמירה על עניינם של המבוטחים, העמיתים ולקוחות הגופים המפוקחים</w:t>
      </w:r>
      <w:r>
        <w:rPr>
          <w:rFonts w:hint="cs"/>
          <w:rtl/>
        </w:rPr>
        <w:t xml:space="preserve">. בניגוד למערכת הבנקאית, שבה סיכוני ההשקעה מוטלים על התאגידים הבנקאיים, סיכוני ההשקעה מוטלים על כספים שמנהלים הגופים המוסדיים </w:t>
      </w:r>
      <w:r w:rsidRPr="00115265">
        <w:rPr>
          <w:rFonts w:hint="cs"/>
          <w:rtl/>
        </w:rPr>
        <w:t>בנאמנות, ולכן</w:t>
      </w:r>
      <w:r w:rsidRPr="00115265">
        <w:rPr>
          <w:rtl/>
        </w:rPr>
        <w:t xml:space="preserve"> על </w:t>
      </w:r>
      <w:r w:rsidRPr="00115265">
        <w:rPr>
          <w:rFonts w:hint="eastAsia"/>
          <w:rtl/>
        </w:rPr>
        <w:t>כספי</w:t>
      </w:r>
      <w:r w:rsidRPr="00775543">
        <w:rPr>
          <w:rtl/>
        </w:rPr>
        <w:t xml:space="preserve"> </w:t>
      </w:r>
      <w:r w:rsidRPr="00775543">
        <w:rPr>
          <w:rFonts w:hint="eastAsia"/>
          <w:rtl/>
        </w:rPr>
        <w:t>הציבור</w:t>
      </w:r>
      <w:r>
        <w:rPr>
          <w:rFonts w:hint="cs"/>
          <w:rtl/>
        </w:rPr>
        <w:t>.</w:t>
      </w:r>
    </w:p>
    <w:p w:rsidR="000F413C" w:rsidP="00982BC1" w14:paraId="575A8289" w14:textId="1AD1EB85">
      <w:pPr>
        <w:pStyle w:val="a"/>
        <w:spacing w:line="269" w:lineRule="auto"/>
        <w:rPr>
          <w:rtl/>
        </w:rPr>
      </w:pPr>
      <w:r w:rsidRPr="00AD47FF">
        <w:rPr>
          <w:rFonts w:hint="cs"/>
          <w:rtl/>
        </w:rPr>
        <w:fldChar w:fldCharType="begin"/>
      </w:r>
      <w:r w:rsidRPr="00AD47FF">
        <w:rPr>
          <w:rFonts w:hint="cs"/>
          <w:rtl/>
        </w:rPr>
        <w:instrText xml:space="preserve"> </w:instrText>
      </w:r>
      <w:r w:rsidRPr="00AD47FF">
        <w:instrText>AUTONUMLGL \e  \* MERGEFORMAT</w:instrText>
      </w:r>
      <w:r w:rsidRPr="00AD47FF">
        <w:rPr>
          <w:rFonts w:hint="cs"/>
          <w:rtl/>
        </w:rPr>
        <w:instrText xml:space="preserve"> </w:instrText>
      </w:r>
      <w:r w:rsidRPr="00AD47FF">
        <w:rPr>
          <w:rFonts w:hint="cs"/>
          <w:rtl/>
        </w:rPr>
        <w:fldChar w:fldCharType="end"/>
      </w:r>
    </w:p>
    <w:p w:rsidR="000F413C" w:rsidP="00982BC1" w14:paraId="464EA75F" w14:textId="77777777">
      <w:pPr>
        <w:spacing w:line="269" w:lineRule="auto"/>
        <w:rPr>
          <w:rtl/>
        </w:rPr>
      </w:pPr>
      <w:r>
        <w:rPr>
          <w:rFonts w:hint="cs"/>
          <w:rtl/>
        </w:rPr>
        <w:t xml:space="preserve">מדיניות הגופים המוסדיים במהלך העשור האחרון פעלה להרחבת היקף החשיפה וריבוי המכשירים הנגזרים על מדדי מניות בחו"ל. מדיניות זו הובילה להשאת כספי העמיתים במכשירים הפיננסיים השונים, לגיוון תיק ההשקעות ולגידור סיכוני ההשקעה. עם זאת, היקף החשיפה וניהול סיכוני ההשקעה של הנגזרים בפועל הובילו להעצמת מצוקת הנזילות הדולרית בעקבות הדרישה לחיזוק הביטחונות בשל התנודתיות בשווקים הפיננסיים. </w:t>
      </w:r>
    </w:p>
    <w:p w:rsidR="000F413C" w:rsidP="00982BC1" w14:paraId="5277CD0A" w14:textId="0A544D31">
      <w:pPr>
        <w:pStyle w:val="a"/>
        <w:spacing w:line="269" w:lineRule="auto"/>
        <w:rPr>
          <w:rtl/>
        </w:rPr>
      </w:pPr>
      <w:r w:rsidRPr="00AD47FF">
        <w:rPr>
          <w:rFonts w:hint="cs"/>
          <w:rtl/>
        </w:rPr>
        <w:fldChar w:fldCharType="begin"/>
      </w:r>
      <w:r w:rsidRPr="00AD47FF">
        <w:rPr>
          <w:rFonts w:hint="cs"/>
          <w:rtl/>
        </w:rPr>
        <w:instrText xml:space="preserve"> </w:instrText>
      </w:r>
      <w:r w:rsidRPr="00AD47FF">
        <w:instrText>AUTONUMLGL \e  \* MERGEFORMAT</w:instrText>
      </w:r>
      <w:r w:rsidRPr="00AD47FF">
        <w:rPr>
          <w:rFonts w:hint="cs"/>
          <w:rtl/>
        </w:rPr>
        <w:instrText xml:space="preserve"> </w:instrText>
      </w:r>
      <w:r w:rsidRPr="00AD47FF">
        <w:rPr>
          <w:rFonts w:hint="cs"/>
          <w:rtl/>
        </w:rPr>
        <w:fldChar w:fldCharType="end"/>
      </w:r>
    </w:p>
    <w:p w:rsidR="000F413C" w:rsidP="00982BC1" w14:paraId="5901D731" w14:textId="77777777">
      <w:pPr>
        <w:spacing w:line="269" w:lineRule="auto"/>
        <w:rPr>
          <w:b/>
          <w:bCs/>
          <w:rtl/>
        </w:rPr>
      </w:pPr>
      <w:r>
        <w:rPr>
          <w:rFonts w:hint="cs"/>
          <w:b/>
          <w:bCs/>
          <w:rtl/>
        </w:rPr>
        <w:t>הביקורת העלתה כי חשיפת הגופים המוסדיים לנגזרים בחו"ל פגעה בנזילות של התיקים המנוהלים בעת המשבר, וכי אילולא התערבות בנק ישראל</w:t>
      </w:r>
      <w:r>
        <w:rPr>
          <w:rStyle w:val="FootnoteReference"/>
          <w:rtl/>
        </w:rPr>
        <w:footnoteReference w:id="90"/>
      </w:r>
      <w:r>
        <w:rPr>
          <w:rFonts w:hint="cs"/>
          <w:b/>
          <w:bCs/>
          <w:rtl/>
        </w:rPr>
        <w:t xml:space="preserve"> הייתה נגרמת פגיעה בתשואת העמיתים, שיכלה להביא, בין היתר, להשפעה על כספי הפנסיה שחסכו העמיתים במשך שנים והמיועדים לשרת את החוסכים בעת פרישה.</w:t>
      </w:r>
    </w:p>
    <w:p w:rsidR="000F413C" w:rsidP="00982BC1" w14:paraId="36A9557B" w14:textId="36F2095B">
      <w:pPr>
        <w:pStyle w:val="a"/>
        <w:spacing w:line="269" w:lineRule="auto"/>
        <w:rPr>
          <w:rtl/>
        </w:rPr>
      </w:pPr>
      <w:r>
        <w:rPr>
          <w:rFonts w:hint="cs"/>
          <w:b/>
          <w:bCs/>
          <w:rtl/>
        </w:rPr>
        <w:t xml:space="preserve"> </w:t>
      </w:r>
      <w:r w:rsidRPr="00AD47FF">
        <w:rPr>
          <w:rtl/>
        </w:rPr>
        <w:fldChar w:fldCharType="begin"/>
      </w:r>
      <w:r w:rsidRPr="00AD47FF">
        <w:rPr>
          <w:rtl/>
        </w:rPr>
        <w:instrText xml:space="preserve"> </w:instrText>
      </w:r>
      <w:r w:rsidRPr="00AD47FF">
        <w:instrText>AUTONUMLGL \e  \* MERGEFORMAT</w:instrText>
      </w:r>
      <w:r w:rsidRPr="00AD47FF">
        <w:rPr>
          <w:rtl/>
        </w:rPr>
        <w:instrText xml:space="preserve"> </w:instrText>
      </w:r>
      <w:r w:rsidRPr="00AD47FF">
        <w:rPr>
          <w:rtl/>
        </w:rPr>
        <w:fldChar w:fldCharType="end"/>
      </w:r>
    </w:p>
    <w:p w:rsidR="000F413C" w:rsidP="00982BC1" w14:paraId="194131FE" w14:textId="41319481">
      <w:pPr>
        <w:spacing w:line="269" w:lineRule="auto"/>
        <w:rPr>
          <w:b/>
          <w:bCs/>
          <w:rtl/>
        </w:rPr>
      </w:pPr>
      <w:r>
        <w:rPr>
          <w:rFonts w:hint="cs"/>
          <w:b/>
          <w:bCs/>
          <w:rtl/>
        </w:rPr>
        <w:t>חשיפה גבוהה של תיק ההשקעות מחייבת קיומן של בקרות שוטפות. עם זאת, לא נמצא בביקורת כי רשות שוק ההון העבירה לגופים המוסדיים הנחיות לניהול סיכוני ההשקעה לגבי התיקים המנוהלים לקראת משבר, במטרה לצמצם את היקף חשיפתם ובכך להגן על כספי העמיתים.</w:t>
      </w:r>
    </w:p>
    <w:p w:rsidR="00E065A2" w:rsidP="00982BC1" w14:paraId="261B007E" w14:textId="77777777">
      <w:pPr>
        <w:spacing w:line="269" w:lineRule="auto"/>
        <w:rPr>
          <w:b/>
          <w:bCs/>
          <w:rtl/>
        </w:rPr>
      </w:pPr>
    </w:p>
    <w:p w:rsidR="000F413C" w:rsidP="00982BC1" w14:paraId="75279CBC"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P="00982BC1" w14:paraId="0BB4D2BC" w14:textId="77777777">
      <w:pPr>
        <w:spacing w:line="269" w:lineRule="auto"/>
        <w:rPr>
          <w:rtl/>
        </w:rPr>
      </w:pPr>
      <w:r>
        <w:rPr>
          <w:rFonts w:hint="cs"/>
          <w:rtl/>
        </w:rPr>
        <w:t>רשות שוק ההון כתבה למשרד מבקר המדינה ב</w:t>
      </w:r>
      <w:r w:rsidRPr="00115265">
        <w:rPr>
          <w:rFonts w:hint="cs"/>
          <w:rtl/>
        </w:rPr>
        <w:t xml:space="preserve">יום </w:t>
      </w:r>
      <w:r w:rsidRPr="00115265">
        <w:rPr>
          <w:rtl/>
        </w:rPr>
        <w:t>8.3.21</w:t>
      </w:r>
      <w:r w:rsidRPr="00115265">
        <w:rPr>
          <w:rFonts w:hint="cs"/>
          <w:rtl/>
        </w:rPr>
        <w:t xml:space="preserve"> כי</w:t>
      </w:r>
      <w:r>
        <w:rPr>
          <w:rFonts w:hint="cs"/>
          <w:rtl/>
        </w:rPr>
        <w:t xml:space="preserve"> היא אינה מחליפה את שיקול הדעת של הגופים המוסדיים, אלא במקרי קיצון או בעת כשלי שוק. עם זאת במקרה זה לא זוהה כשל בתהליכי ניהול הסיכונים שהצריך מתן הנחיות לשינוי התנהגותם. הרשות ציינה גם כי מחסור הנזילות שתועד נפתר על ידי התערבות בנק ישראל, וכי לא נוצר סיכון יציבותי או מערכתי. </w:t>
      </w:r>
    </w:p>
    <w:p w:rsidR="000F413C" w:rsidP="00982BC1" w14:paraId="33052248"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73731D" w:rsidRPr="00B27963" w:rsidP="00982BC1" w14:paraId="46B7B9A0" w14:textId="27F27082">
      <w:pPr>
        <w:pStyle w:val="a"/>
        <w:spacing w:line="269" w:lineRule="auto"/>
        <w:ind w:left="0"/>
        <w:rPr>
          <w:rtl/>
        </w:rPr>
      </w:pPr>
      <w:r w:rsidRPr="0073731D">
        <w:rPr>
          <w:rFonts w:hint="eastAsia"/>
          <w:szCs w:val="24"/>
          <w:rtl/>
        </w:rPr>
        <w:t>נגיד</w:t>
      </w:r>
      <w:r w:rsidRPr="0073731D">
        <w:rPr>
          <w:szCs w:val="24"/>
          <w:rtl/>
        </w:rPr>
        <w:t xml:space="preserve"> </w:t>
      </w:r>
      <w:r w:rsidRPr="0073731D">
        <w:rPr>
          <w:rFonts w:hint="eastAsia"/>
          <w:szCs w:val="24"/>
          <w:rtl/>
        </w:rPr>
        <w:t>בנק</w:t>
      </w:r>
      <w:r w:rsidRPr="0073731D">
        <w:rPr>
          <w:szCs w:val="24"/>
          <w:rtl/>
        </w:rPr>
        <w:t xml:space="preserve"> </w:t>
      </w:r>
      <w:r w:rsidRPr="0073731D">
        <w:rPr>
          <w:rFonts w:hint="eastAsia"/>
          <w:szCs w:val="24"/>
          <w:rtl/>
        </w:rPr>
        <w:t>ישראל</w:t>
      </w:r>
      <w:r w:rsidRPr="0073731D">
        <w:rPr>
          <w:szCs w:val="24"/>
          <w:rtl/>
        </w:rPr>
        <w:t xml:space="preserve"> </w:t>
      </w:r>
      <w:r w:rsidRPr="0073731D" w:rsidR="00974F1F">
        <w:rPr>
          <w:rFonts w:hint="eastAsia"/>
          <w:szCs w:val="24"/>
          <w:rtl/>
        </w:rPr>
        <w:t>ציין</w:t>
      </w:r>
      <w:r w:rsidRPr="0073731D" w:rsidR="00974F1F">
        <w:rPr>
          <w:szCs w:val="24"/>
          <w:rtl/>
        </w:rPr>
        <w:t xml:space="preserve"> </w:t>
      </w:r>
      <w:r w:rsidRPr="0073731D" w:rsidR="00874A49">
        <w:rPr>
          <w:rFonts w:hint="cs"/>
          <w:szCs w:val="24"/>
          <w:rtl/>
        </w:rPr>
        <w:t>ב</w:t>
      </w:r>
      <w:r w:rsidRPr="0073731D" w:rsidR="00974F1F">
        <w:rPr>
          <w:rFonts w:hint="eastAsia"/>
          <w:szCs w:val="24"/>
          <w:rtl/>
        </w:rPr>
        <w:t>יוני</w:t>
      </w:r>
      <w:r w:rsidR="00B27963">
        <w:rPr>
          <w:szCs w:val="24"/>
          <w:rtl/>
        </w:rPr>
        <w:t xml:space="preserve"> 202</w:t>
      </w:r>
      <w:r w:rsidR="00B27963">
        <w:rPr>
          <w:rFonts w:hint="cs"/>
          <w:szCs w:val="24"/>
          <w:rtl/>
        </w:rPr>
        <w:t>0</w:t>
      </w:r>
      <w:r>
        <w:rPr>
          <w:rStyle w:val="FootnoteReference"/>
          <w:szCs w:val="24"/>
          <w:rtl/>
        </w:rPr>
        <w:footnoteReference w:id="91"/>
      </w:r>
      <w:r w:rsidR="00B27963">
        <w:rPr>
          <w:rFonts w:hint="cs"/>
          <w:szCs w:val="24"/>
          <w:rtl/>
        </w:rPr>
        <w:t xml:space="preserve"> </w:t>
      </w:r>
      <w:r w:rsidRPr="0073731D" w:rsidR="00974F1F">
        <w:rPr>
          <w:rFonts w:hint="eastAsia"/>
          <w:szCs w:val="24"/>
          <w:rtl/>
        </w:rPr>
        <w:t>כי</w:t>
      </w:r>
      <w:r w:rsidRPr="0073731D" w:rsidR="00974F1F">
        <w:rPr>
          <w:szCs w:val="24"/>
          <w:rtl/>
        </w:rPr>
        <w:t xml:space="preserve"> אין </w:t>
      </w:r>
      <w:r w:rsidRPr="0073731D" w:rsidR="00974F1F">
        <w:rPr>
          <w:rFonts w:hint="eastAsia"/>
          <w:szCs w:val="24"/>
          <w:rtl/>
        </w:rPr>
        <w:t>ב</w:t>
      </w:r>
      <w:r w:rsidRPr="0073731D">
        <w:rPr>
          <w:szCs w:val="24"/>
          <w:rtl/>
        </w:rPr>
        <w:t>כוונת בנק</w:t>
      </w:r>
      <w:r w:rsidRPr="0073731D" w:rsidR="00974F1F">
        <w:rPr>
          <w:szCs w:val="24"/>
          <w:rtl/>
        </w:rPr>
        <w:t xml:space="preserve"> ישראל</w:t>
      </w:r>
      <w:r w:rsidRPr="0073731D">
        <w:rPr>
          <w:szCs w:val="24"/>
          <w:rtl/>
        </w:rPr>
        <w:t xml:space="preserve"> </w:t>
      </w:r>
      <w:r w:rsidR="00B27963">
        <w:rPr>
          <w:szCs w:val="24"/>
          <w:rtl/>
        </w:rPr>
        <w:t>להמשיך ולחלץ את הגופים המוסדיים</w:t>
      </w:r>
      <w:r w:rsidR="00B27963">
        <w:rPr>
          <w:rFonts w:hint="cs"/>
          <w:rtl/>
        </w:rPr>
        <w:t xml:space="preserve"> </w:t>
      </w:r>
      <w:r w:rsidRPr="0073731D">
        <w:rPr>
          <w:szCs w:val="24"/>
          <w:rtl/>
        </w:rPr>
        <w:t xml:space="preserve">מפוזיציות השקעה שיוצרות הפסדים גדולים בעתות משבר, </w:t>
      </w:r>
      <w:r w:rsidRPr="0073731D" w:rsidR="00874A49">
        <w:rPr>
          <w:rFonts w:hint="cs"/>
          <w:szCs w:val="24"/>
          <w:rtl/>
        </w:rPr>
        <w:t xml:space="preserve">כפי </w:t>
      </w:r>
      <w:r w:rsidRPr="0073731D">
        <w:rPr>
          <w:szCs w:val="24"/>
          <w:rtl/>
        </w:rPr>
        <w:t xml:space="preserve">שאירע שלוש פעמים בשני העשורים </w:t>
      </w:r>
    </w:p>
    <w:p w:rsidR="0073731D" w:rsidRPr="0073731D" w:rsidP="00982BC1" w14:paraId="2033F24E" w14:textId="1D45E8DF">
      <w:pPr>
        <w:pStyle w:val="a"/>
        <w:spacing w:line="269" w:lineRule="auto"/>
        <w:ind w:firstLine="567"/>
        <w:rPr>
          <w:szCs w:val="24"/>
          <w:rtl/>
        </w:rPr>
      </w:pPr>
      <w:r w:rsidRPr="0073731D">
        <w:rPr>
          <w:szCs w:val="24"/>
          <w:rtl/>
        </w:rPr>
        <w:t>האחרונים</w:t>
      </w:r>
      <w:r w:rsidRPr="0073731D" w:rsidR="00974F1F">
        <w:rPr>
          <w:szCs w:val="24"/>
          <w:rtl/>
        </w:rPr>
        <w:t>.</w:t>
      </w:r>
    </w:p>
    <w:p w:rsidR="000F413C" w:rsidP="00982BC1" w14:paraId="29F22A45" w14:textId="1CAEB125">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4A4C6831" w14:textId="77777777">
      <w:pPr>
        <w:spacing w:line="269" w:lineRule="auto"/>
        <w:rPr>
          <w:b/>
          <w:bCs/>
          <w:rtl/>
        </w:rPr>
      </w:pPr>
      <w:r>
        <w:rPr>
          <w:rFonts w:hint="cs"/>
          <w:b/>
          <w:bCs/>
          <w:rtl/>
        </w:rPr>
        <w:t>מומלץ כי רשות שוק ההון, כגורם המופקד על "הגנה ושמירה על עניינם של המובטחים, העמיתים ולקוחות הגופים המפוקחים", תפעל להבטיח כי הפעילים בשווקים הפיננסיים יבינו את הסיכונים הגלומים בפעילותם, ויבטאו זאת במדיניות ניהול הסיכונים הן בתיקי ההשקעות העצמיות של הגופים המוסדיים (נוסטרו), להבטחת יציבותם, והן בתיקים המנוהלים, להבטחת כספי העמיתים, בייחוד לקראת משברים מתהווים, בראייה צופה פני עתיד.</w:t>
      </w:r>
    </w:p>
    <w:p w:rsidR="000F413C" w:rsidP="00982BC1" w14:paraId="7045F272" w14:textId="7777777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P="00982BC1" w14:paraId="4672E6AA" w14:textId="77777777">
      <w:pPr>
        <w:spacing w:line="269" w:lineRule="auto"/>
        <w:rPr>
          <w:rFonts w:ascii="David" w:hAnsi="David"/>
          <w:sz w:val="24"/>
          <w:rtl/>
        </w:rPr>
      </w:pPr>
      <w:r w:rsidRPr="00B74020">
        <w:rPr>
          <w:rFonts w:hint="eastAsia"/>
          <w:rtl/>
        </w:rPr>
        <w:t>רשות</w:t>
      </w:r>
      <w:r w:rsidRPr="00B74020">
        <w:rPr>
          <w:rtl/>
        </w:rPr>
        <w:t xml:space="preserve"> </w:t>
      </w:r>
      <w:r>
        <w:rPr>
          <w:rFonts w:hint="cs"/>
          <w:rtl/>
        </w:rPr>
        <w:t xml:space="preserve">שוק ההון </w:t>
      </w:r>
      <w:r w:rsidRPr="00115265">
        <w:rPr>
          <w:rFonts w:hint="cs"/>
          <w:rtl/>
        </w:rPr>
        <w:t xml:space="preserve">כתבה למשרד מבקר המדינה ביום </w:t>
      </w:r>
      <w:r w:rsidRPr="00115265">
        <w:rPr>
          <w:rtl/>
        </w:rPr>
        <w:t>8.3.21</w:t>
      </w:r>
      <w:r w:rsidRPr="00115265">
        <w:rPr>
          <w:rFonts w:hint="cs"/>
          <w:rtl/>
        </w:rPr>
        <w:t xml:space="preserve"> כי היא </w:t>
      </w:r>
      <w:r w:rsidRPr="00115265">
        <w:rPr>
          <w:rFonts w:ascii="David" w:hAnsi="David" w:hint="cs"/>
          <w:sz w:val="24"/>
          <w:rtl/>
        </w:rPr>
        <w:t>נמצאת</w:t>
      </w:r>
      <w:r>
        <w:rPr>
          <w:rFonts w:ascii="David" w:hAnsi="David" w:hint="cs"/>
          <w:sz w:val="24"/>
          <w:rtl/>
        </w:rPr>
        <w:t xml:space="preserve"> בעמדת נחיתות מובהקת אל מול הרגולטורים המקבילים, הן בבחינת גובה התקציב והן בבחינת היקף כוח האדם, על אף תפקידה החשוב של הרשות בהגנה על הציבור. עובדה זו משפיעה על יכולת הפיקוח והתפקוד של הרשות, הן בעיתות משבר והן בעיתות רגילות, ומגבילה את יכולות הרשות בפיקוח הנדרש, בייחוד לנוכח הדרישות העולות בדוח, שחלקן מצריכות מערכות מידע מתקדמות וכוח אדם מיומן נוסף.</w:t>
      </w:r>
    </w:p>
    <w:p w:rsidR="000F413C" w:rsidP="00982BC1" w14:paraId="4107ED49" w14:textId="77777777">
      <w:pPr>
        <w:pStyle w:val="a"/>
        <w:spacing w:line="269" w:lineRule="auto"/>
        <w:rPr>
          <w:rtl/>
        </w:rPr>
      </w:pPr>
      <w:r w:rsidRPr="008E4374">
        <w:rPr>
          <w:rtl/>
        </w:rPr>
        <w:fldChar w:fldCharType="begin"/>
      </w:r>
      <w:r w:rsidRPr="008E4374">
        <w:rPr>
          <w:rtl/>
        </w:rPr>
        <w:instrText xml:space="preserve"> </w:instrText>
      </w:r>
      <w:r w:rsidRPr="008E4374">
        <w:instrText>AUTONUMLGL \e  \* MERGEFORMAT</w:instrText>
      </w:r>
      <w:r w:rsidRPr="008E4374">
        <w:rPr>
          <w:rtl/>
        </w:rPr>
        <w:instrText xml:space="preserve"> </w:instrText>
      </w:r>
      <w:r w:rsidRPr="008E4374">
        <w:rPr>
          <w:rtl/>
        </w:rPr>
        <w:fldChar w:fldCharType="end"/>
      </w:r>
    </w:p>
    <w:p w:rsidR="000F413C" w:rsidRPr="00A03072" w:rsidP="00982BC1" w14:paraId="6826E814" w14:textId="77777777">
      <w:pPr>
        <w:spacing w:line="269" w:lineRule="auto"/>
        <w:rPr>
          <w:b/>
          <w:bCs/>
          <w:rtl/>
        </w:rPr>
      </w:pPr>
      <w:r w:rsidRPr="00A03072">
        <w:rPr>
          <w:b/>
          <w:bCs/>
          <w:rtl/>
        </w:rPr>
        <w:t>משרד מבקר המדינה</w:t>
      </w:r>
      <w:r>
        <w:rPr>
          <w:rFonts w:hint="cs"/>
          <w:b/>
          <w:bCs/>
          <w:rtl/>
        </w:rPr>
        <w:t xml:space="preserve"> ממליץ</w:t>
      </w:r>
      <w:r>
        <w:rPr>
          <w:b/>
          <w:bCs/>
          <w:rtl/>
        </w:rPr>
        <w:t xml:space="preserve"> </w:t>
      </w:r>
      <w:r>
        <w:rPr>
          <w:rFonts w:hint="cs"/>
          <w:b/>
          <w:bCs/>
          <w:rtl/>
        </w:rPr>
        <w:t>שמשרד האוצר יבח</w:t>
      </w:r>
      <w:r w:rsidRPr="00A03072">
        <w:rPr>
          <w:b/>
          <w:bCs/>
          <w:rtl/>
        </w:rPr>
        <w:t xml:space="preserve">ן את </w:t>
      </w:r>
      <w:r>
        <w:rPr>
          <w:rFonts w:hint="cs"/>
          <w:b/>
          <w:bCs/>
          <w:rtl/>
        </w:rPr>
        <w:t>התאמת תקציב רשות שוק ההון וכוח האדם העומד לרשותה ביחס למשימות אותן היא נדרשת לבצע לנוכח השינויים שחלו בהן בשנים האחרונות.</w:t>
      </w:r>
    </w:p>
    <w:p w:rsidR="000F413C" w:rsidP="00982BC1" w14:paraId="37A229F2" w14:textId="45FD9363">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3300B38" w14:textId="77777777">
      <w:pPr>
        <w:spacing w:line="269" w:lineRule="auto"/>
        <w:rPr>
          <w:rtl/>
        </w:rPr>
      </w:pPr>
      <w:r w:rsidRPr="00530430">
        <w:rPr>
          <w:rFonts w:hint="cs"/>
          <w:b/>
          <w:bCs/>
          <w:rtl/>
        </w:rPr>
        <w:t xml:space="preserve">רשות </w:t>
      </w:r>
      <w:r>
        <w:rPr>
          <w:rFonts w:hint="cs"/>
          <w:b/>
          <w:bCs/>
          <w:rtl/>
        </w:rPr>
        <w:t>ני"ע</w:t>
      </w:r>
      <w:r w:rsidRPr="00530430">
        <w:rPr>
          <w:rFonts w:hint="cs"/>
          <w:b/>
          <w:bCs/>
          <w:rtl/>
        </w:rPr>
        <w:t>:</w:t>
      </w:r>
      <w:r>
        <w:rPr>
          <w:rFonts w:hint="cs"/>
          <w:rtl/>
        </w:rPr>
        <w:t xml:space="preserve"> סעיף 2 לחוק ניירות ערך, התשכ"ח-1968, קובע כי אחד מתפקידיה של רשות ני"ע הוא לשמור את ענייניו של ציבור המשקיעים בניירות ערך. במסגרת תפקידה מטפלת הרשות בהסדרת הפעילות של ענף קרנות הנאמנות והפיקוח עליו. אחד מיתרונותיו הבולטים של כלי פיננסי זה מתבטא בנזילות גבוהה המאפשרת למשקיעים להשקיע בטווחי זמן שונים ובהתאם לצרכיהם. מנגד, עיתות משבר או ירידת שערים מאופיינות בצמצום הפעילות בשוק ההון ובבקשות רבות למשיכת כספים מצד המשקיעים. על מנהל הקרן מוטלת החובה לפדות יחידות מהקרן ולהמירן למזומנים על פי דרישות המחזיקים. משכך, פידיונות מרובים עלולים להוביל למכירת נכסים במחיר הנמוך יותר משוויים הכלכלי ולפגוע ברווחיות הקרנות.</w:t>
      </w:r>
    </w:p>
    <w:p w:rsidR="000F413C" w:rsidP="00982BC1" w14:paraId="452B492C" w14:textId="01F24524">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28A2F10E" w14:textId="77777777">
      <w:pPr>
        <w:spacing w:line="269" w:lineRule="auto"/>
        <w:rPr>
          <w:rtl/>
        </w:rPr>
      </w:pPr>
      <w:r>
        <w:rPr>
          <w:rFonts w:hint="cs"/>
          <w:rtl/>
        </w:rPr>
        <w:t xml:space="preserve">סעיף 48 לחוק השקעות משותפות בנאמנות, התשנ"ד-1994 (להלן - חוק השקעות משותפות בנאמנות), מקנה ליו"ר רשות ני"ע את הסמכות, בשיתוף הגורמים הרלוונטיים בשוק ההון, להורות על </w:t>
      </w:r>
      <w:r w:rsidRPr="00D87433">
        <w:rPr>
          <w:rFonts w:hint="cs"/>
          <w:rtl/>
        </w:rPr>
        <w:t>הפעלת מנגנון להפסקה של הצעת יחידות בקרנות נאמנות פתוחות או פ</w:t>
      </w:r>
      <w:r>
        <w:rPr>
          <w:rFonts w:hint="cs"/>
          <w:rtl/>
        </w:rPr>
        <w:t>י</w:t>
      </w:r>
      <w:r w:rsidRPr="00D87433">
        <w:rPr>
          <w:rFonts w:hint="cs"/>
          <w:rtl/>
        </w:rPr>
        <w:t>דיונן. באמצע חודש מרץ ציינה יו"ר רשות ני"ע</w:t>
      </w:r>
      <w:r>
        <w:rPr>
          <w:rFonts w:hint="cs"/>
          <w:rtl/>
        </w:rPr>
        <w:t>,</w:t>
      </w:r>
      <w:r w:rsidRPr="00D87433">
        <w:rPr>
          <w:rFonts w:hint="cs"/>
          <w:rtl/>
        </w:rPr>
        <w:t xml:space="preserve"> בין היתר, כי שקילת השימוש במנגנון תיעשה רק בעת הצורך</w:t>
      </w:r>
      <w:r>
        <w:rPr>
          <w:rFonts w:hint="cs"/>
          <w:rtl/>
        </w:rPr>
        <w:t>,</w:t>
      </w:r>
      <w:r w:rsidRPr="00D87433">
        <w:rPr>
          <w:rFonts w:hint="cs"/>
          <w:rtl/>
        </w:rPr>
        <w:t xml:space="preserve"> וכי על הציבור לדעת שהמנגנון קיים. אזכור המנגנון הוא בגדר השקיפות המתבקשת בע</w:t>
      </w:r>
      <w:r>
        <w:rPr>
          <w:rFonts w:hint="cs"/>
          <w:rtl/>
        </w:rPr>
        <w:t>י</w:t>
      </w:r>
      <w:r w:rsidRPr="00D87433">
        <w:rPr>
          <w:rFonts w:hint="cs"/>
          <w:rtl/>
        </w:rPr>
        <w:t xml:space="preserve">תות משבר, </w:t>
      </w:r>
      <w:r>
        <w:rPr>
          <w:rFonts w:hint="cs"/>
          <w:rtl/>
        </w:rPr>
        <w:t>אך הוא</w:t>
      </w:r>
      <w:r w:rsidRPr="00D87433">
        <w:rPr>
          <w:rFonts w:hint="cs"/>
          <w:rtl/>
        </w:rPr>
        <w:t xml:space="preserve"> עלול </w:t>
      </w:r>
      <w:r w:rsidRPr="00D87433">
        <w:rPr>
          <w:rFonts w:hint="eastAsia"/>
          <w:rtl/>
        </w:rPr>
        <w:t>להשפיע</w:t>
      </w:r>
      <w:r w:rsidRPr="00D87433">
        <w:rPr>
          <w:rtl/>
        </w:rPr>
        <w:t xml:space="preserve"> </w:t>
      </w:r>
      <w:r w:rsidRPr="00D87433">
        <w:rPr>
          <w:rFonts w:hint="eastAsia"/>
          <w:rtl/>
        </w:rPr>
        <w:t>על</w:t>
      </w:r>
      <w:r w:rsidRPr="00D87433">
        <w:rPr>
          <w:rtl/>
        </w:rPr>
        <w:t xml:space="preserve"> </w:t>
      </w:r>
      <w:r w:rsidRPr="00D87433">
        <w:rPr>
          <w:rFonts w:hint="eastAsia"/>
          <w:rtl/>
        </w:rPr>
        <w:t>ציבור</w:t>
      </w:r>
      <w:r w:rsidRPr="00D87433">
        <w:rPr>
          <w:rtl/>
        </w:rPr>
        <w:t xml:space="preserve"> </w:t>
      </w:r>
      <w:r w:rsidRPr="00D87433">
        <w:rPr>
          <w:rFonts w:hint="cs"/>
          <w:rtl/>
        </w:rPr>
        <w:t xml:space="preserve">המשקיעים ולהוביל לגידול בהיקפי הביקוש לפידיון. </w:t>
      </w:r>
      <w:r>
        <w:rPr>
          <w:rFonts w:hint="cs"/>
          <w:rtl/>
        </w:rPr>
        <w:t>התבטאות זו ממחישה את הסיכונים הטמונים בקרנות הנאמנות לצד התמורות הרבות להן, בייחוד בעיתות משבר.</w:t>
      </w:r>
      <w:r>
        <w:rPr>
          <w:rFonts w:hint="cs"/>
          <w:highlight w:val="cyan"/>
          <w:rtl/>
        </w:rPr>
        <w:t xml:space="preserve"> </w:t>
      </w:r>
    </w:p>
    <w:p w:rsidR="000F413C" w:rsidP="00982BC1" w14:paraId="0E067849" w14:textId="784E9D35">
      <w:pPr>
        <w:pStyle w:val="a"/>
        <w:spacing w:line="269" w:lineRule="auto"/>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385A39" w:rsidP="00982BC1" w14:paraId="294145F6" w14:textId="77777777">
      <w:pPr>
        <w:spacing w:line="269" w:lineRule="auto"/>
      </w:pPr>
      <w:r>
        <w:rPr>
          <w:rFonts w:hint="cs"/>
          <w:b/>
          <w:bCs/>
          <w:rtl/>
        </w:rPr>
        <w:t xml:space="preserve">משרד מבקר המדינה ממליץ לרשות ני"ע לבחון, במסגרת ארגז הכלים העומד לרשותה, הסדרה של אופן ההיערכות לעיתות משבר של מנהלי קרנות הנאמנות כדי לצמצם את סיכוני הנזילות הטמונים בכלי זה בעתיד. </w:t>
      </w:r>
    </w:p>
    <w:p w:rsidR="000F413C" w:rsidP="00982BC1" w14:paraId="4825C61C" w14:textId="075EA8AA">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C2DEE8B" w14:textId="77777777">
      <w:pPr>
        <w:spacing w:line="269" w:lineRule="auto"/>
        <w:rPr>
          <w:rtl/>
        </w:rPr>
      </w:pPr>
      <w:r>
        <w:rPr>
          <w:rFonts w:hint="cs"/>
          <w:rtl/>
        </w:rPr>
        <w:t xml:space="preserve">תחום ניירות הערך מתאפיין בדינמיות רבה שמקורה בהתפתחויות המתרחשות באופן תדיר בשוק ההון. משכך, עולה הצורך בהתאמה מהירה של האסדרה (רגולציה) בתחום כדי לאפשר פיקוח אפקטיבי, פיתוח שוק והסרת דרישות עודפות. מרבית דיני ניירות ערך נקבעים בהליכי חקיקה </w:t>
      </w:r>
      <w:r>
        <w:rPr>
          <w:rFonts w:hint="cs"/>
          <w:rtl/>
        </w:rPr>
        <w:t>ראשית וחקיקת משנה. כאשר יש צורך בשינוי של הוראות מקצועיות בנושאי כללי השקעה, מגבלות פיזור ושיערוך, בייחוד בעיתות משבר, קשה לעשות זאת בגלל הצורך בתיקוני</w:t>
      </w:r>
      <w:r w:rsidRPr="00C94D93">
        <w:rPr>
          <w:rtl/>
        </w:rPr>
        <w:t xml:space="preserve"> חקיקה.</w:t>
      </w:r>
    </w:p>
    <w:p w:rsidR="000F413C" w:rsidP="00982BC1" w14:paraId="39254A8D" w14:textId="477BA78F">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6A9C708" w14:textId="77777777">
      <w:pPr>
        <w:spacing w:line="269" w:lineRule="auto"/>
        <w:rPr>
          <w:rtl/>
        </w:rPr>
      </w:pPr>
      <w:r>
        <w:rPr>
          <w:rFonts w:hint="cs"/>
          <w:rtl/>
        </w:rPr>
        <w:t xml:space="preserve">הסמכות לקבוע הוראות בתקנות בעניינים אלה מוקנית לשר האוצר, ולצידה סמכות מוגבלת לרשות ני"ע לקבוע הוראות זמניות, ולכן חולף זמן רב ממועד הצורך בביצוע ההתאמות בתקנות למועד יישומן בפועל. הצורך בגמישות בנושא כללי ההשקעה עלה ביתר שאת בתקופת המשבר, שבה נתקלו קרנות הנאמנות בקשיים רבים לעמוד בכללי ההשקעה ברקע התנודתיות בשווקים. </w:t>
      </w:r>
    </w:p>
    <w:p w:rsidR="000F413C" w:rsidP="00982BC1" w14:paraId="1A456682" w14:textId="48B0FB22">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737A5294" w14:textId="77777777">
      <w:pPr>
        <w:spacing w:line="269" w:lineRule="auto"/>
        <w:rPr>
          <w:rtl/>
        </w:rPr>
      </w:pPr>
      <w:r>
        <w:rPr>
          <w:rFonts w:hint="cs"/>
          <w:rtl/>
        </w:rPr>
        <w:t xml:space="preserve">במהלך הביקורת קידמה הרשות תזכיר חוק ייעול האסדרה בניירות ערך (תיקוני חקיקה), התש"ף-2020, שנועד להרחיב את הסמכויות הקיימות של הרשות ולאפשר לה לקבוע הוראות בנושאים </w:t>
      </w:r>
      <w:r w:rsidRPr="00700BEE">
        <w:rPr>
          <w:rFonts w:hint="cs"/>
          <w:rtl/>
        </w:rPr>
        <w:t>מסוימים באופן עצמאי ומהיר, שאסדרתם במצב החוקי</w:t>
      </w:r>
      <w:r>
        <w:rPr>
          <w:rFonts w:hint="cs"/>
          <w:rtl/>
        </w:rPr>
        <w:t xml:space="preserve"> הקיים מחייבת הליכי חקיקה ראשית וחקיקת משנה שאורכים זמן רב. בדברי ההסבר לתזכיר החוק צוין כי השינוי המבוקש בסמכויות הרשות נועד לטפל במספר נושאים ספציפיים אשר הרשות מצאה כי בעת הזו נדרשות לגביהם גמישות רבה בניסוח ההוראות והתאמתן למצב השוק: הסמכת הרשות לתת הוראות לגבי מגבלות השקעה, פיזור נכסים ושערוך מחירים בקרנות נאמנות; קביעת הוראות בנוגע להון עצמי וביטוח של בעלי רישיון ניהול תיקים, ייעוץ השקעות ושיווק השקעות והוראות בנוגע לדיווחיהם; קביעת כללי גילוי מיוחדים לתאגידים מדוּוחים; שינוי </w:t>
      </w:r>
      <w:r w:rsidRPr="00E57189">
        <w:rPr>
          <w:rFonts w:hint="cs"/>
          <w:rtl/>
        </w:rPr>
        <w:t>רמות המינוף המותרות בזירות הסוחר לחשבונו העצמי.</w:t>
      </w:r>
      <w:r>
        <w:rPr>
          <w:rFonts w:hint="cs"/>
          <w:rtl/>
        </w:rPr>
        <w:t xml:space="preserve"> תזכיר הצעת החוק פורסם באתר משרד המשפטים במרשתת למתן הערות הציבור עד יום </w:t>
      </w:r>
      <w:r w:rsidRPr="00CB7FBB">
        <w:rPr>
          <w:rtl/>
        </w:rPr>
        <w:t>23.7.20</w:t>
      </w:r>
      <w:r w:rsidRPr="00CB7FBB">
        <w:rPr>
          <w:rFonts w:hint="cs"/>
          <w:rtl/>
        </w:rPr>
        <w:t>.</w:t>
      </w:r>
      <w:r w:rsidRPr="00E57189">
        <w:rPr>
          <w:rFonts w:hint="cs"/>
          <w:rtl/>
        </w:rPr>
        <w:t xml:space="preserve"> נכון למועד סיום הביקורת </w:t>
      </w:r>
      <w:r>
        <w:rPr>
          <w:rFonts w:hint="cs"/>
          <w:rtl/>
        </w:rPr>
        <w:t>לא קודם ההליך</w:t>
      </w:r>
      <w:r w:rsidRPr="00E57189">
        <w:rPr>
          <w:rFonts w:hint="cs"/>
          <w:rtl/>
        </w:rPr>
        <w:t xml:space="preserve"> </w:t>
      </w:r>
      <w:r>
        <w:rPr>
          <w:rFonts w:hint="cs"/>
          <w:rtl/>
        </w:rPr>
        <w:t>מעבר לכך</w:t>
      </w:r>
      <w:r w:rsidRPr="00E57189">
        <w:rPr>
          <w:rFonts w:hint="cs"/>
          <w:rtl/>
        </w:rPr>
        <w:t>.</w:t>
      </w:r>
    </w:p>
    <w:p w:rsidR="000F413C" w:rsidP="00982BC1" w14:paraId="36BEF14D" w14:textId="100741D1">
      <w:pPr>
        <w:pStyle w:val="a"/>
        <w:spacing w:line="269" w:lineRule="auto"/>
        <w:rPr>
          <w:rtl/>
        </w:rPr>
      </w:pPr>
      <w:r w:rsidRPr="008E4374">
        <w:rPr>
          <w:rtl/>
        </w:rPr>
        <w:fldChar w:fldCharType="begin"/>
      </w:r>
      <w:r w:rsidRPr="008E4374">
        <w:rPr>
          <w:rtl/>
        </w:rPr>
        <w:instrText xml:space="preserve"> </w:instrText>
      </w:r>
      <w:r w:rsidRPr="008E4374">
        <w:instrText>AUTONUMLGL \e  \* MERGEFORMAT</w:instrText>
      </w:r>
      <w:r w:rsidRPr="008E4374">
        <w:rPr>
          <w:rtl/>
        </w:rPr>
        <w:instrText xml:space="preserve"> </w:instrText>
      </w:r>
      <w:r w:rsidRPr="008E4374">
        <w:rPr>
          <w:rtl/>
        </w:rPr>
        <w:fldChar w:fldCharType="end"/>
      </w:r>
    </w:p>
    <w:p w:rsidR="000F413C" w:rsidP="00982BC1" w14:paraId="563BE26D" w14:textId="77777777">
      <w:pPr>
        <w:spacing w:line="269" w:lineRule="auto"/>
        <w:rPr>
          <w:b/>
          <w:bCs/>
          <w:rtl/>
        </w:rPr>
      </w:pPr>
      <w:r>
        <w:rPr>
          <w:rFonts w:hint="cs"/>
          <w:b/>
          <w:bCs/>
          <w:rtl/>
        </w:rPr>
        <w:t>עלה כי לרשות ני"ע אין גמישות מספקת בעיתות משבר למתן תגובה מהירה ומתבקשת ההולמת לתנודות בשווקים שתאפשר פיקוח יעיל ומועיל.</w:t>
      </w:r>
    </w:p>
    <w:p w:rsidR="000F413C" w:rsidP="00982BC1" w14:paraId="526A4610" w14:textId="54FDB6A5">
      <w:pPr>
        <w:pStyle w:val="a"/>
        <w:spacing w:line="269" w:lineRule="auto"/>
        <w:rPr>
          <w:rtl/>
        </w:rPr>
      </w:pPr>
      <w:r w:rsidRPr="008E4374">
        <w:rPr>
          <w:rtl/>
        </w:rPr>
        <w:fldChar w:fldCharType="begin"/>
      </w:r>
      <w:r w:rsidRPr="008E4374">
        <w:rPr>
          <w:rtl/>
        </w:rPr>
        <w:instrText xml:space="preserve"> </w:instrText>
      </w:r>
      <w:r w:rsidRPr="008E4374">
        <w:instrText>AUTONUMLGL \e  \* MERGEFORMAT</w:instrText>
      </w:r>
      <w:r w:rsidRPr="008E4374">
        <w:rPr>
          <w:rtl/>
        </w:rPr>
        <w:instrText xml:space="preserve"> </w:instrText>
      </w:r>
      <w:r w:rsidRPr="008E4374">
        <w:rPr>
          <w:rtl/>
        </w:rPr>
        <w:fldChar w:fldCharType="end"/>
      </w:r>
    </w:p>
    <w:p w:rsidR="000F413C" w:rsidP="00982BC1" w14:paraId="520EC52E" w14:textId="47C642A8">
      <w:pPr>
        <w:spacing w:line="269" w:lineRule="auto"/>
        <w:rPr>
          <w:rtl/>
        </w:rPr>
      </w:pPr>
      <w:r w:rsidRPr="00CB7FBB">
        <w:rPr>
          <w:rFonts w:hint="cs"/>
          <w:b/>
          <w:bCs/>
          <w:rtl/>
        </w:rPr>
        <w:t>מומלץ כי הרשות בשיתוף משרד המשפטים ישלימו את האסדרה</w:t>
      </w:r>
      <w:r>
        <w:rPr>
          <w:rFonts w:hint="cs"/>
          <w:b/>
          <w:bCs/>
          <w:rtl/>
        </w:rPr>
        <w:t xml:space="preserve"> </w:t>
      </w:r>
      <w:r w:rsidRPr="00CB7FBB">
        <w:rPr>
          <w:rFonts w:hint="cs"/>
          <w:b/>
          <w:bCs/>
          <w:rtl/>
        </w:rPr>
        <w:t xml:space="preserve">לצורך הגברת </w:t>
      </w:r>
      <w:r w:rsidRPr="00CB7FBB">
        <w:rPr>
          <w:rFonts w:hint="eastAsia"/>
          <w:b/>
          <w:bCs/>
          <w:rtl/>
        </w:rPr>
        <w:t>גמישות</w:t>
      </w:r>
      <w:r w:rsidRPr="00CB7FBB">
        <w:rPr>
          <w:b/>
          <w:bCs/>
          <w:rtl/>
        </w:rPr>
        <w:t xml:space="preserve"> </w:t>
      </w:r>
      <w:r w:rsidRPr="00CB7FBB">
        <w:rPr>
          <w:rFonts w:hint="eastAsia"/>
          <w:b/>
          <w:bCs/>
          <w:rtl/>
        </w:rPr>
        <w:t>הרשות</w:t>
      </w:r>
      <w:r w:rsidRPr="00CB7FBB">
        <w:rPr>
          <w:b/>
          <w:bCs/>
          <w:rtl/>
        </w:rPr>
        <w:t xml:space="preserve"> </w:t>
      </w:r>
      <w:r w:rsidRPr="00CB7FBB">
        <w:rPr>
          <w:rFonts w:hint="eastAsia"/>
          <w:b/>
          <w:bCs/>
          <w:rtl/>
        </w:rPr>
        <w:t>ב</w:t>
      </w:r>
      <w:r w:rsidRPr="00CB7FBB">
        <w:rPr>
          <w:rFonts w:hint="cs"/>
          <w:b/>
          <w:bCs/>
          <w:rtl/>
        </w:rPr>
        <w:t xml:space="preserve">ניסוח </w:t>
      </w:r>
      <w:r w:rsidRPr="00CB7FBB">
        <w:rPr>
          <w:rFonts w:hint="eastAsia"/>
          <w:b/>
          <w:bCs/>
          <w:rtl/>
        </w:rPr>
        <w:t>ההוראות</w:t>
      </w:r>
      <w:r w:rsidRPr="009A2B84">
        <w:rPr>
          <w:b/>
          <w:bCs/>
          <w:rtl/>
        </w:rPr>
        <w:t xml:space="preserve"> </w:t>
      </w:r>
      <w:r w:rsidRPr="009A2B84">
        <w:rPr>
          <w:rFonts w:hint="eastAsia"/>
          <w:b/>
          <w:bCs/>
          <w:rtl/>
        </w:rPr>
        <w:t>והתאמתן</w:t>
      </w:r>
      <w:r w:rsidRPr="009A2B84">
        <w:rPr>
          <w:b/>
          <w:bCs/>
          <w:rtl/>
        </w:rPr>
        <w:t xml:space="preserve"> </w:t>
      </w:r>
      <w:r w:rsidRPr="009A2B84">
        <w:rPr>
          <w:rFonts w:hint="eastAsia"/>
          <w:b/>
          <w:bCs/>
          <w:rtl/>
        </w:rPr>
        <w:t>למצב</w:t>
      </w:r>
      <w:r w:rsidRPr="009A2B84">
        <w:rPr>
          <w:b/>
          <w:bCs/>
          <w:rtl/>
        </w:rPr>
        <w:t xml:space="preserve"> </w:t>
      </w:r>
      <w:r w:rsidRPr="009A2B84">
        <w:rPr>
          <w:rFonts w:hint="eastAsia"/>
          <w:b/>
          <w:bCs/>
          <w:rtl/>
        </w:rPr>
        <w:t>השוק</w:t>
      </w:r>
      <w:r>
        <w:rPr>
          <w:rFonts w:hint="cs"/>
          <w:b/>
          <w:bCs/>
          <w:rtl/>
        </w:rPr>
        <w:t>.</w:t>
      </w:r>
    </w:p>
    <w:p w:rsidR="00E065A2" w:rsidP="00982BC1" w14:paraId="1BF814BB" w14:textId="77777777">
      <w:pPr>
        <w:spacing w:line="269" w:lineRule="auto"/>
        <w:rPr>
          <w:rtl/>
        </w:rPr>
      </w:pPr>
    </w:p>
    <w:p w:rsidR="000F413C" w:rsidP="00982BC1" w14:paraId="1BAF48BC" w14:textId="77777777">
      <w:pPr>
        <w:pStyle w:val="Heading4"/>
        <w:spacing w:before="0" w:line="269" w:lineRule="auto"/>
        <w:rPr>
          <w:rtl/>
        </w:rPr>
      </w:pPr>
      <w:r>
        <w:rPr>
          <w:rFonts w:hint="cs"/>
          <w:rtl/>
        </w:rPr>
        <w:t>פעולות הרגולטורים להבטחת יציבות המערכת הפיננסית</w:t>
      </w:r>
    </w:p>
    <w:p w:rsidR="000F413C" w:rsidP="00982BC1" w14:paraId="2E8611AA" w14:textId="5536AE4A">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8607787" w14:textId="77777777">
      <w:pPr>
        <w:spacing w:line="269" w:lineRule="auto"/>
        <w:rPr>
          <w:rtl/>
        </w:rPr>
      </w:pPr>
      <w:r>
        <w:rPr>
          <w:rFonts w:hint="cs"/>
          <w:rtl/>
        </w:rPr>
        <w:t>כאמור, השלכות המשבר הכלכלי התבטאו בתנודות חדות בשווקים הפיננסיים ובירידה חדה בהיקף הפעילות הכלכלית. אלה ניכרו בפעילותם של כל הפעילים בשווקים הפיננסיים, ופגעו ברווחיהם. לפיכך נדרשו הרגולטורים למצוא דרך לשלב בין הידוק המעקב בדבר בחינת יציבותה וחוסנה של המערכת הפיננסית ובין הרחבת הסיוע ומתן הקלות לתמיכה במשק ולהבטחת איתנותו במהלך המשבר.</w:t>
      </w:r>
    </w:p>
    <w:p w:rsidR="000F413C" w:rsidP="00982BC1" w14:paraId="57D66EE7" w14:textId="70EBDEBE">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0F413C" w:rsidP="00982BC1" w14:paraId="58696D3B" w14:textId="0D421B7D">
      <w:pPr>
        <w:spacing w:line="269" w:lineRule="auto"/>
        <w:rPr>
          <w:rtl/>
        </w:rPr>
      </w:pPr>
      <w:r>
        <w:rPr>
          <w:rtl/>
        </w:rPr>
        <w:t>הוועדה ליציבות פיננסית הוקמה מכוח סעיף 57</w:t>
      </w:r>
      <w:r>
        <w:rPr>
          <w:rFonts w:hint="cs"/>
          <w:rtl/>
        </w:rPr>
        <w:t>ב</w:t>
      </w:r>
      <w:r>
        <w:rPr>
          <w:rtl/>
        </w:rPr>
        <w:t xml:space="preserve"> </w:t>
      </w:r>
      <w:r>
        <w:rPr>
          <w:rFonts w:hint="cs"/>
          <w:rtl/>
        </w:rPr>
        <w:t>ל</w:t>
      </w:r>
      <w:r>
        <w:rPr>
          <w:rtl/>
        </w:rPr>
        <w:t xml:space="preserve">חוק בנק ישראל, התש"ע- </w:t>
      </w:r>
      <w:r>
        <w:rPr>
          <w:rFonts w:hint="cs"/>
          <w:rtl/>
        </w:rPr>
        <w:t xml:space="preserve">2010, </w:t>
      </w:r>
      <w:r>
        <w:rPr>
          <w:rtl/>
        </w:rPr>
        <w:t>ומטרותיה לתמוך ביציבות המערכת הפיננסית ובפעילותה הסדירה, תוך</w:t>
      </w:r>
      <w:r>
        <w:rPr>
          <w:rFonts w:hint="cs"/>
          <w:rtl/>
        </w:rPr>
        <w:t xml:space="preserve"> כדי</w:t>
      </w:r>
      <w:r>
        <w:rPr>
          <w:rtl/>
        </w:rPr>
        <w:t xml:space="preserve"> תיאום</w:t>
      </w:r>
      <w:r>
        <w:rPr>
          <w:rFonts w:hint="cs"/>
          <w:rtl/>
        </w:rPr>
        <w:t xml:space="preserve"> ושיתוף פעולה</w:t>
      </w:r>
      <w:r>
        <w:rPr>
          <w:rtl/>
        </w:rPr>
        <w:t xml:space="preserve"> בין רשויות הפיקוח הפיננסיות וכן בינן ובין בנק ישראל ומשרד האוצר</w:t>
      </w:r>
      <w:r>
        <w:t>.</w:t>
      </w:r>
      <w:r>
        <w:rPr>
          <w:rFonts w:hint="cs"/>
          <w:rtl/>
        </w:rPr>
        <w:t xml:space="preserve"> חברי הוועדה כוללים רגולטורים פיננסיים לצד מתווי המדיניות המוניטרית והפיסקלית. במהלך המשבר התכנסה הוועדה כמה פעמים כדי ליצור תיאום ושיח משתף</w:t>
      </w:r>
      <w:r w:rsidR="005537CA">
        <w:rPr>
          <w:rFonts w:hint="cs"/>
          <w:rtl/>
        </w:rPr>
        <w:t xml:space="preserve"> </w:t>
      </w:r>
      <w:r>
        <w:rPr>
          <w:rFonts w:hint="cs"/>
          <w:rtl/>
        </w:rPr>
        <w:t>בין עבודת הגופים הציבוריים האמונים על התחום הכלכלי ועל יציבות המשק. כל אחד מהרגולטורים פעל בתחומו כדי להבטיח את יציבותה וחוסנה של המערכת.</w:t>
      </w:r>
    </w:p>
    <w:p w:rsidR="00E065A2" w:rsidP="00982BC1" w14:paraId="3C253E30" w14:textId="77777777">
      <w:pPr>
        <w:spacing w:line="269" w:lineRule="auto"/>
        <w:rPr>
          <w:rtl/>
        </w:rPr>
      </w:pPr>
    </w:p>
    <w:p w:rsidR="000F413C" w:rsidP="00982BC1" w14:paraId="5F905E0D" w14:textId="77777777">
      <w:pPr>
        <w:pStyle w:val="Heading5"/>
        <w:spacing w:line="269" w:lineRule="auto"/>
        <w:rPr>
          <w:rtl/>
        </w:rPr>
      </w:pPr>
      <w:r>
        <w:rPr>
          <w:rFonts w:hint="cs"/>
          <w:rtl/>
        </w:rPr>
        <w:t>פעולות הפיקוח על הבנקים</w:t>
      </w:r>
    </w:p>
    <w:p w:rsidR="000F413C" w:rsidP="00982BC1" w14:paraId="40750EF6" w14:textId="779BA20B">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5CBBEF8" w14:textId="77777777">
      <w:pPr>
        <w:spacing w:line="269" w:lineRule="auto"/>
        <w:rPr>
          <w:rtl/>
        </w:rPr>
      </w:pPr>
      <w:r>
        <w:rPr>
          <w:rFonts w:hint="cs"/>
          <w:rtl/>
        </w:rPr>
        <w:t>מסקירה חצי-שנתית שפרסם הפיקוח על הבנקים ביום בנובמבר 2020 עולה כי המשבר פגע במידה רבה ברווח הנקי של חמש הקבוצות הבנקאיות בהשוואה לתקופה המקבילה אשתקד (כ-62%)</w:t>
      </w:r>
      <w:r>
        <w:rPr>
          <w:rStyle w:val="FootnoteReference"/>
          <w:rtl/>
        </w:rPr>
        <w:footnoteReference w:id="92"/>
      </w:r>
      <w:r>
        <w:rPr>
          <w:rFonts w:hint="cs"/>
          <w:rtl/>
        </w:rPr>
        <w:t xml:space="preserve">. הירידה ברווח הנקי מיוחסת לגידול ניכר בהוצאה להפסדי אשראי (כ-375%), לירידה בהכנסות </w:t>
      </w:r>
      <w:r>
        <w:rPr>
          <w:rFonts w:hint="cs"/>
          <w:rtl/>
        </w:rPr>
        <w:t>ריבית נטו (כ-5.3%) ולירידה בהכנסות המימון שאינן מריבית</w:t>
      </w:r>
      <w:r>
        <w:rPr>
          <w:rStyle w:val="FootnoteReference"/>
          <w:rtl/>
        </w:rPr>
        <w:footnoteReference w:id="93"/>
      </w:r>
      <w:r>
        <w:rPr>
          <w:rFonts w:hint="cs"/>
          <w:rtl/>
        </w:rPr>
        <w:t xml:space="preserve"> (כ-26%). הגידול בהוצאה להפסדי אשראי ניכר בכל הקבוצות הבנקאיות והתבטא בהוצאות להפסדי אשראי קבוצתיות ופרטניות כאחד, כביטוי לפגיעה</w:t>
      </w:r>
      <w:r w:rsidRPr="004A628E">
        <w:rPr>
          <w:rtl/>
        </w:rPr>
        <w:t xml:space="preserve"> </w:t>
      </w:r>
      <w:r w:rsidRPr="004A628E">
        <w:rPr>
          <w:rFonts w:hint="eastAsia"/>
          <w:rtl/>
        </w:rPr>
        <w:t>ביכולת</w:t>
      </w:r>
      <w:r>
        <w:rPr>
          <w:rFonts w:hint="cs"/>
          <w:rtl/>
        </w:rPr>
        <w:t xml:space="preserve"> ההחזר של לווים במגזרי הפעילות השונים, כפי שניתן לראות בתרשים 43 להלן.</w:t>
      </w:r>
    </w:p>
    <w:p w:rsidR="000F413C" w:rsidP="00982BC1" w14:paraId="546A147F" w14:textId="284A55CF">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B74020" w:rsidP="00982BC1" w14:paraId="04A13544" w14:textId="77777777">
      <w:pPr>
        <w:spacing w:line="269" w:lineRule="auto"/>
        <w:jc w:val="center"/>
        <w:rPr>
          <w:b/>
          <w:bCs/>
          <w:lang w:val="en-GB"/>
        </w:rPr>
      </w:pPr>
      <w:r w:rsidRPr="00B74020">
        <w:rPr>
          <w:rFonts w:hint="eastAsia"/>
          <w:b/>
          <w:bCs/>
          <w:rtl/>
        </w:rPr>
        <w:t>תרשים</w:t>
      </w:r>
      <w:r w:rsidRPr="00B74020">
        <w:rPr>
          <w:b/>
          <w:bCs/>
          <w:rtl/>
        </w:rPr>
        <w:t xml:space="preserve"> </w:t>
      </w:r>
      <w:r>
        <w:rPr>
          <w:rFonts w:hint="cs"/>
          <w:b/>
          <w:bCs/>
          <w:rtl/>
        </w:rPr>
        <w:t>43</w:t>
      </w:r>
      <w:r w:rsidRPr="00B74020">
        <w:rPr>
          <w:b/>
          <w:bCs/>
          <w:rtl/>
        </w:rPr>
        <w:t xml:space="preserve">: הוצאה להפסדי אשראי ביתרה לסוף </w:t>
      </w:r>
      <w:r w:rsidRPr="00952FB2">
        <w:rPr>
          <w:rFonts w:hint="cs"/>
          <w:b/>
          <w:bCs/>
          <w:rtl/>
        </w:rPr>
        <w:t>תקופת</w:t>
      </w:r>
      <w:r w:rsidRPr="00B74020">
        <w:rPr>
          <w:b/>
          <w:bCs/>
          <w:rtl/>
        </w:rPr>
        <w:t xml:space="preserve"> האשראי במגזרי פעילות שונים, חמש הקבוצות הבנקאיות הגדולות, דצמבר 2018 </w:t>
      </w:r>
      <w:r w:rsidRPr="00952FB2">
        <w:rPr>
          <w:rFonts w:hint="cs"/>
          <w:b/>
          <w:bCs/>
          <w:rtl/>
        </w:rPr>
        <w:t>-</w:t>
      </w:r>
      <w:r w:rsidRPr="00B74020">
        <w:rPr>
          <w:b/>
          <w:bCs/>
          <w:rtl/>
        </w:rPr>
        <w:t xml:space="preserve"> יוני 2020</w:t>
      </w:r>
      <w:r w:rsidRPr="00952FB2">
        <w:rPr>
          <w:rFonts w:hint="cs"/>
          <w:b/>
          <w:bCs/>
          <w:rtl/>
        </w:rPr>
        <w:t xml:space="preserve"> (באחוזים)</w:t>
      </w:r>
    </w:p>
    <w:p w:rsidR="000F413C" w:rsidP="00982BC1" w14:paraId="37851F1C" w14:textId="77777777">
      <w:pPr>
        <w:spacing w:line="269" w:lineRule="auto"/>
        <w:jc w:val="center"/>
        <w:rPr>
          <w:rtl/>
        </w:rPr>
      </w:pPr>
      <w:r>
        <w:rPr>
          <w:noProof/>
        </w:rPr>
        <w:drawing>
          <wp:inline distT="0" distB="0" distL="0" distR="0">
            <wp:extent cx="4999355" cy="2618740"/>
            <wp:effectExtent l="0" t="0" r="0" b="0"/>
            <wp:docPr id="503410412" name="תמונה 50341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07433" name="תמונה 4"/>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9355" cy="2618740"/>
                    </a:xfrm>
                    <a:prstGeom prst="rect">
                      <a:avLst/>
                    </a:prstGeom>
                    <a:noFill/>
                    <a:ln>
                      <a:noFill/>
                    </a:ln>
                  </pic:spPr>
                </pic:pic>
              </a:graphicData>
            </a:graphic>
          </wp:inline>
        </w:drawing>
      </w:r>
    </w:p>
    <w:p w:rsidR="000F413C" w:rsidRPr="00E065A2" w:rsidP="00982BC1" w14:paraId="090751DD" w14:textId="77777777">
      <w:pPr>
        <w:spacing w:line="269" w:lineRule="auto"/>
        <w:rPr>
          <w:sz w:val="18"/>
          <w:szCs w:val="22"/>
          <w:rtl/>
        </w:rPr>
      </w:pPr>
      <w:r w:rsidRPr="00E065A2">
        <w:rPr>
          <w:rFonts w:hint="cs"/>
          <w:sz w:val="18"/>
          <w:szCs w:val="22"/>
          <w:rtl/>
        </w:rPr>
        <w:t>המקור: הפיקוח על הבנקים.</w:t>
      </w:r>
    </w:p>
    <w:p w:rsidR="000F413C" w:rsidP="00982BC1" w14:paraId="78DC32D8" w14:textId="130BC2B3">
      <w:pPr>
        <w:pStyle w:val="a"/>
        <w:spacing w:line="269" w:lineRule="auto"/>
        <w:rPr>
          <w:rFonts w:hint="cs"/>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RPr="003D775C" w:rsidP="00982BC1" w14:paraId="32978513" w14:textId="77777777">
      <w:pPr>
        <w:spacing w:line="269" w:lineRule="auto"/>
        <w:rPr>
          <w:b/>
          <w:bCs/>
          <w:rtl/>
        </w:rPr>
      </w:pPr>
      <w:r>
        <w:rPr>
          <w:rFonts w:hint="cs"/>
          <w:rtl/>
        </w:rPr>
        <w:t xml:space="preserve">כאמור, בתגובה לזעזועים בשווקים קרא הפיקוח על הבנקים למערכת הבנקאית לשחוק את כריות ההון, ובהמשך הפחית את הדרישות הרגולטוריות העודפות, שדרש במהלך השנים, כדי להבטיח שהמערכת הבנקאית תוכל להעמיד אשראי לציבור ולתמוך בפעילות המשק, למרות הפגיעה הצפויה בהפסדי האשראי. מתרשים 44 להלן עולה כי המערכת הבנקאית נעתרה לבקשת הפיקוח על הבנקים. </w:t>
      </w:r>
    </w:p>
    <w:p w:rsidR="00F27D12" w14:paraId="50400683" w14:textId="77777777">
      <w:pPr>
        <w:bidi w:val="0"/>
        <w:spacing w:after="200" w:line="276" w:lineRule="auto"/>
        <w:rPr>
          <w:szCs w:val="20"/>
          <w:rtl/>
        </w:rPr>
      </w:pPr>
      <w:r>
        <w:rPr>
          <w:rtl/>
        </w:rPr>
        <w:br w:type="page"/>
      </w:r>
    </w:p>
    <w:p w:rsidR="00B74020" w:rsidRPr="00E42200" w:rsidP="00982BC1" w14:paraId="6C37599D" w14:textId="5C8AB49E">
      <w:pPr>
        <w:pStyle w:val="a"/>
        <w:spacing w:line="269" w:lineRule="auto"/>
        <w:rPr>
          <w:rFonts w:hint="cs"/>
          <w:rtl/>
        </w:rPr>
      </w:pPr>
      <w:r w:rsidRPr="003D775C">
        <w:rPr>
          <w:rFonts w:hint="cs"/>
          <w:rtl/>
        </w:rPr>
        <w:fldChar w:fldCharType="begin"/>
      </w:r>
      <w:r w:rsidRPr="003D775C">
        <w:rPr>
          <w:rtl/>
        </w:rPr>
        <w:instrText xml:space="preserve"> </w:instrText>
      </w:r>
      <w:r w:rsidRPr="003D775C">
        <w:instrText>AUTONUMLGL \e  \* MERGEFORMAT</w:instrText>
      </w:r>
      <w:r w:rsidRPr="003D775C">
        <w:rPr>
          <w:rtl/>
        </w:rPr>
        <w:instrText xml:space="preserve"> </w:instrText>
      </w:r>
      <w:r w:rsidRPr="003D775C">
        <w:rPr>
          <w:rFonts w:hint="cs"/>
          <w:rtl/>
        </w:rPr>
        <w:fldChar w:fldCharType="end"/>
      </w:r>
    </w:p>
    <w:p w:rsidR="000F413C" w:rsidRPr="00B74020" w:rsidP="00982BC1" w14:paraId="2275DA4B" w14:textId="77777777">
      <w:pPr>
        <w:spacing w:line="269" w:lineRule="auto"/>
        <w:jc w:val="center"/>
        <w:rPr>
          <w:b/>
          <w:bCs/>
          <w:rtl/>
        </w:rPr>
      </w:pPr>
      <w:r w:rsidRPr="00B74020">
        <w:rPr>
          <w:rFonts w:hint="eastAsia"/>
          <w:b/>
          <w:bCs/>
          <w:rtl/>
        </w:rPr>
        <w:t>תרשים</w:t>
      </w:r>
      <w:r w:rsidRPr="00B74020">
        <w:rPr>
          <w:b/>
          <w:bCs/>
          <w:rtl/>
        </w:rPr>
        <w:t xml:space="preserve"> </w:t>
      </w:r>
      <w:r>
        <w:rPr>
          <w:rFonts w:hint="cs"/>
          <w:b/>
          <w:bCs/>
          <w:rtl/>
        </w:rPr>
        <w:t>44</w:t>
      </w:r>
      <w:r w:rsidRPr="00B74020">
        <w:rPr>
          <w:b/>
          <w:bCs/>
          <w:rtl/>
        </w:rPr>
        <w:t xml:space="preserve">: </w:t>
      </w:r>
      <w:r w:rsidRPr="00B74020">
        <w:rPr>
          <w:rFonts w:hint="eastAsia"/>
          <w:b/>
          <w:bCs/>
          <w:rtl/>
        </w:rPr>
        <w:t>יחס</w:t>
      </w:r>
      <w:r w:rsidRPr="00B74020">
        <w:rPr>
          <w:b/>
          <w:bCs/>
          <w:rtl/>
        </w:rPr>
        <w:t xml:space="preserve"> </w:t>
      </w:r>
      <w:r w:rsidRPr="00B74020">
        <w:rPr>
          <w:rFonts w:hint="eastAsia"/>
          <w:b/>
          <w:bCs/>
          <w:rtl/>
        </w:rPr>
        <w:t>הון</w:t>
      </w:r>
      <w:r w:rsidRPr="00B74020">
        <w:rPr>
          <w:b/>
          <w:bCs/>
          <w:rtl/>
        </w:rPr>
        <w:t xml:space="preserve"> </w:t>
      </w:r>
      <w:r w:rsidRPr="00B74020">
        <w:rPr>
          <w:rFonts w:hint="eastAsia"/>
          <w:b/>
          <w:bCs/>
          <w:rtl/>
        </w:rPr>
        <w:t>רובד</w:t>
      </w:r>
      <w:r w:rsidRPr="00B74020">
        <w:rPr>
          <w:b/>
          <w:bCs/>
          <w:rtl/>
        </w:rPr>
        <w:t xml:space="preserve"> 1 </w:t>
      </w:r>
      <w:r w:rsidRPr="00B74020">
        <w:rPr>
          <w:rFonts w:hint="eastAsia"/>
          <w:b/>
          <w:bCs/>
          <w:rtl/>
        </w:rPr>
        <w:t>ושיעור</w:t>
      </w:r>
      <w:r w:rsidRPr="00B74020">
        <w:rPr>
          <w:b/>
          <w:bCs/>
          <w:rtl/>
        </w:rPr>
        <w:t xml:space="preserve"> </w:t>
      </w:r>
      <w:r w:rsidRPr="00B74020">
        <w:rPr>
          <w:rFonts w:hint="eastAsia"/>
          <w:b/>
          <w:bCs/>
          <w:rtl/>
        </w:rPr>
        <w:t>ההוצאה</w:t>
      </w:r>
      <w:r w:rsidRPr="00B74020">
        <w:rPr>
          <w:b/>
          <w:bCs/>
          <w:rtl/>
        </w:rPr>
        <w:t xml:space="preserve"> </w:t>
      </w:r>
      <w:r w:rsidRPr="00B74020">
        <w:rPr>
          <w:rFonts w:hint="eastAsia"/>
          <w:b/>
          <w:bCs/>
          <w:rtl/>
        </w:rPr>
        <w:t>להפסדי</w:t>
      </w:r>
      <w:r w:rsidRPr="00B74020">
        <w:rPr>
          <w:b/>
          <w:bCs/>
          <w:rtl/>
        </w:rPr>
        <w:t xml:space="preserve"> </w:t>
      </w:r>
      <w:r w:rsidRPr="00B74020">
        <w:rPr>
          <w:rFonts w:hint="eastAsia"/>
          <w:b/>
          <w:bCs/>
          <w:rtl/>
        </w:rPr>
        <w:t>אשראי</w:t>
      </w:r>
      <w:r w:rsidRPr="00B74020">
        <w:rPr>
          <w:b/>
          <w:bCs/>
          <w:rtl/>
        </w:rPr>
        <w:t xml:space="preserve"> </w:t>
      </w:r>
      <w:r w:rsidRPr="00B74020">
        <w:rPr>
          <w:rFonts w:hint="eastAsia"/>
          <w:b/>
          <w:bCs/>
          <w:rtl/>
        </w:rPr>
        <w:t>מתוך</w:t>
      </w:r>
      <w:r w:rsidRPr="00B74020">
        <w:rPr>
          <w:b/>
          <w:bCs/>
          <w:rtl/>
        </w:rPr>
        <w:t xml:space="preserve"> </w:t>
      </w:r>
      <w:r w:rsidRPr="00B74020">
        <w:rPr>
          <w:rFonts w:hint="eastAsia"/>
          <w:b/>
          <w:bCs/>
          <w:rtl/>
        </w:rPr>
        <w:t>היתרה</w:t>
      </w:r>
      <w:r w:rsidRPr="00B74020">
        <w:rPr>
          <w:b/>
          <w:bCs/>
          <w:rtl/>
        </w:rPr>
        <w:t xml:space="preserve"> </w:t>
      </w:r>
      <w:r w:rsidRPr="00B74020">
        <w:rPr>
          <w:rFonts w:hint="eastAsia"/>
          <w:b/>
          <w:bCs/>
          <w:rtl/>
        </w:rPr>
        <w:t>הממוצעת</w:t>
      </w:r>
      <w:r w:rsidRPr="00B74020">
        <w:rPr>
          <w:b/>
          <w:bCs/>
          <w:rtl/>
        </w:rPr>
        <w:t xml:space="preserve"> </w:t>
      </w:r>
      <w:r w:rsidRPr="00B74020">
        <w:rPr>
          <w:rFonts w:hint="eastAsia"/>
          <w:b/>
          <w:bCs/>
          <w:rtl/>
        </w:rPr>
        <w:t>של</w:t>
      </w:r>
      <w:r w:rsidRPr="00B74020">
        <w:rPr>
          <w:b/>
          <w:bCs/>
          <w:rtl/>
        </w:rPr>
        <w:t xml:space="preserve"> </w:t>
      </w:r>
      <w:r w:rsidRPr="00B74020">
        <w:rPr>
          <w:rFonts w:hint="eastAsia"/>
          <w:b/>
          <w:bCs/>
          <w:rtl/>
        </w:rPr>
        <w:t>האשראי</w:t>
      </w:r>
      <w:r w:rsidRPr="00B74020">
        <w:rPr>
          <w:b/>
          <w:bCs/>
          <w:rtl/>
        </w:rPr>
        <w:t xml:space="preserve"> </w:t>
      </w:r>
      <w:r w:rsidRPr="00B74020">
        <w:rPr>
          <w:rFonts w:hint="eastAsia"/>
          <w:b/>
          <w:bCs/>
          <w:rtl/>
        </w:rPr>
        <w:t>לציבור</w:t>
      </w:r>
      <w:r w:rsidRPr="00B74020">
        <w:rPr>
          <w:b/>
          <w:bCs/>
          <w:rtl/>
        </w:rPr>
        <w:t xml:space="preserve"> </w:t>
      </w:r>
      <w:r w:rsidRPr="00B74020">
        <w:rPr>
          <w:rFonts w:hint="eastAsia"/>
          <w:b/>
          <w:bCs/>
          <w:rtl/>
        </w:rPr>
        <w:t>בחלוקה</w:t>
      </w:r>
      <w:r w:rsidRPr="00B74020">
        <w:rPr>
          <w:b/>
          <w:bCs/>
          <w:rtl/>
        </w:rPr>
        <w:t xml:space="preserve"> </w:t>
      </w:r>
      <w:r w:rsidRPr="00B74020">
        <w:rPr>
          <w:rFonts w:hint="eastAsia"/>
          <w:b/>
          <w:bCs/>
          <w:rtl/>
        </w:rPr>
        <w:t>לחמש</w:t>
      </w:r>
      <w:r w:rsidRPr="00B74020">
        <w:rPr>
          <w:b/>
          <w:bCs/>
          <w:rtl/>
        </w:rPr>
        <w:t xml:space="preserve"> </w:t>
      </w:r>
      <w:r w:rsidRPr="00B74020">
        <w:rPr>
          <w:rFonts w:hint="eastAsia"/>
          <w:b/>
          <w:bCs/>
          <w:rtl/>
        </w:rPr>
        <w:t>הקבוצות</w:t>
      </w:r>
      <w:r w:rsidRPr="00B74020">
        <w:rPr>
          <w:b/>
          <w:bCs/>
          <w:rtl/>
        </w:rPr>
        <w:t xml:space="preserve"> </w:t>
      </w:r>
      <w:r w:rsidRPr="00B74020">
        <w:rPr>
          <w:rFonts w:hint="eastAsia"/>
          <w:b/>
          <w:bCs/>
          <w:rtl/>
        </w:rPr>
        <w:t>הבנקאיות</w:t>
      </w:r>
      <w:r w:rsidRPr="00B74020">
        <w:rPr>
          <w:b/>
          <w:bCs/>
          <w:rtl/>
        </w:rPr>
        <w:t xml:space="preserve"> </w:t>
      </w:r>
      <w:r w:rsidRPr="00B74020">
        <w:rPr>
          <w:rFonts w:hint="eastAsia"/>
          <w:b/>
          <w:bCs/>
          <w:rtl/>
        </w:rPr>
        <w:t>הגדולות</w:t>
      </w:r>
      <w:r w:rsidRPr="00952FB2">
        <w:rPr>
          <w:rFonts w:hint="cs"/>
          <w:b/>
          <w:bCs/>
          <w:rtl/>
        </w:rPr>
        <w:t xml:space="preserve"> </w:t>
      </w:r>
      <w:r>
        <w:rPr>
          <w:rFonts w:hint="cs"/>
          <w:b/>
          <w:bCs/>
          <w:rtl/>
        </w:rPr>
        <w:t>(</w:t>
      </w:r>
      <w:r w:rsidRPr="00B74020">
        <w:rPr>
          <w:rFonts w:hint="eastAsia"/>
          <w:b/>
          <w:bCs/>
          <w:rtl/>
        </w:rPr>
        <w:t>באחוזים</w:t>
      </w:r>
      <w:r>
        <w:rPr>
          <w:rFonts w:hint="cs"/>
          <w:b/>
          <w:bCs/>
          <w:rtl/>
        </w:rPr>
        <w:t>)</w:t>
      </w:r>
    </w:p>
    <w:p w:rsidR="000F413C" w:rsidP="00982BC1" w14:paraId="1E442546" w14:textId="77777777">
      <w:pPr>
        <w:spacing w:line="269" w:lineRule="auto"/>
        <w:ind w:left="-567"/>
        <w:jc w:val="right"/>
        <w:rPr>
          <w:rtl/>
        </w:rPr>
      </w:pPr>
      <w:r>
        <w:rPr>
          <w:noProof/>
        </w:rPr>
        <w:drawing>
          <wp:inline distT="0" distB="0" distL="0" distR="0">
            <wp:extent cx="5311140" cy="3257550"/>
            <wp:effectExtent l="0" t="0" r="3810" b="0"/>
            <wp:docPr id="503410414" name="תמונה 50341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44765" name=""/>
                    <pic:cNvPicPr/>
                  </pic:nvPicPr>
                  <pic:blipFill>
                    <a:blip xmlns:r="http://schemas.openxmlformats.org/officeDocument/2006/relationships" r:embed="rId55"/>
                    <a:stretch>
                      <a:fillRect/>
                    </a:stretch>
                  </pic:blipFill>
                  <pic:spPr>
                    <a:xfrm>
                      <a:off x="0" y="0"/>
                      <a:ext cx="5311140" cy="3257550"/>
                    </a:xfrm>
                    <a:prstGeom prst="rect">
                      <a:avLst/>
                    </a:prstGeom>
                  </pic:spPr>
                </pic:pic>
              </a:graphicData>
            </a:graphic>
          </wp:inline>
        </w:drawing>
      </w:r>
    </w:p>
    <w:p w:rsidR="000F413C" w:rsidRPr="00E065A2" w:rsidP="00982BC1" w14:paraId="3756A07C" w14:textId="77777777">
      <w:pPr>
        <w:spacing w:line="269" w:lineRule="auto"/>
        <w:rPr>
          <w:sz w:val="18"/>
          <w:szCs w:val="22"/>
          <w:rtl/>
        </w:rPr>
      </w:pPr>
      <w:r w:rsidRPr="00E065A2">
        <w:rPr>
          <w:rFonts w:hint="cs"/>
          <w:sz w:val="18"/>
          <w:szCs w:val="22"/>
          <w:rtl/>
        </w:rPr>
        <w:t>נתוני הפיקוח על הבנקים, בעיבוד משרד מבקר המדינה.</w:t>
      </w:r>
    </w:p>
    <w:p w:rsidR="000F413C" w:rsidP="00982BC1" w14:paraId="1157756A" w14:textId="7A38780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RPr="00BE0262" w:rsidP="00982BC1" w14:paraId="6340181B" w14:textId="77777777">
      <w:pPr>
        <w:spacing w:line="269" w:lineRule="auto"/>
        <w:rPr>
          <w:b/>
          <w:bCs/>
          <w:rtl/>
        </w:rPr>
      </w:pPr>
      <w:r w:rsidRPr="004A628E">
        <w:rPr>
          <w:rFonts w:hint="cs"/>
          <w:b/>
          <w:bCs/>
          <w:rtl/>
        </w:rPr>
        <w:t xml:space="preserve">מתרשים 44 </w:t>
      </w:r>
      <w:r w:rsidRPr="004A628E">
        <w:rPr>
          <w:rFonts w:hint="eastAsia"/>
          <w:b/>
          <w:bCs/>
          <w:rtl/>
        </w:rPr>
        <w:t>עולה</w:t>
      </w:r>
      <w:r w:rsidRPr="004A628E">
        <w:rPr>
          <w:b/>
          <w:bCs/>
          <w:rtl/>
        </w:rPr>
        <w:t xml:space="preserve"> כי </w:t>
      </w:r>
      <w:r>
        <w:rPr>
          <w:rFonts w:hint="cs"/>
          <w:b/>
          <w:bCs/>
          <w:rtl/>
        </w:rPr>
        <w:t>במחצית הראשונה</w:t>
      </w:r>
      <w:r w:rsidRPr="004A628E">
        <w:rPr>
          <w:rFonts w:hint="cs"/>
          <w:b/>
          <w:bCs/>
          <w:rtl/>
        </w:rPr>
        <w:t xml:space="preserve"> של </w:t>
      </w:r>
      <w:r w:rsidRPr="004A628E">
        <w:rPr>
          <w:b/>
          <w:bCs/>
          <w:rtl/>
        </w:rPr>
        <w:t>2020</w:t>
      </w:r>
      <w:r>
        <w:rPr>
          <w:rFonts w:hint="cs"/>
          <w:b/>
          <w:bCs/>
          <w:rtl/>
        </w:rPr>
        <w:t>,</w:t>
      </w:r>
      <w:r w:rsidRPr="004A628E">
        <w:rPr>
          <w:rFonts w:hint="cs"/>
          <w:b/>
          <w:bCs/>
          <w:rtl/>
        </w:rPr>
        <w:t xml:space="preserve"> בכל</w:t>
      </w:r>
      <w:r w:rsidRPr="005626C1">
        <w:rPr>
          <w:rFonts w:hint="cs"/>
          <w:b/>
          <w:bCs/>
          <w:rtl/>
        </w:rPr>
        <w:t xml:space="preserve"> חמש קבוצות התאגידים הבנקאיים הגדולות פחת יחס הון עצמי רובד 1 </w:t>
      </w:r>
      <w:r>
        <w:rPr>
          <w:rFonts w:hint="cs"/>
          <w:b/>
          <w:bCs/>
          <w:rtl/>
        </w:rPr>
        <w:t xml:space="preserve">(בשיעור של 0.1% - 0.39%) </w:t>
      </w:r>
      <w:r w:rsidRPr="005626C1">
        <w:rPr>
          <w:rFonts w:hint="cs"/>
          <w:b/>
          <w:bCs/>
          <w:rtl/>
        </w:rPr>
        <w:t>וגדל שיעור ההוצאה להפסדי אשראי מתוך היתרה הממוצעת של האשראי לציבור</w:t>
      </w:r>
      <w:r>
        <w:rPr>
          <w:rFonts w:hint="cs"/>
          <w:b/>
          <w:bCs/>
          <w:rtl/>
        </w:rPr>
        <w:t xml:space="preserve"> (בשיעור של 0.39% - 0.97%)</w:t>
      </w:r>
      <w:r w:rsidRPr="005626C1">
        <w:rPr>
          <w:rFonts w:hint="cs"/>
          <w:b/>
          <w:bCs/>
          <w:rtl/>
        </w:rPr>
        <w:t>.</w:t>
      </w:r>
    </w:p>
    <w:p w:rsidR="000F413C" w:rsidP="00982BC1" w14:paraId="2CE9B148" w14:textId="3CF6AB77">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1C42D918" w14:textId="77777777">
      <w:pPr>
        <w:spacing w:line="269" w:lineRule="auto"/>
        <w:rPr>
          <w:rtl/>
        </w:rPr>
      </w:pPr>
      <w:r w:rsidRPr="00BE0262">
        <w:rPr>
          <w:rFonts w:hint="eastAsia"/>
          <w:b/>
          <w:bCs/>
          <w:rtl/>
        </w:rPr>
        <w:t>במהלך</w:t>
      </w:r>
      <w:r w:rsidRPr="00BE0262">
        <w:rPr>
          <w:b/>
          <w:bCs/>
          <w:rtl/>
        </w:rPr>
        <w:t xml:space="preserve"> </w:t>
      </w:r>
      <w:r w:rsidRPr="00BE0262">
        <w:rPr>
          <w:rFonts w:hint="eastAsia"/>
          <w:b/>
          <w:bCs/>
          <w:rtl/>
        </w:rPr>
        <w:t>חודשים</w:t>
      </w:r>
      <w:r w:rsidRPr="00BE0262">
        <w:rPr>
          <w:b/>
          <w:bCs/>
          <w:rtl/>
        </w:rPr>
        <w:t xml:space="preserve"> </w:t>
      </w:r>
      <w:r w:rsidRPr="00BE0262">
        <w:rPr>
          <w:rFonts w:hint="eastAsia"/>
          <w:b/>
          <w:bCs/>
          <w:rtl/>
        </w:rPr>
        <w:t>מרץ</w:t>
      </w:r>
      <w:r w:rsidRPr="00BE0262">
        <w:rPr>
          <w:b/>
          <w:bCs/>
          <w:rtl/>
        </w:rPr>
        <w:t xml:space="preserve"> </w:t>
      </w:r>
      <w:r w:rsidRPr="00BE0262">
        <w:rPr>
          <w:rFonts w:hint="eastAsia"/>
          <w:b/>
          <w:bCs/>
          <w:rtl/>
        </w:rPr>
        <w:t>ואפריל</w:t>
      </w:r>
      <w:r w:rsidRPr="00BE0262">
        <w:rPr>
          <w:b/>
          <w:bCs/>
          <w:rtl/>
        </w:rPr>
        <w:t xml:space="preserve"> </w:t>
      </w:r>
      <w:r w:rsidRPr="00BE0262">
        <w:rPr>
          <w:rFonts w:hint="eastAsia"/>
          <w:b/>
          <w:bCs/>
          <w:rtl/>
        </w:rPr>
        <w:t>הנחה</w:t>
      </w:r>
      <w:r w:rsidRPr="00BE0262">
        <w:rPr>
          <w:b/>
          <w:bCs/>
          <w:rtl/>
        </w:rPr>
        <w:t xml:space="preserve"> </w:t>
      </w:r>
      <w:r w:rsidRPr="00BE0262">
        <w:rPr>
          <w:rFonts w:hint="eastAsia"/>
          <w:b/>
          <w:bCs/>
          <w:rtl/>
        </w:rPr>
        <w:t>הפיקוח</w:t>
      </w:r>
      <w:r w:rsidRPr="00BE0262">
        <w:rPr>
          <w:b/>
          <w:bCs/>
          <w:rtl/>
        </w:rPr>
        <w:t xml:space="preserve"> </w:t>
      </w:r>
      <w:r w:rsidRPr="00BE0262">
        <w:rPr>
          <w:rFonts w:hint="eastAsia"/>
          <w:b/>
          <w:bCs/>
          <w:rtl/>
        </w:rPr>
        <w:t>על</w:t>
      </w:r>
      <w:r w:rsidRPr="00BE0262">
        <w:rPr>
          <w:b/>
          <w:bCs/>
          <w:rtl/>
        </w:rPr>
        <w:t xml:space="preserve"> </w:t>
      </w:r>
      <w:r w:rsidRPr="00BE0262">
        <w:rPr>
          <w:rFonts w:hint="eastAsia"/>
          <w:b/>
          <w:bCs/>
          <w:rtl/>
        </w:rPr>
        <w:t>הבנקים</w:t>
      </w:r>
      <w:r w:rsidRPr="00BE0262">
        <w:rPr>
          <w:b/>
          <w:bCs/>
          <w:rtl/>
        </w:rPr>
        <w:t xml:space="preserve"> </w:t>
      </w:r>
      <w:r w:rsidRPr="00BE0262">
        <w:rPr>
          <w:rFonts w:hint="eastAsia"/>
          <w:b/>
          <w:bCs/>
          <w:rtl/>
        </w:rPr>
        <w:t>את</w:t>
      </w:r>
      <w:r w:rsidRPr="00BE0262">
        <w:rPr>
          <w:b/>
          <w:bCs/>
          <w:rtl/>
        </w:rPr>
        <w:t xml:space="preserve"> </w:t>
      </w:r>
      <w:r w:rsidRPr="00BE0262">
        <w:rPr>
          <w:rFonts w:hint="eastAsia"/>
          <w:b/>
          <w:bCs/>
          <w:rtl/>
        </w:rPr>
        <w:t>התאגידים</w:t>
      </w:r>
      <w:r w:rsidRPr="00BE0262">
        <w:rPr>
          <w:b/>
          <w:bCs/>
          <w:rtl/>
        </w:rPr>
        <w:t xml:space="preserve"> </w:t>
      </w:r>
      <w:r w:rsidRPr="008E4374">
        <w:rPr>
          <w:rFonts w:hint="eastAsia"/>
          <w:b/>
          <w:bCs/>
          <w:rtl/>
        </w:rPr>
        <w:t>הבנקאיים</w:t>
      </w:r>
      <w:r w:rsidRPr="008E4374">
        <w:rPr>
          <w:b/>
          <w:bCs/>
          <w:rtl/>
        </w:rPr>
        <w:t xml:space="preserve"> </w:t>
      </w:r>
      <w:r w:rsidRPr="008E4374">
        <w:rPr>
          <w:rFonts w:hint="cs"/>
          <w:b/>
          <w:bCs/>
          <w:noProof/>
          <w:rtl/>
        </w:rPr>
        <w:t>לדַמות</w:t>
      </w:r>
      <w:r w:rsidRPr="004A628E">
        <w:rPr>
          <w:rFonts w:hint="eastAsia"/>
          <w:b/>
          <w:bCs/>
          <w:rtl/>
        </w:rPr>
        <w:t xml:space="preserve"> תרחישי</w:t>
      </w:r>
      <w:r w:rsidRPr="00BE0262">
        <w:rPr>
          <w:b/>
          <w:bCs/>
          <w:rtl/>
        </w:rPr>
        <w:t xml:space="preserve"> </w:t>
      </w:r>
      <w:r w:rsidRPr="00BE0262">
        <w:rPr>
          <w:rFonts w:hint="eastAsia"/>
          <w:b/>
          <w:bCs/>
          <w:rtl/>
        </w:rPr>
        <w:t>קיצון</w:t>
      </w:r>
      <w:r w:rsidRPr="00BE0262">
        <w:rPr>
          <w:b/>
          <w:bCs/>
          <w:rtl/>
        </w:rPr>
        <w:t xml:space="preserve"> </w:t>
      </w:r>
      <w:r w:rsidRPr="00BE0262">
        <w:rPr>
          <w:rFonts w:hint="eastAsia"/>
          <w:b/>
          <w:bCs/>
          <w:rtl/>
        </w:rPr>
        <w:t>עצמאיים</w:t>
      </w:r>
      <w:r w:rsidRPr="00BE0262">
        <w:rPr>
          <w:b/>
          <w:bCs/>
          <w:rtl/>
        </w:rPr>
        <w:t xml:space="preserve"> </w:t>
      </w:r>
      <w:r w:rsidRPr="00BE0262">
        <w:rPr>
          <w:rFonts w:hint="eastAsia"/>
          <w:b/>
          <w:bCs/>
          <w:rtl/>
        </w:rPr>
        <w:t>לאמידת</w:t>
      </w:r>
      <w:r w:rsidRPr="00BE0262">
        <w:rPr>
          <w:b/>
          <w:bCs/>
          <w:rtl/>
        </w:rPr>
        <w:t xml:space="preserve"> </w:t>
      </w:r>
      <w:r w:rsidRPr="00BE0262">
        <w:rPr>
          <w:rFonts w:hint="eastAsia"/>
          <w:b/>
          <w:bCs/>
          <w:rtl/>
        </w:rPr>
        <w:t>יציבותם</w:t>
      </w:r>
      <w:r>
        <w:rPr>
          <w:rFonts w:hint="cs"/>
          <w:b/>
          <w:bCs/>
          <w:rtl/>
        </w:rPr>
        <w:t>,</w:t>
      </w:r>
      <w:r w:rsidRPr="00BE0262">
        <w:rPr>
          <w:b/>
          <w:bCs/>
          <w:rtl/>
        </w:rPr>
        <w:t xml:space="preserve"> </w:t>
      </w:r>
      <w:r w:rsidRPr="00BE0262">
        <w:rPr>
          <w:rFonts w:hint="eastAsia"/>
          <w:b/>
          <w:bCs/>
          <w:rtl/>
        </w:rPr>
        <w:t>בהתקיים</w:t>
      </w:r>
      <w:r w:rsidRPr="00BE0262">
        <w:rPr>
          <w:b/>
          <w:bCs/>
          <w:rtl/>
        </w:rPr>
        <w:t xml:space="preserve"> </w:t>
      </w:r>
      <w:r w:rsidRPr="00BE0262">
        <w:rPr>
          <w:rFonts w:hint="eastAsia"/>
          <w:b/>
          <w:bCs/>
          <w:rtl/>
        </w:rPr>
        <w:t>תרחישים</w:t>
      </w:r>
      <w:r w:rsidRPr="00BE0262">
        <w:rPr>
          <w:b/>
          <w:bCs/>
          <w:rtl/>
        </w:rPr>
        <w:t xml:space="preserve"> </w:t>
      </w:r>
      <w:r w:rsidRPr="00BE0262">
        <w:rPr>
          <w:rFonts w:hint="eastAsia"/>
          <w:b/>
          <w:bCs/>
          <w:rtl/>
        </w:rPr>
        <w:t>שונים</w:t>
      </w:r>
      <w:r w:rsidRPr="00BE0262">
        <w:rPr>
          <w:b/>
          <w:bCs/>
          <w:rtl/>
        </w:rPr>
        <w:t xml:space="preserve"> </w:t>
      </w:r>
      <w:r w:rsidRPr="00BE0262">
        <w:rPr>
          <w:rFonts w:hint="eastAsia"/>
          <w:b/>
          <w:bCs/>
          <w:rtl/>
        </w:rPr>
        <w:t>בעת</w:t>
      </w:r>
      <w:r w:rsidRPr="00BE0262">
        <w:rPr>
          <w:b/>
          <w:bCs/>
          <w:rtl/>
        </w:rPr>
        <w:t xml:space="preserve"> </w:t>
      </w:r>
      <w:r w:rsidRPr="00BE0262">
        <w:rPr>
          <w:rFonts w:hint="eastAsia"/>
          <w:b/>
          <w:bCs/>
          <w:rtl/>
        </w:rPr>
        <w:t>המשבר</w:t>
      </w:r>
      <w:r w:rsidRPr="00BE0262">
        <w:rPr>
          <w:b/>
          <w:bCs/>
          <w:rtl/>
        </w:rPr>
        <w:t>.</w:t>
      </w:r>
      <w:r>
        <w:rPr>
          <w:rFonts w:hint="cs"/>
          <w:rtl/>
        </w:rPr>
        <w:t xml:space="preserve"> </w:t>
      </w:r>
    </w:p>
    <w:p w:rsidR="000F413C" w:rsidP="00982BC1" w14:paraId="4B8F4190" w14:textId="08DD9430">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P="00982BC1" w14:paraId="51D314F7" w14:textId="77777777">
      <w:pPr>
        <w:spacing w:line="269" w:lineRule="auto"/>
      </w:pPr>
      <w:r>
        <w:rPr>
          <w:rFonts w:hint="cs"/>
          <w:rtl/>
        </w:rPr>
        <w:t>הנתונים שהתקבלו מהמערכת הבנקאית שיקפו את נקודות התורפה של המערכת ושימשו לבחינה אחידה לאיתור מוקדי סיכון בקרב התאגידים הבנקאיים, שביצע הפיקוח על הבנקים במהלך מאי 2020. בחינה זו שימשה כלי לקבלת החלטות בדבר הצעדים הנדרשים במערכת הבנקאית לצורך תמיכה במשק, וכללה, בין היתר, את בחינת יציבות התאגידים הבנקאיים ואת מידת יכולתם לתמוך בצורכי המשק באמצעות העמדת אשראי. הבחינה התבססה על כלי ניתוח של מבחני קיצון מקרו-כלכליים</w:t>
      </w:r>
      <w:r>
        <w:rPr>
          <w:rStyle w:val="FootnoteReference"/>
          <w:rtl/>
        </w:rPr>
        <w:footnoteReference w:id="94"/>
      </w:r>
      <w:r>
        <w:rPr>
          <w:rFonts w:hint="cs"/>
          <w:rtl/>
        </w:rPr>
        <w:t xml:space="preserve"> ובחנה שני תרחישים אפשריים להתפתחות המשבר שנשענו על הערכות ומודלים</w:t>
      </w:r>
      <w:r>
        <w:rPr>
          <w:rStyle w:val="FootnoteReference"/>
          <w:rtl/>
        </w:rPr>
        <w:footnoteReference w:id="95"/>
      </w:r>
      <w:r>
        <w:rPr>
          <w:rFonts w:hint="cs"/>
          <w:rtl/>
        </w:rPr>
        <w:t>: תרחיש בסיס</w:t>
      </w:r>
      <w:r>
        <w:rPr>
          <w:rStyle w:val="FootnoteReference"/>
          <w:rtl/>
        </w:rPr>
        <w:footnoteReference w:id="96"/>
      </w:r>
      <w:r w:rsidRPr="004A628E">
        <w:rPr>
          <w:rFonts w:hint="cs"/>
          <w:rtl/>
        </w:rPr>
        <w:t xml:space="preserve"> ותרחיש קודר</w:t>
      </w:r>
      <w:r>
        <w:rPr>
          <w:rStyle w:val="FootnoteReference"/>
          <w:rtl/>
        </w:rPr>
        <w:footnoteReference w:id="97"/>
      </w:r>
      <w:r w:rsidRPr="004A628E">
        <w:rPr>
          <w:rFonts w:hint="cs"/>
          <w:rtl/>
        </w:rPr>
        <w:t>.</w:t>
      </w:r>
    </w:p>
    <w:p w:rsidR="000F413C" w:rsidP="00982BC1" w14:paraId="29D837E6" w14:textId="5CD60C57">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6E5492B" w14:textId="77777777">
      <w:pPr>
        <w:spacing w:line="269" w:lineRule="auto"/>
        <w:rPr>
          <w:rtl/>
        </w:rPr>
      </w:pPr>
      <w:r>
        <w:rPr>
          <w:rFonts w:hint="cs"/>
          <w:rtl/>
        </w:rPr>
        <w:t xml:space="preserve">ממצאי הבחינה הראו כי השבתה חוזרת של המשק צפויה להשפיע באופן ממשי על המערכת הבנקאית, אך לא לסכן את יציבותה. השבתה, כאמור, עלולה להקשות על חלקים מהציבור לעמוד </w:t>
      </w:r>
      <w:r>
        <w:rPr>
          <w:rFonts w:hint="cs"/>
          <w:rtl/>
        </w:rPr>
        <w:t>בהתחייבויות ולהביא להפסדים משמעותיים בתיק האשראי של התאגידים הבנקאיים. הרחבת האשראי תביא גם לעלייה בהכנסות מריבית, אך תגדיל את נכסי הסיכון של המערכת הבנקאית ופועלת לשחיקה נוספת ביחסי ההון. הביקורת העלתה כי חטיבת המחקר בבנק ישראל מוסיפה לעדכן את התחזיות המקרו-כלכליות בהתאם להתפתחויות במשק, וכי הפיקוח על הבנקים מתכוון להוסיף ולבחון את הסיכונים הנשקפים למערכת הבנקאית, בהתאם לתחזיות העדכניות.</w:t>
      </w:r>
    </w:p>
    <w:p w:rsidR="000F413C" w:rsidP="00982BC1" w14:paraId="0534F5EE" w14:textId="77777777">
      <w:pPr>
        <w:pStyle w:val="a"/>
        <w:spacing w:line="269" w:lineRule="auto"/>
        <w:rPr>
          <w:rtl/>
        </w:rPr>
      </w:pPr>
      <w:r w:rsidRPr="008E4374">
        <w:rPr>
          <w:rtl/>
        </w:rPr>
        <w:fldChar w:fldCharType="begin"/>
      </w:r>
      <w:r w:rsidRPr="008E4374">
        <w:rPr>
          <w:rtl/>
        </w:rPr>
        <w:instrText xml:space="preserve"> </w:instrText>
      </w:r>
      <w:r w:rsidRPr="008E4374">
        <w:instrText>AUTONUMLGL \e  \* MERGEFORMAT</w:instrText>
      </w:r>
      <w:r w:rsidRPr="008E4374">
        <w:rPr>
          <w:rtl/>
        </w:rPr>
        <w:instrText xml:space="preserve"> </w:instrText>
      </w:r>
      <w:r w:rsidRPr="008E4374">
        <w:rPr>
          <w:rtl/>
        </w:rPr>
        <w:fldChar w:fldCharType="end"/>
      </w:r>
    </w:p>
    <w:p w:rsidR="000F413C" w:rsidP="00982BC1" w14:paraId="5BCB4FE0" w14:textId="4947DBFA">
      <w:pPr>
        <w:spacing w:line="269" w:lineRule="auto"/>
        <w:rPr>
          <w:b/>
          <w:bCs/>
          <w:rtl/>
        </w:rPr>
      </w:pPr>
      <w:r>
        <w:rPr>
          <w:rFonts w:hint="cs"/>
          <w:b/>
          <w:bCs/>
          <w:rtl/>
        </w:rPr>
        <w:t>משרד מבקר המדינה מציין לחיוב את פעולות הפיקוח על הבנקים, שנועדו להבטיח את חוסן המערכת הבנקאית לצד יכולתה לתמוך במשק במהלך המשבר.</w:t>
      </w:r>
    </w:p>
    <w:p w:rsidR="00E065A2" w:rsidRPr="00A03072" w:rsidP="00982BC1" w14:paraId="64CEDD09" w14:textId="77777777">
      <w:pPr>
        <w:spacing w:line="269" w:lineRule="auto"/>
        <w:rPr>
          <w:b/>
          <w:bCs/>
          <w:rtl/>
        </w:rPr>
      </w:pPr>
    </w:p>
    <w:p w:rsidR="000F413C" w:rsidP="00982BC1" w14:paraId="21C428DB" w14:textId="77777777">
      <w:pPr>
        <w:pStyle w:val="Heading5"/>
        <w:spacing w:line="269" w:lineRule="auto"/>
        <w:rPr>
          <w:rtl/>
        </w:rPr>
      </w:pPr>
      <w:r>
        <w:rPr>
          <w:rFonts w:hint="cs"/>
          <w:rtl/>
        </w:rPr>
        <w:t>פעולות רשות שוק ההון</w:t>
      </w:r>
    </w:p>
    <w:p w:rsidR="000F413C" w:rsidP="00982BC1" w14:paraId="7D602349" w14:textId="200377B6">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6C369D87" w14:textId="77777777">
      <w:pPr>
        <w:spacing w:line="269" w:lineRule="auto"/>
        <w:rPr>
          <w:rtl/>
        </w:rPr>
      </w:pPr>
      <w:r>
        <w:rPr>
          <w:rFonts w:ascii="David" w:hAnsi="David" w:hint="cs"/>
          <w:rtl/>
        </w:rPr>
        <w:t xml:space="preserve">הוראות החוק מסדירות את פעילות הרשות לשמירה על ענייניהם של המבוטחים, העמיתים, והלקוחות ועל יציבות של הגופים. מכך נגזרת החובה להיערך באופן נאות לסיכונים הנלווים לפעילותם ולהמשכיותם העסקית בעת משבר. </w:t>
      </w:r>
      <w:r>
        <w:rPr>
          <w:rFonts w:ascii="David" w:hAnsi="David" w:hint="cs"/>
          <w:sz w:val="24"/>
          <w:rtl/>
        </w:rPr>
        <w:t>האסדרה הנוגעת לניהול סיכון הנזילות בגופים המוסדיים עוסקת בהיבטים רבים בפעילותם</w:t>
      </w:r>
      <w:r>
        <w:rPr>
          <w:rFonts w:hint="cs"/>
          <w:rtl/>
        </w:rPr>
        <w:t xml:space="preserve"> ומתייחסת לסיכוני הנזילות בתיקי הנוסטרו ובתיקים המנוהלים.</w:t>
      </w:r>
      <w:r>
        <w:rPr>
          <w:rFonts w:ascii="David" w:hAnsi="David" w:hint="cs"/>
          <w:sz w:val="24"/>
          <w:rtl/>
        </w:rPr>
        <w:t xml:space="preserve"> ככלל, סיכון הנזילות בתיקי הנוסטרו נמוך </w:t>
      </w:r>
      <w:r w:rsidRPr="00DC1E64">
        <w:rPr>
          <w:rFonts w:ascii="David" w:hAnsi="David" w:hint="cs"/>
          <w:sz w:val="24"/>
          <w:rtl/>
        </w:rPr>
        <w:t xml:space="preserve">ועלול להתממש במקרה של מבטח בכשל </w:t>
      </w:r>
      <w:r>
        <w:rPr>
          <w:rFonts w:ascii="David" w:hAnsi="David" w:hint="cs"/>
          <w:sz w:val="24"/>
          <w:rtl/>
        </w:rPr>
        <w:t xml:space="preserve">בעקבות </w:t>
      </w:r>
      <w:r w:rsidRPr="00DC1E64">
        <w:rPr>
          <w:rFonts w:ascii="David" w:hAnsi="David" w:hint="cs"/>
          <w:sz w:val="24"/>
          <w:rtl/>
        </w:rPr>
        <w:t xml:space="preserve">אירועי </w:t>
      </w:r>
      <w:r>
        <w:rPr>
          <w:rFonts w:ascii="David" w:hAnsi="David" w:hint="cs"/>
          <w:sz w:val="24"/>
          <w:rtl/>
        </w:rPr>
        <w:t>אסון</w:t>
      </w:r>
      <w:r w:rsidRPr="00DC1E64">
        <w:rPr>
          <w:rFonts w:ascii="David" w:hAnsi="David" w:hint="cs"/>
          <w:sz w:val="24"/>
          <w:rtl/>
        </w:rPr>
        <w:t xml:space="preserve">. </w:t>
      </w:r>
      <w:r>
        <w:rPr>
          <w:rFonts w:ascii="David" w:hAnsi="David" w:hint="cs"/>
          <w:sz w:val="24"/>
          <w:rtl/>
        </w:rPr>
        <w:t xml:space="preserve">להבדיל </w:t>
      </w:r>
      <w:r w:rsidRPr="00DC1E64">
        <w:rPr>
          <w:rFonts w:ascii="David" w:hAnsi="David" w:hint="cs"/>
          <w:sz w:val="24"/>
          <w:rtl/>
        </w:rPr>
        <w:t>מ</w:t>
      </w:r>
      <w:r>
        <w:rPr>
          <w:rFonts w:ascii="David" w:hAnsi="David" w:hint="cs"/>
          <w:sz w:val="24"/>
          <w:rtl/>
        </w:rPr>
        <w:t xml:space="preserve">ן </w:t>
      </w:r>
      <w:r w:rsidRPr="00DC1E64">
        <w:rPr>
          <w:rFonts w:ascii="David" w:hAnsi="David" w:hint="cs"/>
          <w:sz w:val="24"/>
          <w:rtl/>
        </w:rPr>
        <w:t>הסיכון ה</w:t>
      </w:r>
      <w:r>
        <w:rPr>
          <w:rFonts w:ascii="David" w:hAnsi="David" w:hint="cs"/>
          <w:sz w:val="24"/>
          <w:rtl/>
        </w:rPr>
        <w:t>טמון</w:t>
      </w:r>
      <w:r w:rsidRPr="00DC1E64">
        <w:rPr>
          <w:rFonts w:ascii="David" w:hAnsi="David" w:hint="cs"/>
          <w:sz w:val="24"/>
          <w:rtl/>
        </w:rPr>
        <w:t xml:space="preserve"> במערכת הבנקאית, תשלום כספים על ידי חברות הביטוח בגין נכסיהם העצמיים מותנה בקיומם של אירועים ביטוחיים</w:t>
      </w:r>
      <w:r>
        <w:rPr>
          <w:rFonts w:ascii="David" w:hAnsi="David" w:hint="cs"/>
          <w:sz w:val="24"/>
          <w:rtl/>
        </w:rPr>
        <w:t>,</w:t>
      </w:r>
      <w:r w:rsidRPr="00DC1E64">
        <w:rPr>
          <w:rFonts w:ascii="David" w:hAnsi="David" w:hint="cs"/>
          <w:sz w:val="24"/>
          <w:rtl/>
        </w:rPr>
        <w:t xml:space="preserve"> </w:t>
      </w:r>
      <w:r w:rsidRPr="00DC1E64">
        <w:rPr>
          <w:rFonts w:ascii="David" w:hAnsi="David" w:hint="eastAsia"/>
          <w:sz w:val="24"/>
          <w:rtl/>
        </w:rPr>
        <w:t>ונפרד</w:t>
      </w:r>
      <w:r w:rsidRPr="00DC1E64">
        <w:rPr>
          <w:rFonts w:ascii="David" w:hAnsi="David"/>
          <w:sz w:val="24"/>
          <w:rtl/>
        </w:rPr>
        <w:t xml:space="preserve"> </w:t>
      </w:r>
      <w:r w:rsidRPr="00DC1E64">
        <w:rPr>
          <w:rFonts w:ascii="David" w:hAnsi="David" w:hint="eastAsia"/>
          <w:sz w:val="24"/>
          <w:rtl/>
        </w:rPr>
        <w:t>מ</w:t>
      </w:r>
      <w:r w:rsidRPr="00DC1E64">
        <w:rPr>
          <w:rFonts w:ascii="David" w:hAnsi="David" w:hint="cs"/>
          <w:sz w:val="24"/>
          <w:rtl/>
        </w:rPr>
        <w:t>הסיכונים הנוגעים ל</w:t>
      </w:r>
      <w:r w:rsidRPr="00DC1E64">
        <w:rPr>
          <w:rFonts w:ascii="David" w:hAnsi="David" w:hint="eastAsia"/>
          <w:sz w:val="24"/>
          <w:rtl/>
        </w:rPr>
        <w:t>כספים</w:t>
      </w:r>
      <w:r w:rsidRPr="00DC1E64">
        <w:rPr>
          <w:rFonts w:ascii="David" w:hAnsi="David"/>
          <w:sz w:val="24"/>
          <w:rtl/>
        </w:rPr>
        <w:t xml:space="preserve"> </w:t>
      </w:r>
      <w:r w:rsidRPr="00DC1E64">
        <w:rPr>
          <w:rFonts w:ascii="David" w:hAnsi="David" w:hint="eastAsia"/>
          <w:sz w:val="24"/>
          <w:rtl/>
        </w:rPr>
        <w:t>המנוהלים</w:t>
      </w:r>
      <w:r w:rsidRPr="00DC1E64">
        <w:rPr>
          <w:rFonts w:ascii="David" w:hAnsi="David"/>
          <w:sz w:val="24"/>
          <w:rtl/>
        </w:rPr>
        <w:t xml:space="preserve"> </w:t>
      </w:r>
      <w:r w:rsidRPr="00DC1E64">
        <w:rPr>
          <w:rFonts w:ascii="David" w:hAnsi="David" w:hint="eastAsia"/>
          <w:sz w:val="24"/>
          <w:rtl/>
        </w:rPr>
        <w:t>בנאמנות</w:t>
      </w:r>
      <w:r w:rsidRPr="00DC1E64">
        <w:rPr>
          <w:rtl/>
        </w:rPr>
        <w:t>.</w:t>
      </w:r>
    </w:p>
    <w:p w:rsidR="000F413C" w:rsidP="00982BC1" w14:paraId="0646478C" w14:textId="5CDCEAB9">
      <w:pPr>
        <w:pStyle w:val="a"/>
        <w:spacing w:line="269" w:lineRule="auto"/>
        <w:rPr>
          <w:rtl/>
        </w:rPr>
      </w:pPr>
      <w:r w:rsidRPr="008E4374">
        <w:rPr>
          <w:rFonts w:hint="cs"/>
          <w:rtl/>
        </w:rPr>
        <w:fldChar w:fldCharType="begin"/>
      </w:r>
      <w:r w:rsidRPr="008E4374">
        <w:rPr>
          <w:rFonts w:hint="cs"/>
          <w:rtl/>
        </w:rPr>
        <w:instrText xml:space="preserve"> </w:instrText>
      </w:r>
      <w:r w:rsidRPr="008E4374">
        <w:instrText>AUTONUMLGL \e  \* MERGEFORMAT</w:instrText>
      </w:r>
      <w:r w:rsidRPr="008E4374">
        <w:rPr>
          <w:rFonts w:hint="cs"/>
          <w:rtl/>
        </w:rPr>
        <w:instrText xml:space="preserve"> </w:instrText>
      </w:r>
      <w:r w:rsidRPr="008E4374">
        <w:rPr>
          <w:rFonts w:hint="cs"/>
          <w:rtl/>
        </w:rPr>
        <w:fldChar w:fldCharType="end"/>
      </w:r>
    </w:p>
    <w:p w:rsidR="000F413C" w:rsidRPr="00082706" w:rsidP="00982BC1" w14:paraId="513370F1" w14:textId="77777777">
      <w:pPr>
        <w:spacing w:line="269" w:lineRule="auto"/>
        <w:rPr>
          <w:rtl/>
        </w:rPr>
      </w:pPr>
      <w:r>
        <w:rPr>
          <w:rFonts w:ascii="David" w:hAnsi="David" w:hint="cs"/>
          <w:sz w:val="24"/>
          <w:rtl/>
        </w:rPr>
        <w:t xml:space="preserve">מרשות שוק ההון נמסר לצוות הביקורת כי נוסף על דרישות האסדרה בעניין הנזילות, במהלך תקופת המשבר, ובייחוד בתקופה שבה נרשמו </w:t>
      </w:r>
      <w:r w:rsidRPr="009B299A">
        <w:rPr>
          <w:rFonts w:ascii="David" w:hAnsi="David" w:hint="cs"/>
          <w:sz w:val="24"/>
          <w:rtl/>
        </w:rPr>
        <w:t>תנודות עזות בשווקי</w:t>
      </w:r>
      <w:r>
        <w:rPr>
          <w:rFonts w:ascii="David" w:hAnsi="David" w:hint="cs"/>
          <w:sz w:val="24"/>
          <w:rtl/>
        </w:rPr>
        <w:t xml:space="preserve"> ההון והתבצעו פידיונות, ניודים והעברות מסלולים בתדירות ובהיקפים גדולים, נוטרו נתוני תנועות הכספים והתשואות במגוון אפיקי ההשקעה בגופים המוסדיים. הרשות כתבה למשרד מבקר </w:t>
      </w:r>
      <w:r w:rsidRPr="009B299A">
        <w:rPr>
          <w:rFonts w:ascii="David" w:hAnsi="David" w:hint="cs"/>
          <w:sz w:val="24"/>
          <w:rtl/>
        </w:rPr>
        <w:t>המדינה ב</w:t>
      </w:r>
      <w:r w:rsidRPr="009B299A">
        <w:rPr>
          <w:rFonts w:ascii="David" w:hAnsi="David"/>
          <w:sz w:val="24"/>
          <w:rtl/>
        </w:rPr>
        <w:t>-8.3.21</w:t>
      </w:r>
      <w:r w:rsidRPr="009B299A">
        <w:rPr>
          <w:rFonts w:ascii="David" w:hAnsi="David" w:hint="cs"/>
          <w:sz w:val="24"/>
          <w:rtl/>
        </w:rPr>
        <w:t xml:space="preserve"> כי</w:t>
      </w:r>
      <w:r>
        <w:rPr>
          <w:rFonts w:ascii="David" w:hAnsi="David" w:hint="cs"/>
          <w:sz w:val="24"/>
          <w:rtl/>
        </w:rPr>
        <w:t xml:space="preserve"> </w:t>
      </w:r>
      <w:r>
        <w:rPr>
          <w:rFonts w:hint="cs"/>
          <w:rtl/>
        </w:rPr>
        <w:t xml:space="preserve">היא </w:t>
      </w:r>
      <w:r w:rsidRPr="00783A85">
        <w:rPr>
          <w:rFonts w:ascii="David" w:hAnsi="David"/>
          <w:sz w:val="24"/>
          <w:rtl/>
        </w:rPr>
        <w:t xml:space="preserve">פעלה </w:t>
      </w:r>
      <w:r>
        <w:rPr>
          <w:rFonts w:ascii="David" w:hAnsi="David" w:hint="cs"/>
          <w:sz w:val="24"/>
          <w:rtl/>
        </w:rPr>
        <w:t>אקטיבית במהלך המשבר</w:t>
      </w:r>
      <w:r w:rsidRPr="00783A85">
        <w:rPr>
          <w:rFonts w:ascii="David" w:hAnsi="David"/>
          <w:sz w:val="24"/>
          <w:rtl/>
        </w:rPr>
        <w:t xml:space="preserve"> והקדישה משאבים ניכרים בהתייחס לגופים </w:t>
      </w:r>
      <w:r>
        <w:rPr>
          <w:rFonts w:ascii="David" w:hAnsi="David" w:hint="cs"/>
          <w:sz w:val="24"/>
          <w:rtl/>
        </w:rPr>
        <w:t>מוגדרים</w:t>
      </w:r>
      <w:r w:rsidRPr="00783A85">
        <w:rPr>
          <w:rFonts w:ascii="David" w:hAnsi="David"/>
          <w:sz w:val="24"/>
          <w:rtl/>
        </w:rPr>
        <w:t xml:space="preserve"> </w:t>
      </w:r>
      <w:r>
        <w:rPr>
          <w:rFonts w:ascii="David" w:hAnsi="David" w:hint="cs"/>
          <w:sz w:val="24"/>
          <w:rtl/>
        </w:rPr>
        <w:t>ש</w:t>
      </w:r>
      <w:r w:rsidRPr="00783A85">
        <w:rPr>
          <w:rFonts w:ascii="David" w:hAnsi="David"/>
          <w:sz w:val="24"/>
          <w:rtl/>
        </w:rPr>
        <w:t>בהם זוהתה חשיפה עודפת.</w:t>
      </w:r>
      <w:r>
        <w:rPr>
          <w:rFonts w:ascii="David" w:hAnsi="David" w:hint="cs"/>
          <w:sz w:val="24"/>
          <w:rtl/>
        </w:rPr>
        <w:t xml:space="preserve"> עוד ציינה הרשות כי</w:t>
      </w:r>
      <w:r>
        <w:rPr>
          <w:rFonts w:ascii="David" w:hAnsi="David"/>
          <w:sz w:val="24"/>
          <w:rtl/>
        </w:rPr>
        <w:t xml:space="preserve"> בהתייחס לגופים </w:t>
      </w:r>
      <w:r>
        <w:rPr>
          <w:rFonts w:ascii="David" w:hAnsi="David" w:hint="cs"/>
          <w:sz w:val="24"/>
          <w:rtl/>
        </w:rPr>
        <w:t>הללו</w:t>
      </w:r>
      <w:r>
        <w:rPr>
          <w:rFonts w:ascii="David" w:hAnsi="David"/>
          <w:sz w:val="24"/>
          <w:rtl/>
        </w:rPr>
        <w:t xml:space="preserve"> פעלה </w:t>
      </w:r>
      <w:r w:rsidRPr="00783A85">
        <w:rPr>
          <w:rFonts w:ascii="David" w:hAnsi="David"/>
          <w:sz w:val="24"/>
          <w:rtl/>
        </w:rPr>
        <w:t xml:space="preserve">לעריכת ביקורות, </w:t>
      </w:r>
      <w:r>
        <w:rPr>
          <w:rFonts w:ascii="David" w:hAnsi="David" w:hint="cs"/>
          <w:sz w:val="24"/>
          <w:rtl/>
        </w:rPr>
        <w:t>קבלת מידע</w:t>
      </w:r>
      <w:r w:rsidRPr="00783A85">
        <w:rPr>
          <w:rFonts w:ascii="David" w:hAnsi="David"/>
          <w:sz w:val="24"/>
          <w:rtl/>
        </w:rPr>
        <w:t>, מעקב שוטף, דיונים פנימיים, עדכונים שוטפים בהנהלה וקשר תדיר עם הגופים. בהתייחס</w:t>
      </w:r>
      <w:r>
        <w:rPr>
          <w:rFonts w:ascii="David" w:hAnsi="David" w:hint="cs"/>
          <w:sz w:val="24"/>
          <w:rtl/>
        </w:rPr>
        <w:t>ה</w:t>
      </w:r>
      <w:r w:rsidRPr="00783A85">
        <w:rPr>
          <w:rFonts w:ascii="David" w:hAnsi="David"/>
          <w:sz w:val="24"/>
          <w:rtl/>
        </w:rPr>
        <w:t xml:space="preserve"> לגופים שבהם לא נרשם סיכון מוגבר, </w:t>
      </w:r>
      <w:r>
        <w:rPr>
          <w:rFonts w:ascii="David" w:hAnsi="David" w:hint="cs"/>
          <w:sz w:val="24"/>
          <w:rtl/>
        </w:rPr>
        <w:t xml:space="preserve">דיווחה הרשות כי </w:t>
      </w:r>
      <w:r w:rsidRPr="00783A85">
        <w:rPr>
          <w:rFonts w:ascii="David" w:hAnsi="David"/>
          <w:sz w:val="24"/>
          <w:rtl/>
        </w:rPr>
        <w:t>ערכה שיחות עדכון עם גורמים שוני</w:t>
      </w:r>
      <w:r>
        <w:rPr>
          <w:rFonts w:ascii="David" w:hAnsi="David"/>
          <w:sz w:val="24"/>
          <w:rtl/>
        </w:rPr>
        <w:t>ם</w:t>
      </w:r>
      <w:r>
        <w:rPr>
          <w:rFonts w:ascii="David" w:hAnsi="David" w:hint="cs"/>
          <w:sz w:val="24"/>
          <w:rtl/>
        </w:rPr>
        <w:t>, דוגמת</w:t>
      </w:r>
      <w:r w:rsidRPr="00783A85">
        <w:rPr>
          <w:rFonts w:ascii="David" w:hAnsi="David"/>
          <w:sz w:val="24"/>
          <w:rtl/>
        </w:rPr>
        <w:t xml:space="preserve"> מנהלי הסיכונים</w:t>
      </w:r>
      <w:r>
        <w:rPr>
          <w:rFonts w:ascii="David" w:hAnsi="David" w:hint="cs"/>
          <w:sz w:val="24"/>
          <w:rtl/>
        </w:rPr>
        <w:t>,</w:t>
      </w:r>
      <w:r>
        <w:rPr>
          <w:rFonts w:ascii="David" w:hAnsi="David"/>
          <w:sz w:val="24"/>
          <w:rtl/>
        </w:rPr>
        <w:t xml:space="preserve"> ו</w:t>
      </w:r>
      <w:r>
        <w:rPr>
          <w:rFonts w:ascii="David" w:hAnsi="David" w:hint="cs"/>
          <w:sz w:val="24"/>
          <w:rtl/>
        </w:rPr>
        <w:t xml:space="preserve">כי </w:t>
      </w:r>
      <w:r>
        <w:rPr>
          <w:rFonts w:ascii="David" w:hAnsi="David"/>
          <w:sz w:val="24"/>
          <w:rtl/>
        </w:rPr>
        <w:t>נדון</w:t>
      </w:r>
      <w:r>
        <w:rPr>
          <w:rFonts w:ascii="David" w:hAnsi="David" w:hint="cs"/>
          <w:sz w:val="24"/>
          <w:rtl/>
        </w:rPr>
        <w:t>, בין היתר,</w:t>
      </w:r>
      <w:r>
        <w:rPr>
          <w:rFonts w:ascii="David" w:hAnsi="David"/>
          <w:sz w:val="24"/>
          <w:rtl/>
        </w:rPr>
        <w:t xml:space="preserve"> </w:t>
      </w:r>
      <w:r w:rsidRPr="00783A85">
        <w:rPr>
          <w:rFonts w:ascii="David" w:hAnsi="David"/>
          <w:sz w:val="24"/>
          <w:rtl/>
        </w:rPr>
        <w:t>סיכון הנזילות.</w:t>
      </w:r>
    </w:p>
    <w:p w:rsidR="000F413C" w:rsidRPr="00153B3E" w:rsidP="00982BC1" w14:paraId="3D80B866" w14:textId="3A071141">
      <w:pPr>
        <w:pStyle w:val="a"/>
        <w:spacing w:line="269" w:lineRule="auto"/>
        <w:rPr>
          <w:rtl/>
        </w:rPr>
      </w:pPr>
      <w:r w:rsidRPr="00153B3E">
        <w:rPr>
          <w:rFonts w:hint="cs"/>
          <w:rtl/>
        </w:rPr>
        <w:fldChar w:fldCharType="begin"/>
      </w:r>
      <w:r w:rsidRPr="00153B3E">
        <w:rPr>
          <w:rFonts w:hint="cs"/>
          <w:rtl/>
        </w:rPr>
        <w:instrText xml:space="preserve"> </w:instrText>
      </w:r>
      <w:r w:rsidRPr="00153B3E">
        <w:instrText>AUTONUMLGL \e  \* MERGEFORMAT</w:instrText>
      </w:r>
      <w:r w:rsidRPr="00153B3E">
        <w:rPr>
          <w:rFonts w:hint="cs"/>
          <w:rtl/>
        </w:rPr>
        <w:instrText xml:space="preserve"> </w:instrText>
      </w:r>
      <w:r w:rsidRPr="00153B3E">
        <w:rPr>
          <w:rFonts w:hint="cs"/>
          <w:rtl/>
        </w:rPr>
        <w:fldChar w:fldCharType="end"/>
      </w:r>
    </w:p>
    <w:p w:rsidR="000F413C" w:rsidP="00982BC1" w14:paraId="0E2EFBA5" w14:textId="5C96F35D">
      <w:pPr>
        <w:spacing w:line="269" w:lineRule="auto"/>
        <w:rPr>
          <w:b/>
          <w:bCs/>
          <w:rtl/>
        </w:rPr>
      </w:pPr>
      <w:r w:rsidRPr="00153B3E">
        <w:rPr>
          <w:rFonts w:hint="eastAsia"/>
          <w:b/>
          <w:bCs/>
          <w:rtl/>
        </w:rPr>
        <w:t>בהמשך</w:t>
      </w:r>
      <w:r w:rsidRPr="00153B3E">
        <w:rPr>
          <w:b/>
          <w:bCs/>
          <w:rtl/>
        </w:rPr>
        <w:t xml:space="preserve"> </w:t>
      </w:r>
      <w:r w:rsidRPr="00153B3E">
        <w:rPr>
          <w:rFonts w:hint="eastAsia"/>
          <w:b/>
          <w:bCs/>
          <w:rtl/>
        </w:rPr>
        <w:t>לפעולות</w:t>
      </w:r>
      <w:r w:rsidRPr="00153B3E">
        <w:rPr>
          <w:b/>
          <w:bCs/>
          <w:rtl/>
        </w:rPr>
        <w:t xml:space="preserve"> </w:t>
      </w:r>
      <w:r w:rsidRPr="00153B3E">
        <w:rPr>
          <w:rFonts w:hint="eastAsia"/>
          <w:b/>
          <w:bCs/>
          <w:rtl/>
        </w:rPr>
        <w:t>רשות</w:t>
      </w:r>
      <w:r w:rsidRPr="00153B3E">
        <w:rPr>
          <w:b/>
          <w:bCs/>
          <w:rtl/>
        </w:rPr>
        <w:t xml:space="preserve"> </w:t>
      </w:r>
      <w:r w:rsidRPr="00153B3E">
        <w:rPr>
          <w:rFonts w:hint="eastAsia"/>
          <w:b/>
          <w:bCs/>
          <w:rtl/>
        </w:rPr>
        <w:t>שוק</w:t>
      </w:r>
      <w:r w:rsidRPr="00153B3E">
        <w:rPr>
          <w:b/>
          <w:bCs/>
          <w:rtl/>
        </w:rPr>
        <w:t xml:space="preserve"> </w:t>
      </w:r>
      <w:r w:rsidRPr="00153B3E">
        <w:rPr>
          <w:rFonts w:hint="eastAsia"/>
          <w:b/>
          <w:bCs/>
          <w:rtl/>
        </w:rPr>
        <w:t>ההון</w:t>
      </w:r>
      <w:r w:rsidRPr="00153B3E">
        <w:rPr>
          <w:b/>
          <w:bCs/>
          <w:rtl/>
        </w:rPr>
        <w:t xml:space="preserve"> </w:t>
      </w:r>
      <w:r w:rsidRPr="00153B3E">
        <w:rPr>
          <w:rFonts w:hint="eastAsia"/>
          <w:b/>
          <w:bCs/>
          <w:rtl/>
        </w:rPr>
        <w:t>אותן</w:t>
      </w:r>
      <w:r w:rsidRPr="00153B3E">
        <w:rPr>
          <w:b/>
          <w:bCs/>
          <w:rtl/>
        </w:rPr>
        <w:t xml:space="preserve"> </w:t>
      </w:r>
      <w:r w:rsidRPr="00153B3E">
        <w:rPr>
          <w:rFonts w:hint="eastAsia"/>
          <w:b/>
          <w:bCs/>
          <w:rtl/>
        </w:rPr>
        <w:t>מסרה</w:t>
      </w:r>
      <w:r w:rsidRPr="00153B3E">
        <w:rPr>
          <w:b/>
          <w:bCs/>
          <w:rtl/>
        </w:rPr>
        <w:t xml:space="preserve"> </w:t>
      </w:r>
      <w:r w:rsidRPr="00153B3E">
        <w:rPr>
          <w:rFonts w:hint="eastAsia"/>
          <w:b/>
          <w:bCs/>
          <w:rtl/>
        </w:rPr>
        <w:t>לצוות</w:t>
      </w:r>
      <w:r w:rsidRPr="00153B3E">
        <w:rPr>
          <w:b/>
          <w:bCs/>
          <w:rtl/>
        </w:rPr>
        <w:t xml:space="preserve"> </w:t>
      </w:r>
      <w:r w:rsidRPr="00153B3E">
        <w:rPr>
          <w:rFonts w:hint="eastAsia"/>
          <w:b/>
          <w:bCs/>
          <w:rtl/>
        </w:rPr>
        <w:t>הביקורת</w:t>
      </w:r>
      <w:r w:rsidRPr="00153B3E">
        <w:rPr>
          <w:b/>
          <w:bCs/>
          <w:rtl/>
        </w:rPr>
        <w:t xml:space="preserve">, </w:t>
      </w:r>
      <w:r w:rsidRPr="00153B3E">
        <w:rPr>
          <w:rFonts w:hint="eastAsia"/>
          <w:b/>
          <w:bCs/>
          <w:rtl/>
        </w:rPr>
        <w:t>ל</w:t>
      </w:r>
      <w:r w:rsidRPr="00153B3E">
        <w:rPr>
          <w:rFonts w:hint="cs"/>
          <w:b/>
          <w:bCs/>
          <w:rtl/>
        </w:rPr>
        <w:t xml:space="preserve">א נמצא כי הרשות הנחתה </w:t>
      </w:r>
      <w:r w:rsidRPr="00153B3E" w:rsidR="003A5A81">
        <w:rPr>
          <w:rFonts w:hint="eastAsia"/>
          <w:b/>
          <w:bCs/>
          <w:rtl/>
        </w:rPr>
        <w:t>בחודשים</w:t>
      </w:r>
      <w:r w:rsidRPr="00153B3E" w:rsidR="003A5A81">
        <w:rPr>
          <w:b/>
          <w:bCs/>
          <w:rtl/>
        </w:rPr>
        <w:t xml:space="preserve"> </w:t>
      </w:r>
      <w:r w:rsidRPr="00153B3E" w:rsidR="00874A49">
        <w:rPr>
          <w:rFonts w:hint="cs"/>
          <w:b/>
          <w:bCs/>
          <w:rtl/>
        </w:rPr>
        <w:t>ינואר - פברואר 2020</w:t>
      </w:r>
      <w:r w:rsidRPr="00153B3E" w:rsidR="003A5A81">
        <w:rPr>
          <w:b/>
          <w:bCs/>
          <w:rtl/>
        </w:rPr>
        <w:t xml:space="preserve">, </w:t>
      </w:r>
      <w:r w:rsidRPr="00153B3E" w:rsidR="003A5A81">
        <w:rPr>
          <w:rFonts w:hint="eastAsia"/>
          <w:b/>
          <w:bCs/>
          <w:rtl/>
        </w:rPr>
        <w:t>עם</w:t>
      </w:r>
      <w:r w:rsidRPr="00153B3E" w:rsidR="003A5A81">
        <w:rPr>
          <w:b/>
          <w:bCs/>
          <w:rtl/>
        </w:rPr>
        <w:t xml:space="preserve"> </w:t>
      </w:r>
      <w:r w:rsidRPr="00153B3E" w:rsidR="003A5A81">
        <w:rPr>
          <w:rFonts w:hint="eastAsia"/>
          <w:b/>
          <w:bCs/>
          <w:rtl/>
        </w:rPr>
        <w:t>הזיהוי</w:t>
      </w:r>
      <w:r w:rsidRPr="00153B3E" w:rsidR="003A5A81">
        <w:rPr>
          <w:b/>
          <w:bCs/>
          <w:rtl/>
        </w:rPr>
        <w:t xml:space="preserve"> </w:t>
      </w:r>
      <w:r w:rsidRPr="00153B3E" w:rsidR="003A5A81">
        <w:rPr>
          <w:rFonts w:hint="eastAsia"/>
          <w:b/>
          <w:bCs/>
          <w:rtl/>
        </w:rPr>
        <w:t>על</w:t>
      </w:r>
      <w:r w:rsidRPr="00153B3E" w:rsidR="003A5A81">
        <w:rPr>
          <w:b/>
          <w:bCs/>
          <w:rtl/>
        </w:rPr>
        <w:t xml:space="preserve"> </w:t>
      </w:r>
      <w:r w:rsidRPr="00153B3E" w:rsidR="003A5A81">
        <w:rPr>
          <w:rFonts w:hint="eastAsia"/>
          <w:b/>
          <w:bCs/>
          <w:rtl/>
        </w:rPr>
        <w:t>תחילתו</w:t>
      </w:r>
      <w:r w:rsidRPr="00153B3E" w:rsidR="003A5A81">
        <w:rPr>
          <w:b/>
          <w:bCs/>
          <w:rtl/>
        </w:rPr>
        <w:t xml:space="preserve"> </w:t>
      </w:r>
      <w:r w:rsidRPr="00153B3E" w:rsidR="003A5A81">
        <w:rPr>
          <w:rFonts w:hint="eastAsia"/>
          <w:b/>
          <w:bCs/>
          <w:rtl/>
        </w:rPr>
        <w:t>של</w:t>
      </w:r>
      <w:r w:rsidRPr="00153B3E" w:rsidR="003A5A81">
        <w:rPr>
          <w:b/>
          <w:bCs/>
          <w:rtl/>
        </w:rPr>
        <w:t xml:space="preserve"> </w:t>
      </w:r>
      <w:r w:rsidRPr="00153B3E" w:rsidR="003A5A81">
        <w:rPr>
          <w:rFonts w:hint="eastAsia"/>
          <w:b/>
          <w:bCs/>
          <w:rtl/>
        </w:rPr>
        <w:t>משבר</w:t>
      </w:r>
      <w:r w:rsidRPr="00153B3E" w:rsidR="003A5A81">
        <w:rPr>
          <w:b/>
          <w:bCs/>
          <w:rtl/>
        </w:rPr>
        <w:t xml:space="preserve"> הקורונה,</w:t>
      </w:r>
      <w:r w:rsidRPr="00153B3E" w:rsidR="003A5A81">
        <w:rPr>
          <w:rFonts w:hint="cs"/>
          <w:b/>
          <w:bCs/>
          <w:rtl/>
        </w:rPr>
        <w:t xml:space="preserve"> </w:t>
      </w:r>
      <w:r w:rsidRPr="00153B3E">
        <w:rPr>
          <w:rFonts w:hint="cs"/>
          <w:b/>
          <w:bCs/>
          <w:rtl/>
        </w:rPr>
        <w:t>את הגופים המוסדיים לנתח סיכונים מותאמים למשבר מסתמן או לנקוט פעולות אחרות להפחתת החשיפה של הגופים המוסדיים לסיכונים הנובעים מפעילותם כהכנה לקראתו.</w:t>
      </w:r>
      <w:r w:rsidRPr="00153B3E" w:rsidR="003A5A81">
        <w:rPr>
          <w:rFonts w:hint="cs"/>
          <w:b/>
          <w:bCs/>
          <w:rtl/>
        </w:rPr>
        <w:t xml:space="preserve"> </w:t>
      </w:r>
      <w:r w:rsidRPr="00153B3E" w:rsidR="003A5A81">
        <w:rPr>
          <w:rFonts w:hint="eastAsia"/>
          <w:b/>
          <w:bCs/>
          <w:rtl/>
        </w:rPr>
        <w:t>כמו</w:t>
      </w:r>
      <w:r w:rsidRPr="00153B3E" w:rsidR="003A5A81">
        <w:rPr>
          <w:b/>
          <w:bCs/>
          <w:rtl/>
        </w:rPr>
        <w:t xml:space="preserve"> כן, </w:t>
      </w:r>
      <w:r w:rsidRPr="00153B3E" w:rsidR="003A5A81">
        <w:rPr>
          <w:rFonts w:hint="eastAsia"/>
          <w:b/>
          <w:bCs/>
          <w:rtl/>
        </w:rPr>
        <w:t>במהלך</w:t>
      </w:r>
      <w:r w:rsidRPr="00153B3E" w:rsidR="003A5A81">
        <w:rPr>
          <w:b/>
          <w:bCs/>
          <w:rtl/>
        </w:rPr>
        <w:t xml:space="preserve"> המשבר, </w:t>
      </w:r>
      <w:r w:rsidRPr="00153B3E" w:rsidR="003A5A81">
        <w:rPr>
          <w:rFonts w:hint="eastAsia"/>
          <w:b/>
          <w:bCs/>
          <w:rtl/>
        </w:rPr>
        <w:t>הרשות</w:t>
      </w:r>
      <w:r w:rsidRPr="00153B3E" w:rsidR="003A5A81">
        <w:rPr>
          <w:b/>
          <w:bCs/>
          <w:rtl/>
        </w:rPr>
        <w:t xml:space="preserve"> </w:t>
      </w:r>
      <w:r w:rsidRPr="00153B3E" w:rsidR="003A5A81">
        <w:rPr>
          <w:rFonts w:hint="eastAsia"/>
          <w:b/>
          <w:bCs/>
          <w:rtl/>
        </w:rPr>
        <w:t>לא</w:t>
      </w:r>
      <w:r w:rsidRPr="00153B3E" w:rsidR="003A5A81">
        <w:rPr>
          <w:b/>
          <w:bCs/>
          <w:rtl/>
        </w:rPr>
        <w:t xml:space="preserve"> </w:t>
      </w:r>
      <w:r w:rsidRPr="00153B3E" w:rsidR="003A5A81">
        <w:rPr>
          <w:rFonts w:hint="eastAsia"/>
          <w:b/>
          <w:bCs/>
          <w:rtl/>
        </w:rPr>
        <w:t>הנחתה</w:t>
      </w:r>
      <w:r w:rsidRPr="00153B3E" w:rsidR="003A5A81">
        <w:rPr>
          <w:b/>
          <w:bCs/>
          <w:rtl/>
        </w:rPr>
        <w:t xml:space="preserve"> </w:t>
      </w:r>
      <w:r w:rsidRPr="00153B3E" w:rsidR="003A5A81">
        <w:rPr>
          <w:rFonts w:hint="eastAsia"/>
          <w:b/>
          <w:bCs/>
          <w:rtl/>
        </w:rPr>
        <w:t>בכתב</w:t>
      </w:r>
      <w:r w:rsidRPr="00153B3E" w:rsidR="00416C38">
        <w:rPr>
          <w:b/>
          <w:bCs/>
          <w:rtl/>
        </w:rPr>
        <w:t xml:space="preserve"> את הגופיים המוסדיים לגבי </w:t>
      </w:r>
      <w:r w:rsidRPr="00153B3E" w:rsidR="00874A49">
        <w:rPr>
          <w:rFonts w:hint="cs"/>
          <w:b/>
          <w:bCs/>
          <w:rtl/>
        </w:rPr>
        <w:t>ניתוח הסיכונים או ביצוע פעולות אחרות.</w:t>
      </w:r>
      <w:r w:rsidR="005537CA">
        <w:rPr>
          <w:rFonts w:hint="cs"/>
          <w:b/>
          <w:bCs/>
          <w:rtl/>
        </w:rPr>
        <w:t xml:space="preserve"> </w:t>
      </w:r>
    </w:p>
    <w:p w:rsidR="000F413C" w:rsidRPr="00153B3E" w:rsidP="00982BC1" w14:paraId="3B78B392" w14:textId="11C6E056">
      <w:pPr>
        <w:pStyle w:val="a"/>
        <w:spacing w:line="269" w:lineRule="auto"/>
        <w:rPr>
          <w:rtl/>
        </w:rPr>
      </w:pPr>
      <w:r w:rsidRPr="00153B3E">
        <w:rPr>
          <w:rtl/>
        </w:rPr>
        <w:fldChar w:fldCharType="begin"/>
      </w:r>
      <w:r w:rsidRPr="00153B3E">
        <w:rPr>
          <w:rtl/>
        </w:rPr>
        <w:instrText xml:space="preserve"> </w:instrText>
      </w:r>
      <w:r w:rsidRPr="00153B3E">
        <w:rPr>
          <w:rFonts w:hint="cs"/>
        </w:rPr>
        <w:instrText>AUTONUMLGL \e  \* MERGEFORMAT</w:instrText>
      </w:r>
      <w:r w:rsidRPr="00153B3E">
        <w:rPr>
          <w:rtl/>
        </w:rPr>
        <w:instrText xml:space="preserve"> </w:instrText>
      </w:r>
      <w:r w:rsidRPr="00153B3E">
        <w:rPr>
          <w:rtl/>
        </w:rPr>
        <w:fldChar w:fldCharType="end"/>
      </w:r>
      <w:r w:rsidRPr="00153B3E">
        <w:rPr>
          <w:rFonts w:hint="cs"/>
          <w:rtl/>
        </w:rPr>
        <w:t xml:space="preserve"> </w:t>
      </w:r>
    </w:p>
    <w:p w:rsidR="000F413C" w:rsidP="00982BC1" w14:paraId="208DBE95" w14:textId="46AE015A">
      <w:pPr>
        <w:spacing w:line="269" w:lineRule="auto"/>
        <w:rPr>
          <w:b/>
          <w:bCs/>
          <w:rtl/>
        </w:rPr>
      </w:pPr>
      <w:r w:rsidRPr="00153B3E">
        <w:rPr>
          <w:rFonts w:hint="cs"/>
          <w:b/>
          <w:bCs/>
          <w:rtl/>
        </w:rPr>
        <w:t xml:space="preserve">מומלץ כי רשות שוק </w:t>
      </w:r>
      <w:r w:rsidRPr="00153B3E">
        <w:rPr>
          <w:rFonts w:hint="eastAsia"/>
          <w:b/>
          <w:bCs/>
          <w:rtl/>
        </w:rPr>
        <w:t>ההון</w:t>
      </w:r>
      <w:r w:rsidRPr="00153B3E">
        <w:rPr>
          <w:b/>
          <w:bCs/>
          <w:rtl/>
        </w:rPr>
        <w:t xml:space="preserve"> </w:t>
      </w:r>
      <w:r w:rsidRPr="00153B3E">
        <w:rPr>
          <w:rFonts w:hint="eastAsia"/>
          <w:b/>
          <w:bCs/>
          <w:rtl/>
        </w:rPr>
        <w:t>תנחה</w:t>
      </w:r>
      <w:r w:rsidRPr="00153B3E" w:rsidR="005F4D81">
        <w:rPr>
          <w:b/>
          <w:bCs/>
          <w:rtl/>
        </w:rPr>
        <w:t xml:space="preserve"> בכתב</w:t>
      </w:r>
      <w:r w:rsidRPr="00153B3E">
        <w:rPr>
          <w:b/>
          <w:bCs/>
          <w:rtl/>
        </w:rPr>
        <w:t xml:space="preserve"> </w:t>
      </w:r>
      <w:r w:rsidRPr="00153B3E">
        <w:rPr>
          <w:rFonts w:hint="cs"/>
          <w:b/>
          <w:bCs/>
          <w:rtl/>
        </w:rPr>
        <w:t>את</w:t>
      </w:r>
      <w:r w:rsidRPr="00153B3E">
        <w:rPr>
          <w:b/>
          <w:bCs/>
          <w:rtl/>
        </w:rPr>
        <w:t xml:space="preserve"> הגופים המוסדיים </w:t>
      </w:r>
      <w:r w:rsidRPr="00153B3E">
        <w:rPr>
          <w:rFonts w:hint="cs"/>
          <w:b/>
          <w:bCs/>
          <w:rtl/>
        </w:rPr>
        <w:t>לנתח</w:t>
      </w:r>
      <w:r w:rsidRPr="00153B3E">
        <w:rPr>
          <w:b/>
          <w:bCs/>
          <w:rtl/>
        </w:rPr>
        <w:t xml:space="preserve"> סיכונים מותאמים לתקופת משבר או לנקוט פעולות אחרות </w:t>
      </w:r>
      <w:r w:rsidRPr="00153B3E">
        <w:rPr>
          <w:rFonts w:hint="eastAsia"/>
          <w:b/>
          <w:bCs/>
          <w:rtl/>
        </w:rPr>
        <w:t>לשם</w:t>
      </w:r>
      <w:r w:rsidRPr="00153B3E">
        <w:rPr>
          <w:b/>
          <w:bCs/>
          <w:rtl/>
        </w:rPr>
        <w:t xml:space="preserve"> </w:t>
      </w:r>
      <w:r w:rsidRPr="00153B3E">
        <w:rPr>
          <w:rFonts w:hint="cs"/>
          <w:b/>
          <w:bCs/>
          <w:rtl/>
        </w:rPr>
        <w:t>צמצום ה</w:t>
      </w:r>
      <w:r w:rsidRPr="00153B3E">
        <w:rPr>
          <w:rFonts w:hint="eastAsia"/>
          <w:b/>
          <w:bCs/>
          <w:rtl/>
        </w:rPr>
        <w:t>סיכונים</w:t>
      </w:r>
      <w:r w:rsidRPr="00BA1776">
        <w:rPr>
          <w:b/>
          <w:bCs/>
          <w:rtl/>
        </w:rPr>
        <w:t xml:space="preserve"> </w:t>
      </w:r>
      <w:r>
        <w:rPr>
          <w:rFonts w:hint="cs"/>
          <w:b/>
          <w:bCs/>
          <w:rtl/>
        </w:rPr>
        <w:t>הללו</w:t>
      </w:r>
      <w:r w:rsidRPr="00BA1776">
        <w:rPr>
          <w:b/>
          <w:bCs/>
          <w:rtl/>
        </w:rPr>
        <w:t>.</w:t>
      </w:r>
    </w:p>
    <w:p w:rsidR="00E065A2" w:rsidRPr="003D727E" w:rsidP="00982BC1" w14:paraId="1C76BA81" w14:textId="77777777">
      <w:pPr>
        <w:spacing w:line="269" w:lineRule="auto"/>
        <w:rPr>
          <w:b/>
          <w:bCs/>
          <w:rtl/>
        </w:rPr>
      </w:pPr>
    </w:p>
    <w:p w:rsidR="000F413C" w:rsidP="00982BC1" w14:paraId="78D52C19" w14:textId="77777777">
      <w:pPr>
        <w:pStyle w:val="Heading5"/>
        <w:spacing w:line="269" w:lineRule="auto"/>
        <w:rPr>
          <w:rtl/>
        </w:rPr>
      </w:pPr>
      <w:r>
        <w:rPr>
          <w:rFonts w:hint="cs"/>
          <w:rtl/>
        </w:rPr>
        <w:t>פעולות רשות ניירות ערך</w:t>
      </w:r>
    </w:p>
    <w:p w:rsidR="000F413C" w:rsidP="00982BC1" w14:paraId="2509B059" w14:textId="5D3EF250">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7FBF0425" w14:textId="77777777">
      <w:pPr>
        <w:spacing w:line="269" w:lineRule="auto"/>
        <w:rPr>
          <w:rtl/>
        </w:rPr>
      </w:pPr>
      <w:r>
        <w:rPr>
          <w:rFonts w:hint="cs"/>
          <w:rtl/>
        </w:rPr>
        <w:t xml:space="preserve">עם פרוץ המשבר חוו חברות הנסחרות בבורסה ירידות חדות בשוויין ועליות בתשואות האג"ח שהנפיקו לציבור, תוך כדי עלייה בתנודתיות במחירי סחורות ונכסי סיכון. במסגרת חובותיהן הרגולטוריות, נדרשות החברות לדווח לציבור על השפעה מהותית על עסקיהן. </w:t>
      </w:r>
    </w:p>
    <w:p w:rsidR="000F413C" w:rsidP="00982BC1" w14:paraId="5E0EFA06" w14:textId="18C64978">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7F9A984F" w14:textId="77777777">
      <w:pPr>
        <w:spacing w:line="269" w:lineRule="auto"/>
        <w:rPr>
          <w:rtl/>
        </w:rPr>
      </w:pPr>
      <w:r>
        <w:rPr>
          <w:rFonts w:hint="cs"/>
          <w:rtl/>
        </w:rPr>
        <w:t>ביו</w:t>
      </w:r>
      <w:r w:rsidRPr="009B299A">
        <w:rPr>
          <w:rFonts w:hint="cs"/>
          <w:rtl/>
        </w:rPr>
        <w:t xml:space="preserve">ם </w:t>
      </w:r>
      <w:r w:rsidRPr="009B299A">
        <w:rPr>
          <w:rtl/>
        </w:rPr>
        <w:t>8.3.20</w:t>
      </w:r>
      <w:r w:rsidRPr="009B299A">
        <w:rPr>
          <w:rFonts w:hint="cs"/>
          <w:rtl/>
        </w:rPr>
        <w:t xml:space="preserve"> פרסמה רשות ני"ע הודעה</w:t>
      </w:r>
      <w:r>
        <w:rPr>
          <w:rStyle w:val="FootnoteReference"/>
          <w:rtl/>
        </w:rPr>
        <w:footnoteReference w:id="98"/>
      </w:r>
      <w:r w:rsidRPr="009B299A">
        <w:rPr>
          <w:rFonts w:hint="cs"/>
          <w:rtl/>
        </w:rPr>
        <w:t xml:space="preserve"> בעניין גילוי השלכות התפשטות נגיף הקורונה על פעילותם העסקית של תאגידים מדווחים, במטרה להבטיח כי ציבור המשקיעים יקבל מידע מפורט, מדויק </w:t>
      </w:r>
      <w:r w:rsidRPr="009B299A">
        <w:rPr>
          <w:rFonts w:hint="cs"/>
          <w:rtl/>
        </w:rPr>
        <w:t>ובזמן אמת על אודות ההשלכות על התאגידים המדווחים. במסגרת זו נדרשו תאגידים, שפעילותם מושפעת או עלולה להיות מושפעת בצורה מהותית מהאירוע, לוודא כי ניתן גילוי נאות למשקיעים שיאפשר להעריך את ההשפעה בצורה מיטבית ומאוזנת, ובכלל זה להבטיח: (א) פרסום דיווחים מיידיים בדבר ההשלכות על פעילותם העסקית</w:t>
      </w:r>
      <w:r>
        <w:rPr>
          <w:rStyle w:val="FootnoteReference"/>
          <w:rtl/>
        </w:rPr>
        <w:footnoteReference w:id="99"/>
      </w:r>
      <w:r w:rsidRPr="009B299A">
        <w:rPr>
          <w:rFonts w:hint="cs"/>
          <w:rtl/>
        </w:rPr>
        <w:t>; (ב) גילוי בדבר הסברי הדירקטוריון בדוחות העיתיים בדבר ההשפעה על התאגיד, לרבות מצבו הכספי, תוצאות הפעילות, נזילות ואיתנות פיננסית, מקורות מימון ויכולת לעמוד בפירעון התחייבויות, וכן פעולות שבכוונת התאגיד לנקוט כדי להתמודד עם הסיכונים והחשיפות הנובעים מהשלכות אלה</w:t>
      </w:r>
      <w:r>
        <w:rPr>
          <w:rStyle w:val="FootnoteReference"/>
          <w:rtl/>
        </w:rPr>
        <w:footnoteReference w:id="100"/>
      </w:r>
      <w:r w:rsidRPr="009B299A">
        <w:rPr>
          <w:rFonts w:hint="cs"/>
          <w:rtl/>
        </w:rPr>
        <w:t xml:space="preserve">; (ג) אומדן ההשפעה של האירועים מן הבחינות האיכותית והכמותית, ככל שניתן לאמוד בצורה מהימנה את ההשפעות. ביום </w:t>
      </w:r>
      <w:r w:rsidRPr="009B299A">
        <w:rPr>
          <w:rtl/>
        </w:rPr>
        <w:t>11.5.20</w:t>
      </w:r>
      <w:r w:rsidRPr="009B299A">
        <w:rPr>
          <w:rFonts w:hint="cs"/>
          <w:rtl/>
        </w:rPr>
        <w:t xml:space="preserve"> פרסמה הר</w:t>
      </w:r>
      <w:r>
        <w:rPr>
          <w:rFonts w:hint="cs"/>
          <w:rtl/>
        </w:rPr>
        <w:t>שות הודעה מורחבת בנושא היקף הגילוי הנכלל בדוח הדירקטוריון ודגשים בדבר השלכות המשבר על הדוחות הכספיים.</w:t>
      </w:r>
    </w:p>
    <w:p w:rsidR="000F413C" w:rsidP="00982BC1" w14:paraId="68D2109F" w14:textId="7E225F3D">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5DD4A2C4" w14:textId="3F2A53D1">
      <w:pPr>
        <w:spacing w:line="269" w:lineRule="auto"/>
        <w:rPr>
          <w:rtl/>
        </w:rPr>
      </w:pPr>
      <w:r>
        <w:rPr>
          <w:rFonts w:hint="cs"/>
          <w:rtl/>
        </w:rPr>
        <w:t>מפרסומי הרשות</w:t>
      </w:r>
      <w:r>
        <w:rPr>
          <w:rStyle w:val="FootnoteReference"/>
          <w:rtl/>
        </w:rPr>
        <w:footnoteReference w:id="101"/>
      </w:r>
      <w:r>
        <w:rPr>
          <w:rFonts w:hint="cs"/>
          <w:rtl/>
        </w:rPr>
        <w:t xml:space="preserve"> עולה כי עד סוף מאי 2020 דיווחו 194 חברות ב-352 דיווחים מיידים על השלכות אפשריות של המשבר. שווי השוק של החברות שדיווחו נאמד ב-213 מיליארד ש"ח, ושיעורם כ-30% מסך שווי שוק המניות בבורסה. תחילה, דיווחו חברות שבהן ניכרו השלכות המשבר, ובהן אופנה והלבשה, מלונאות ותיירות, תעופה וחברות מתחומי התעשייה והמסחר המייצרות בסין או רוכשות ממנה. בהמשך התקבלו דיווחים מחברות נוספות שמקורם, בעיקר, מתחומי האנרגיה, חיפוש גז ונפט, נדל"ן ובינוי, שירותים פיננסיים, מסחר ושירותים. עד מאי הוערכה השפעה מהותית ב-91 חברות בעלות שווי שוק כולל של 90 מיליארד ש"ח (14% משווי השוק בבורסה). </w:t>
      </w:r>
    </w:p>
    <w:p w:rsidR="000F413C" w:rsidP="00982BC1" w14:paraId="41750E79" w14:textId="08B60652">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42B9068F" w14:textId="77777777">
      <w:pPr>
        <w:spacing w:line="269" w:lineRule="auto"/>
        <w:rPr>
          <w:rtl/>
        </w:rPr>
      </w:pPr>
      <w:r>
        <w:rPr>
          <w:rFonts w:hint="cs"/>
          <w:rtl/>
        </w:rPr>
        <w:t>הביקורת העלתה כי רשות ני"ע פעלה במהירות לקבלת ניתוח השפעות המשבר ולפרסום הנחיות רגולטוריות בדבר הגילוי הנדרש לציבור. נמצא גם כי מערכת מגנא</w:t>
      </w:r>
      <w:r>
        <w:rPr>
          <w:rStyle w:val="FootnoteReference"/>
          <w:rtl/>
        </w:rPr>
        <w:footnoteReference w:id="102"/>
      </w:r>
      <w:r>
        <w:rPr>
          <w:rFonts w:hint="cs"/>
          <w:rtl/>
        </w:rPr>
        <w:t xml:space="preserve"> ערוכה לפעול בחירום, לרבות באמצעות תשתית טכנית ראויה ונוהלי עבודה סדורים.</w:t>
      </w:r>
    </w:p>
    <w:p w:rsidR="000F413C" w:rsidP="00982BC1" w14:paraId="4F3D642E" w14:textId="0B6D8FB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0F413C" w:rsidP="00982BC1" w14:paraId="01391673" w14:textId="38EEBA0D">
      <w:pPr>
        <w:spacing w:line="269" w:lineRule="auto"/>
        <w:rPr>
          <w:b/>
          <w:bCs/>
          <w:rtl/>
        </w:rPr>
      </w:pPr>
      <w:r>
        <w:rPr>
          <w:rFonts w:hint="cs"/>
          <w:b/>
          <w:bCs/>
          <w:rtl/>
        </w:rPr>
        <w:t>משרד מבקר המדינה מציין לחיוב את פעולות רשות ני"ע שהובילו למתן ודאות לדרישות הגילוי הכמותיות והאיכותיות הנדרשות, ולכך שדיווחי החברות הגיעו בזמן.</w:t>
      </w:r>
    </w:p>
    <w:p w:rsidR="00E065A2" w:rsidRPr="00EF1138" w:rsidP="00982BC1" w14:paraId="39644DDB" w14:textId="77777777">
      <w:pPr>
        <w:spacing w:line="269" w:lineRule="auto"/>
        <w:rPr>
          <w:b/>
          <w:bCs/>
          <w:rtl/>
        </w:rPr>
      </w:pPr>
    </w:p>
    <w:p w:rsidR="000F413C" w:rsidP="00982BC1" w14:paraId="061EF62C" w14:textId="77777777">
      <w:pPr>
        <w:pStyle w:val="Heading4"/>
        <w:spacing w:before="0" w:line="269" w:lineRule="auto"/>
        <w:rPr>
          <w:rtl/>
        </w:rPr>
      </w:pPr>
      <w:r>
        <w:rPr>
          <w:rFonts w:hint="cs"/>
          <w:rtl/>
        </w:rPr>
        <w:t>חיוניות פעילותם של הרגולטורים הפיננסיים</w:t>
      </w:r>
    </w:p>
    <w:p w:rsidR="000F413C" w:rsidP="00982BC1" w14:paraId="6CD6B8E5" w14:textId="41B6E913">
      <w:pPr>
        <w:pStyle w:val="a"/>
        <w:spacing w:line="269" w:lineRule="auto"/>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04801666" w14:textId="77777777">
      <w:pPr>
        <w:spacing w:line="269" w:lineRule="auto"/>
        <w:rPr>
          <w:rtl/>
        </w:rPr>
      </w:pPr>
      <w:r>
        <w:rPr>
          <w:rFonts w:hint="cs"/>
          <w:rtl/>
        </w:rPr>
        <w:t xml:space="preserve">בתוקף סמכותה לפי סעיף 39 לחוק יסוד: הממשלה, התקינה </w:t>
      </w:r>
      <w:r w:rsidRPr="009B299A">
        <w:rPr>
          <w:rFonts w:hint="cs"/>
          <w:rtl/>
        </w:rPr>
        <w:t xml:space="preserve">הממשלה ביום </w:t>
      </w:r>
      <w:r w:rsidRPr="009B299A">
        <w:rPr>
          <w:rtl/>
        </w:rPr>
        <w:t>21.3.20</w:t>
      </w:r>
      <w:r w:rsidRPr="009B299A">
        <w:rPr>
          <w:rFonts w:hint="cs"/>
          <w:rtl/>
        </w:rPr>
        <w:t xml:space="preserve"> תקנות</w:t>
      </w:r>
      <w:r>
        <w:rPr>
          <w:rFonts w:hint="cs"/>
          <w:rtl/>
        </w:rPr>
        <w:t xml:space="preserve"> שעת חירום (הגבלת מספר העובדים במקום העבודה לשם צמצום התפשטות נגיף הקורונה החדש), התש"ף-2020</w:t>
      </w:r>
      <w:r>
        <w:rPr>
          <w:rStyle w:val="FootnoteReference"/>
          <w:rtl/>
        </w:rPr>
        <w:footnoteReference w:id="103"/>
      </w:r>
      <w:r>
        <w:rPr>
          <w:rFonts w:hint="cs"/>
          <w:rtl/>
        </w:rPr>
        <w:t xml:space="preserve">. </w:t>
      </w:r>
    </w:p>
    <w:p w:rsidR="000F413C" w:rsidP="00982BC1" w14:paraId="40E7FC2E" w14:textId="0A4C8A8A">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1EC2423C" w14:textId="77777777">
      <w:pPr>
        <w:spacing w:line="269" w:lineRule="auto"/>
        <w:rPr>
          <w:rtl/>
        </w:rPr>
      </w:pPr>
      <w:r>
        <w:rPr>
          <w:rFonts w:hint="cs"/>
          <w:rtl/>
        </w:rPr>
        <w:t>בתקנה 2(א) לתקנות האמורות נקבע כי לא ישהו במקום עבודה בו בזמן יותר מ-10 עובדים או 30% ממצבת העובדים, לפי הגבוה מביניהם. להוראה זו נקבעו חריגים: בתקנה 2(י)(2) נקבע כי ההגבלה על מספר העובדים במקום עבודה לא תחול על מקומות עבודה שתחום פעילותם נכלל בתוספת לתקנות</w:t>
      </w:r>
      <w:r>
        <w:rPr>
          <w:rStyle w:val="FootnoteReference"/>
          <w:rtl/>
        </w:rPr>
        <w:footnoteReference w:id="104"/>
      </w:r>
      <w:r>
        <w:rPr>
          <w:rFonts w:hint="cs"/>
          <w:rtl/>
        </w:rPr>
        <w:t xml:space="preserve">, ובלבד שצמצמו, ככל הניתן, את מספר העובדים למספר הדרוש לצורך הבטחת פעילותם החיונית. בתוספת לתקנות (אשר בהמשך תוקן שמה לתוספת הראשונה) נכללו מקומות עבודה מהמגזר הפיננסי, ובכללם נותני שירותי בנקאות וספקיהם, וגופים שונים הפועלים בשוק ההון. החרגת גופים מהמגזר הפיננסי משקפת את הצורך בהבטחת פעילותם החיונית. בתקנה 2(ב)(9) נקבע כי מנכ"ל משרד ממשלתי רשאי להורות על העלאת מספר העובדים המרבי המותר לשהייה בו זמנית </w:t>
      </w:r>
      <w:r>
        <w:rPr>
          <w:rFonts w:hint="cs"/>
          <w:rtl/>
        </w:rPr>
        <w:t>עד שיעור של 35% ממצבת העובדים. תקנה 2(ב) מונה רשימה של גופים ציבוריים שהוחרגו מתחולת תקנה 2(א) לצורך הבטחת פעילותם החיונית וקובעת עבורם אחוזים פרטניים לשהייה בו זמנית במקום העבודה מתוך מצבת העובדים. בבנק ישראל הותר כי ישהו בו-זמנית במקום העבודה 40% מהעובדים וברשות שוק ההון - 60%.</w:t>
      </w:r>
    </w:p>
    <w:p w:rsidR="000F413C" w:rsidP="00982BC1" w14:paraId="1D73C341" w14:textId="5E4C3541">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7D1644B7" w14:textId="77777777">
      <w:pPr>
        <w:spacing w:line="269" w:lineRule="auto"/>
        <w:rPr>
          <w:b/>
          <w:bCs/>
          <w:rtl/>
        </w:rPr>
      </w:pPr>
      <w:r>
        <w:rPr>
          <w:rFonts w:hint="cs"/>
          <w:b/>
          <w:bCs/>
          <w:rtl/>
        </w:rPr>
        <w:t>למרות החשיבות הגלומה בפעילותה של רשות ני"ע מתוקף תפקידה כרגולטור פיננסי לא ניתן לכך ביטוי בתקנות שעת חירום ולא נקבעה לגבי הרשות הקלה בתחולת ההגבלה על מספר העובדים המרבי המותר לשהייה במקום העבודה. הנושא מקבל משנה תוקף ברקע התנודדות החדות בשווקים הפיננסיים, התעצמות המשבר הכלכלי והחרגת המגזר הפיננסי בתקנות.</w:t>
      </w:r>
    </w:p>
    <w:p w:rsidR="000F413C" w:rsidP="00982BC1" w14:paraId="5A5711D8" w14:textId="3612C0D3">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595484ED" w14:textId="77777777">
      <w:pPr>
        <w:spacing w:line="269" w:lineRule="auto"/>
        <w:rPr>
          <w:rtl/>
        </w:rPr>
      </w:pPr>
      <w:r>
        <w:rPr>
          <w:rFonts w:hint="cs"/>
          <w:rtl/>
        </w:rPr>
        <w:t>בשיחות שקיים צוות הביקורת עם מנכ"ל רשות ני"ע נמסר כי ההחלטה לא שקללה את משמעות עובדי הרשות כמפעל חיוני ואת עובדיו כחיוניים. מנגד, בתקנה 2(ב)(7) לתקנות הוחרגה רשות שוק ההון מהיקף ההעסקה הכללי המותר במגזר הציבורי, והותר לה לאפשר שהייה בו זמנית של 60% מתוך מצבת העובדים ברשות, עובדה הממחישה את מידת נחיצותו של רגולטור פיננסי בעת משבר כלכלי ומדגישה את התועלת בבחינת החרגת הרשות מהמסגרת המקובלת.</w:t>
      </w:r>
    </w:p>
    <w:p w:rsidR="000F413C" w:rsidP="00982BC1" w14:paraId="1A7C62CC" w14:textId="2C226C30">
      <w:pPr>
        <w:pStyle w:val="a"/>
        <w:spacing w:line="269" w:lineRule="auto"/>
        <w:rPr>
          <w:rtl/>
        </w:rPr>
      </w:pPr>
      <w:r>
        <w:rPr>
          <w:rFonts w:hint="cs"/>
          <w:rtl/>
        </w:rPr>
        <w:fldChar w:fldCharType="begin"/>
      </w:r>
      <w:r>
        <w:rPr>
          <w:rFonts w:hint="cs"/>
          <w:rtl/>
        </w:rPr>
        <w:instrText xml:space="preserve"> </w:instrText>
      </w:r>
      <w:r>
        <w:instrText>AUTONUMLGL \e  \* MERGEFORMAT</w:instrText>
      </w:r>
      <w:r>
        <w:rPr>
          <w:rFonts w:hint="cs"/>
          <w:rtl/>
        </w:rPr>
        <w:instrText xml:space="preserve"> </w:instrText>
      </w:r>
      <w:r>
        <w:rPr>
          <w:rFonts w:hint="cs"/>
          <w:rtl/>
        </w:rPr>
        <w:fldChar w:fldCharType="end"/>
      </w:r>
    </w:p>
    <w:p w:rsidR="000F413C" w:rsidP="00982BC1" w14:paraId="30E6F8C3" w14:textId="002FD2AB">
      <w:pPr>
        <w:spacing w:line="269" w:lineRule="auto"/>
        <w:rPr>
          <w:rtl/>
        </w:rPr>
      </w:pPr>
      <w:r>
        <w:rPr>
          <w:rFonts w:hint="cs"/>
          <w:rtl/>
        </w:rPr>
        <w:t xml:space="preserve">בישיבת ממשלה מס' </w:t>
      </w:r>
      <w:r w:rsidRPr="009B299A">
        <w:rPr>
          <w:rFonts w:hint="cs"/>
          <w:rtl/>
        </w:rPr>
        <w:t xml:space="preserve">217 ביום </w:t>
      </w:r>
      <w:r w:rsidRPr="009B299A">
        <w:rPr>
          <w:rtl/>
        </w:rPr>
        <w:t>20.3.20</w:t>
      </w:r>
      <w:r w:rsidRPr="009B299A">
        <w:rPr>
          <w:rFonts w:hint="cs"/>
          <w:rtl/>
        </w:rPr>
        <w:t xml:space="preserve"> נידונו בקשות להחרגת גופים שונים מהיקף ההעסקה הכללי המותר במגזר הציבורי. במסגרת זו הסכימו נגיד בנק ישראל ומנכ"ל משרד האוצר להרחיב את המגבלה בבנק ישראל ל-40%, כפי שנכתב לאחר מכן בסעיף 2(ד)(7) לתקנות.</w:t>
      </w:r>
    </w:p>
    <w:p w:rsidR="000F413C" w:rsidRPr="009B299A" w:rsidP="00982BC1" w14:paraId="27E223B6" w14:textId="2B469708">
      <w:pPr>
        <w:pStyle w:val="a"/>
        <w:spacing w:line="269" w:lineRule="auto"/>
        <w:rPr>
          <w:rtl/>
        </w:rPr>
      </w:pPr>
      <w:r w:rsidRPr="009B299A">
        <w:rPr>
          <w:rtl/>
        </w:rPr>
        <w:fldChar w:fldCharType="begin"/>
      </w:r>
      <w:r w:rsidRPr="009B299A">
        <w:rPr>
          <w:rtl/>
        </w:rPr>
        <w:instrText xml:space="preserve"> </w:instrText>
      </w:r>
      <w:r w:rsidRPr="009B299A">
        <w:instrText>AUTONUMLGL \e  \* MERGEFORMAT</w:instrText>
      </w:r>
      <w:r w:rsidRPr="009B299A">
        <w:rPr>
          <w:rtl/>
        </w:rPr>
        <w:instrText xml:space="preserve"> </w:instrText>
      </w:r>
      <w:r w:rsidRPr="009B299A">
        <w:rPr>
          <w:rtl/>
        </w:rPr>
        <w:fldChar w:fldCharType="end"/>
      </w:r>
    </w:p>
    <w:p w:rsidR="000F413C" w:rsidRPr="008E4374" w:rsidP="00982BC1" w14:paraId="2980D2E9" w14:textId="77777777">
      <w:pPr>
        <w:spacing w:line="269" w:lineRule="auto"/>
      </w:pPr>
      <w:r w:rsidRPr="009B299A">
        <w:rPr>
          <w:rFonts w:hint="cs"/>
          <w:rtl/>
        </w:rPr>
        <w:t xml:space="preserve">ביום </w:t>
      </w:r>
      <w:r w:rsidRPr="009B299A">
        <w:rPr>
          <w:rtl/>
        </w:rPr>
        <w:t>10.8.20</w:t>
      </w:r>
      <w:r w:rsidRPr="009B299A">
        <w:rPr>
          <w:rFonts w:hint="cs"/>
          <w:rtl/>
        </w:rPr>
        <w:t xml:space="preserve"> התקינה הממשלה תקנות חדשות המגבילות שהיית עובדים במקומות עבודה</w:t>
      </w:r>
      <w:r>
        <w:rPr>
          <w:rStyle w:val="FootnoteReference"/>
          <w:rtl/>
        </w:rPr>
        <w:footnoteReference w:id="105"/>
      </w:r>
      <w:r w:rsidRPr="009B299A">
        <w:rPr>
          <w:rFonts w:hint="cs"/>
          <w:rtl/>
        </w:rPr>
        <w:t xml:space="preserve">. תוקפן נקבע עד ליום </w:t>
      </w:r>
      <w:r w:rsidRPr="009B299A">
        <w:rPr>
          <w:rtl/>
        </w:rPr>
        <w:t>4.2.21</w:t>
      </w:r>
      <w:r w:rsidRPr="009B299A">
        <w:rPr>
          <w:rFonts w:hint="cs"/>
          <w:rtl/>
        </w:rPr>
        <w:t xml:space="preserve">. בתיקון לתקנות החדשות מיום </w:t>
      </w:r>
      <w:r w:rsidRPr="009B299A">
        <w:rPr>
          <w:rtl/>
        </w:rPr>
        <w:t>25.9.20</w:t>
      </w:r>
      <w:r>
        <w:rPr>
          <w:rStyle w:val="FootnoteReference"/>
          <w:rtl/>
        </w:rPr>
        <w:footnoteReference w:id="106"/>
      </w:r>
      <w:r w:rsidRPr="009B299A">
        <w:rPr>
          <w:rFonts w:hint="cs"/>
          <w:rtl/>
        </w:rPr>
        <w:t xml:space="preserve"> הוספו בנק ישראל ורשות ני"ע לתוספת השנייה שלהן. בגופים המנויים בתוספת השנייה, המעסיק</w:t>
      </w:r>
      <w:r>
        <w:rPr>
          <w:rFonts w:hint="cs"/>
          <w:rtl/>
        </w:rPr>
        <w:t xml:space="preserve"> רשאי לאפשר שהייה של עובדים במקום העבודה, ובלבד שהעובדים הכרחיים לשם הספקת המוצר או השירות. כלומר, לגבי גופים אלה אין התקנות החדשות מכתיבות למעסיק שיעור מסוים של עובדים שרשאים לשהות במקום </w:t>
      </w:r>
      <w:r w:rsidRPr="008E4374">
        <w:rPr>
          <w:rFonts w:hint="cs"/>
          <w:rtl/>
        </w:rPr>
        <w:t xml:space="preserve">העבודה. </w:t>
      </w:r>
    </w:p>
    <w:p w:rsidR="000F413C" w:rsidP="00982BC1" w14:paraId="4E280DA9" w14:textId="6BA5EEB8">
      <w:pPr>
        <w:pStyle w:val="a"/>
        <w:spacing w:line="269" w:lineRule="auto"/>
        <w:rPr>
          <w:rtl/>
        </w:rPr>
      </w:pPr>
      <w:r w:rsidRPr="008E4374">
        <w:rPr>
          <w:rFonts w:hint="cs"/>
          <w:rtl/>
        </w:rPr>
        <w:fldChar w:fldCharType="begin"/>
      </w:r>
      <w:r w:rsidRPr="008E4374">
        <w:rPr>
          <w:rFonts w:hint="cs"/>
          <w:rtl/>
        </w:rPr>
        <w:instrText xml:space="preserve"> </w:instrText>
      </w:r>
      <w:r w:rsidRPr="008E4374">
        <w:instrText>AUTONUMLGL \e  \* MERGEFORMAT</w:instrText>
      </w:r>
      <w:r w:rsidRPr="008E4374">
        <w:rPr>
          <w:rFonts w:hint="cs"/>
          <w:rtl/>
        </w:rPr>
        <w:instrText xml:space="preserve"> </w:instrText>
      </w:r>
      <w:r w:rsidRPr="008E4374">
        <w:rPr>
          <w:rFonts w:hint="cs"/>
          <w:rtl/>
        </w:rPr>
        <w:fldChar w:fldCharType="end"/>
      </w:r>
    </w:p>
    <w:p w:rsidR="000F413C" w:rsidRPr="00B27963" w:rsidP="00982BC1" w14:paraId="71A0DE23" w14:textId="77777777">
      <w:pPr>
        <w:spacing w:line="269" w:lineRule="auto"/>
        <w:rPr>
          <w:b/>
          <w:bCs/>
          <w:rtl/>
        </w:rPr>
      </w:pPr>
      <w:r w:rsidRPr="00DA7FD4">
        <w:rPr>
          <w:rFonts w:hint="cs"/>
          <w:b/>
          <w:bCs/>
          <w:rtl/>
        </w:rPr>
        <w:t xml:space="preserve">עלה כי </w:t>
      </w:r>
      <w:r w:rsidRPr="00067497">
        <w:rPr>
          <w:rFonts w:hint="eastAsia"/>
          <w:b/>
          <w:bCs/>
          <w:rtl/>
        </w:rPr>
        <w:t>בתקנות</w:t>
      </w:r>
      <w:r w:rsidRPr="00067497">
        <w:rPr>
          <w:b/>
          <w:bCs/>
          <w:rtl/>
        </w:rPr>
        <w:t xml:space="preserve"> </w:t>
      </w:r>
      <w:r w:rsidRPr="00067497">
        <w:rPr>
          <w:rFonts w:hint="eastAsia"/>
          <w:b/>
          <w:bCs/>
          <w:rtl/>
        </w:rPr>
        <w:t>שעת</w:t>
      </w:r>
      <w:r w:rsidRPr="00067497">
        <w:rPr>
          <w:b/>
          <w:bCs/>
          <w:rtl/>
        </w:rPr>
        <w:t xml:space="preserve"> </w:t>
      </w:r>
      <w:r w:rsidRPr="00067497">
        <w:rPr>
          <w:rFonts w:hint="eastAsia"/>
          <w:b/>
          <w:bCs/>
          <w:rtl/>
        </w:rPr>
        <w:t>חירום</w:t>
      </w:r>
      <w:r w:rsidRPr="00067497">
        <w:rPr>
          <w:b/>
          <w:bCs/>
          <w:rtl/>
        </w:rPr>
        <w:t xml:space="preserve"> (הגבלת </w:t>
      </w:r>
      <w:r w:rsidRPr="00067497">
        <w:rPr>
          <w:rFonts w:hint="eastAsia"/>
          <w:b/>
          <w:bCs/>
          <w:rtl/>
        </w:rPr>
        <w:t>מספר</w:t>
      </w:r>
      <w:r w:rsidRPr="00067497">
        <w:rPr>
          <w:b/>
          <w:bCs/>
          <w:rtl/>
        </w:rPr>
        <w:t xml:space="preserve"> </w:t>
      </w:r>
      <w:r w:rsidRPr="00067497">
        <w:rPr>
          <w:rFonts w:hint="eastAsia"/>
          <w:b/>
          <w:bCs/>
          <w:rtl/>
        </w:rPr>
        <w:t>העובדים</w:t>
      </w:r>
      <w:r w:rsidRPr="00067497">
        <w:rPr>
          <w:b/>
          <w:bCs/>
          <w:rtl/>
        </w:rPr>
        <w:t xml:space="preserve"> </w:t>
      </w:r>
      <w:r w:rsidRPr="00067497">
        <w:rPr>
          <w:rFonts w:hint="eastAsia"/>
          <w:b/>
          <w:bCs/>
          <w:rtl/>
        </w:rPr>
        <w:t>במקום</w:t>
      </w:r>
      <w:r w:rsidRPr="00067497">
        <w:rPr>
          <w:b/>
          <w:bCs/>
          <w:rtl/>
        </w:rPr>
        <w:t xml:space="preserve"> </w:t>
      </w:r>
      <w:r w:rsidRPr="00067497">
        <w:rPr>
          <w:rFonts w:hint="eastAsia"/>
          <w:b/>
          <w:bCs/>
          <w:rtl/>
        </w:rPr>
        <w:t>העבודה</w:t>
      </w:r>
      <w:r w:rsidRPr="00067497">
        <w:rPr>
          <w:b/>
          <w:bCs/>
          <w:rtl/>
        </w:rPr>
        <w:t xml:space="preserve"> </w:t>
      </w:r>
      <w:r w:rsidRPr="00067497">
        <w:rPr>
          <w:rFonts w:hint="eastAsia"/>
          <w:b/>
          <w:bCs/>
          <w:rtl/>
        </w:rPr>
        <w:t>לשם</w:t>
      </w:r>
      <w:r w:rsidRPr="00067497">
        <w:rPr>
          <w:b/>
          <w:bCs/>
          <w:rtl/>
        </w:rPr>
        <w:t xml:space="preserve"> </w:t>
      </w:r>
      <w:r w:rsidRPr="00067497">
        <w:rPr>
          <w:rFonts w:hint="eastAsia"/>
          <w:b/>
          <w:bCs/>
          <w:rtl/>
        </w:rPr>
        <w:t>צמצום</w:t>
      </w:r>
      <w:r w:rsidRPr="00067497">
        <w:rPr>
          <w:b/>
          <w:bCs/>
          <w:rtl/>
        </w:rPr>
        <w:t xml:space="preserve"> </w:t>
      </w:r>
      <w:r w:rsidRPr="00067497">
        <w:rPr>
          <w:rFonts w:hint="eastAsia"/>
          <w:b/>
          <w:bCs/>
          <w:rtl/>
        </w:rPr>
        <w:t>התפשטות</w:t>
      </w:r>
      <w:r w:rsidRPr="00067497">
        <w:rPr>
          <w:b/>
          <w:bCs/>
          <w:rtl/>
        </w:rPr>
        <w:t xml:space="preserve"> </w:t>
      </w:r>
      <w:r w:rsidRPr="00067497">
        <w:rPr>
          <w:rFonts w:hint="eastAsia"/>
          <w:b/>
          <w:bCs/>
          <w:rtl/>
        </w:rPr>
        <w:t>נגיף</w:t>
      </w:r>
      <w:r w:rsidRPr="00067497">
        <w:rPr>
          <w:b/>
          <w:bCs/>
          <w:rtl/>
        </w:rPr>
        <w:t xml:space="preserve"> </w:t>
      </w:r>
      <w:r w:rsidRPr="00067497">
        <w:rPr>
          <w:rFonts w:hint="eastAsia"/>
          <w:b/>
          <w:bCs/>
          <w:rtl/>
        </w:rPr>
        <w:t>הקורונה</w:t>
      </w:r>
      <w:r w:rsidRPr="00067497">
        <w:rPr>
          <w:b/>
          <w:bCs/>
          <w:rtl/>
        </w:rPr>
        <w:t xml:space="preserve"> </w:t>
      </w:r>
      <w:r w:rsidRPr="00067497">
        <w:rPr>
          <w:rFonts w:hint="eastAsia"/>
          <w:b/>
          <w:bCs/>
          <w:rtl/>
        </w:rPr>
        <w:t>החדש</w:t>
      </w:r>
      <w:r w:rsidRPr="00067497">
        <w:rPr>
          <w:b/>
          <w:bCs/>
          <w:rtl/>
        </w:rPr>
        <w:t xml:space="preserve">), </w:t>
      </w:r>
      <w:r w:rsidRPr="00067497">
        <w:rPr>
          <w:rFonts w:hint="eastAsia"/>
          <w:b/>
          <w:bCs/>
          <w:rtl/>
        </w:rPr>
        <w:t>התש</w:t>
      </w:r>
      <w:r w:rsidRPr="00067497">
        <w:rPr>
          <w:b/>
          <w:bCs/>
          <w:rtl/>
        </w:rPr>
        <w:t>"ף-2020</w:t>
      </w:r>
      <w:r w:rsidRPr="00DA7FD4">
        <w:rPr>
          <w:rFonts w:hint="cs"/>
          <w:b/>
          <w:bCs/>
          <w:rtl/>
        </w:rPr>
        <w:t xml:space="preserve"> שתוקנו ב-</w:t>
      </w:r>
      <w:r>
        <w:rPr>
          <w:rFonts w:hint="cs"/>
          <w:b/>
          <w:bCs/>
          <w:rtl/>
        </w:rPr>
        <w:t>21.3.2020 הות</w:t>
      </w:r>
      <w:r w:rsidRPr="00067497">
        <w:rPr>
          <w:rFonts w:hint="eastAsia"/>
          <w:b/>
          <w:bCs/>
          <w:rtl/>
        </w:rPr>
        <w:t>ר</w:t>
      </w:r>
      <w:r w:rsidRPr="00067497">
        <w:rPr>
          <w:b/>
          <w:bCs/>
          <w:rtl/>
        </w:rPr>
        <w:t xml:space="preserve"> </w:t>
      </w:r>
      <w:r w:rsidRPr="00067497">
        <w:rPr>
          <w:rFonts w:hint="eastAsia"/>
          <w:b/>
          <w:bCs/>
          <w:rtl/>
        </w:rPr>
        <w:t>לבנק</w:t>
      </w:r>
      <w:r w:rsidRPr="00067497">
        <w:rPr>
          <w:b/>
          <w:bCs/>
          <w:rtl/>
        </w:rPr>
        <w:t xml:space="preserve"> ישראל </w:t>
      </w:r>
      <w:r w:rsidRPr="00067497">
        <w:rPr>
          <w:rFonts w:hint="eastAsia"/>
          <w:b/>
          <w:bCs/>
          <w:rtl/>
        </w:rPr>
        <w:t>כי</w:t>
      </w:r>
      <w:r w:rsidRPr="00067497">
        <w:rPr>
          <w:b/>
          <w:bCs/>
          <w:rtl/>
        </w:rPr>
        <w:t xml:space="preserve"> ישהו במקום העבודה 40% מהעובדים וברשות שוק ההון </w:t>
      </w:r>
      <w:r>
        <w:rPr>
          <w:rFonts w:hint="cs"/>
          <w:b/>
          <w:bCs/>
          <w:rtl/>
        </w:rPr>
        <w:t xml:space="preserve">הותרה שהייה של </w:t>
      </w:r>
      <w:r w:rsidRPr="00067497">
        <w:rPr>
          <w:b/>
          <w:bCs/>
          <w:rtl/>
        </w:rPr>
        <w:t xml:space="preserve">60% </w:t>
      </w:r>
      <w:r>
        <w:rPr>
          <w:rFonts w:hint="cs"/>
          <w:b/>
          <w:bCs/>
          <w:rtl/>
        </w:rPr>
        <w:t>מהעובדים. לעומת זאת לא נכללה</w:t>
      </w:r>
      <w:r w:rsidRPr="00067497">
        <w:rPr>
          <w:b/>
          <w:bCs/>
          <w:rtl/>
        </w:rPr>
        <w:t xml:space="preserve"> הרשות </w:t>
      </w:r>
      <w:r>
        <w:rPr>
          <w:rFonts w:hint="cs"/>
          <w:b/>
          <w:bCs/>
          <w:rtl/>
        </w:rPr>
        <w:t>לני"ע</w:t>
      </w:r>
      <w:r w:rsidRPr="00067497">
        <w:rPr>
          <w:b/>
          <w:bCs/>
          <w:rtl/>
        </w:rPr>
        <w:t xml:space="preserve"> </w:t>
      </w:r>
      <w:r w:rsidRPr="00067497">
        <w:rPr>
          <w:rFonts w:hint="eastAsia"/>
          <w:b/>
          <w:bCs/>
          <w:rtl/>
        </w:rPr>
        <w:t>בגופים</w:t>
      </w:r>
      <w:r w:rsidRPr="00067497">
        <w:rPr>
          <w:b/>
          <w:bCs/>
          <w:rtl/>
        </w:rPr>
        <w:t xml:space="preserve"> </w:t>
      </w:r>
      <w:r>
        <w:rPr>
          <w:rFonts w:hint="cs"/>
          <w:b/>
          <w:bCs/>
          <w:rtl/>
        </w:rPr>
        <w:t>ש</w:t>
      </w:r>
      <w:r w:rsidRPr="00067497">
        <w:rPr>
          <w:rFonts w:hint="eastAsia"/>
          <w:b/>
          <w:bCs/>
          <w:rtl/>
        </w:rPr>
        <w:t>בהם</w:t>
      </w:r>
      <w:r w:rsidRPr="00067497">
        <w:rPr>
          <w:b/>
          <w:bCs/>
          <w:rtl/>
        </w:rPr>
        <w:t xml:space="preserve"> </w:t>
      </w:r>
      <w:r w:rsidRPr="00067497">
        <w:rPr>
          <w:rFonts w:hint="eastAsia"/>
          <w:b/>
          <w:bCs/>
          <w:rtl/>
        </w:rPr>
        <w:t>הותרו</w:t>
      </w:r>
      <w:r w:rsidRPr="00067497">
        <w:rPr>
          <w:b/>
          <w:bCs/>
          <w:rtl/>
        </w:rPr>
        <w:t xml:space="preserve"> </w:t>
      </w:r>
      <w:r w:rsidRPr="00067497">
        <w:rPr>
          <w:rFonts w:hint="eastAsia"/>
          <w:b/>
          <w:bCs/>
          <w:rtl/>
        </w:rPr>
        <w:t>הקלות</w:t>
      </w:r>
      <w:r w:rsidRPr="00067497">
        <w:rPr>
          <w:b/>
          <w:bCs/>
          <w:rtl/>
        </w:rPr>
        <w:t xml:space="preserve">. </w:t>
      </w:r>
      <w:r w:rsidRPr="00067497">
        <w:rPr>
          <w:rFonts w:hint="eastAsia"/>
          <w:b/>
          <w:bCs/>
          <w:rtl/>
        </w:rPr>
        <w:t>בתיקון</w:t>
      </w:r>
      <w:r w:rsidRPr="00067497">
        <w:rPr>
          <w:b/>
          <w:bCs/>
          <w:rtl/>
        </w:rPr>
        <w:t xml:space="preserve"> </w:t>
      </w:r>
      <w:r w:rsidRPr="00067497">
        <w:rPr>
          <w:rFonts w:hint="eastAsia"/>
          <w:b/>
          <w:bCs/>
          <w:rtl/>
        </w:rPr>
        <w:t>לתקנות</w:t>
      </w:r>
      <w:r w:rsidRPr="00067497">
        <w:rPr>
          <w:b/>
          <w:bCs/>
          <w:rtl/>
        </w:rPr>
        <w:t xml:space="preserve"> </w:t>
      </w:r>
      <w:r w:rsidRPr="00067497">
        <w:rPr>
          <w:rFonts w:hint="eastAsia"/>
          <w:b/>
          <w:bCs/>
          <w:rtl/>
        </w:rPr>
        <w:t>החדשות</w:t>
      </w:r>
      <w:r w:rsidRPr="00067497">
        <w:rPr>
          <w:b/>
          <w:bCs/>
          <w:rtl/>
        </w:rPr>
        <w:t xml:space="preserve"> </w:t>
      </w:r>
      <w:r w:rsidRPr="00067497">
        <w:rPr>
          <w:rFonts w:hint="eastAsia"/>
          <w:b/>
          <w:bCs/>
          <w:rtl/>
        </w:rPr>
        <w:t>מיום</w:t>
      </w:r>
      <w:r w:rsidRPr="00067497">
        <w:rPr>
          <w:b/>
          <w:bCs/>
          <w:rtl/>
        </w:rPr>
        <w:t xml:space="preserve"> 25.9.20 </w:t>
      </w:r>
      <w:r>
        <w:rPr>
          <w:rFonts w:hint="cs"/>
          <w:b/>
          <w:bCs/>
          <w:rtl/>
        </w:rPr>
        <w:t>נ</w:t>
      </w:r>
      <w:r w:rsidRPr="00067497">
        <w:rPr>
          <w:rFonts w:hint="eastAsia"/>
          <w:b/>
          <w:bCs/>
          <w:rtl/>
        </w:rPr>
        <w:t>וספו</w:t>
      </w:r>
      <w:r w:rsidRPr="00067497">
        <w:rPr>
          <w:b/>
          <w:bCs/>
          <w:rtl/>
        </w:rPr>
        <w:t xml:space="preserve"> </w:t>
      </w:r>
      <w:r w:rsidRPr="00067497">
        <w:rPr>
          <w:rFonts w:hint="eastAsia"/>
          <w:b/>
          <w:bCs/>
          <w:rtl/>
        </w:rPr>
        <w:t>בנק</w:t>
      </w:r>
      <w:r w:rsidRPr="00067497">
        <w:rPr>
          <w:b/>
          <w:bCs/>
          <w:rtl/>
        </w:rPr>
        <w:t xml:space="preserve"> </w:t>
      </w:r>
      <w:r w:rsidRPr="00067497">
        <w:rPr>
          <w:rFonts w:hint="eastAsia"/>
          <w:b/>
          <w:bCs/>
          <w:rtl/>
        </w:rPr>
        <w:t>ישראל</w:t>
      </w:r>
      <w:r w:rsidRPr="00067497">
        <w:rPr>
          <w:b/>
          <w:bCs/>
          <w:rtl/>
        </w:rPr>
        <w:t xml:space="preserve"> </w:t>
      </w:r>
      <w:r w:rsidRPr="00067497">
        <w:rPr>
          <w:rFonts w:hint="eastAsia"/>
          <w:b/>
          <w:bCs/>
          <w:rtl/>
        </w:rPr>
        <w:t>ורשות</w:t>
      </w:r>
      <w:r w:rsidRPr="00067497">
        <w:rPr>
          <w:b/>
          <w:bCs/>
          <w:rtl/>
        </w:rPr>
        <w:t xml:space="preserve"> </w:t>
      </w:r>
      <w:r w:rsidRPr="00067497">
        <w:rPr>
          <w:rFonts w:hint="eastAsia"/>
          <w:b/>
          <w:bCs/>
          <w:rtl/>
        </w:rPr>
        <w:t>ני</w:t>
      </w:r>
      <w:r w:rsidRPr="00067497">
        <w:rPr>
          <w:b/>
          <w:bCs/>
          <w:rtl/>
        </w:rPr>
        <w:t xml:space="preserve">"ע </w:t>
      </w:r>
      <w:r w:rsidRPr="00067497">
        <w:rPr>
          <w:rFonts w:hint="eastAsia"/>
          <w:b/>
          <w:bCs/>
          <w:rtl/>
        </w:rPr>
        <w:t>לתוספת</w:t>
      </w:r>
      <w:r w:rsidRPr="00067497">
        <w:rPr>
          <w:b/>
          <w:bCs/>
          <w:rtl/>
        </w:rPr>
        <w:t xml:space="preserve"> </w:t>
      </w:r>
      <w:r w:rsidRPr="00067497">
        <w:rPr>
          <w:rFonts w:hint="eastAsia"/>
          <w:b/>
          <w:bCs/>
          <w:rtl/>
        </w:rPr>
        <w:t>השנייה</w:t>
      </w:r>
      <w:r w:rsidRPr="00067497">
        <w:rPr>
          <w:b/>
          <w:bCs/>
          <w:rtl/>
        </w:rPr>
        <w:t xml:space="preserve"> </w:t>
      </w:r>
      <w:r w:rsidRPr="00067497">
        <w:rPr>
          <w:rFonts w:hint="eastAsia"/>
          <w:b/>
          <w:bCs/>
          <w:rtl/>
        </w:rPr>
        <w:t>שלהן</w:t>
      </w:r>
      <w:r w:rsidRPr="00067497">
        <w:rPr>
          <w:b/>
          <w:bCs/>
          <w:rtl/>
        </w:rPr>
        <w:t>.</w:t>
      </w:r>
      <w:r>
        <w:rPr>
          <w:rFonts w:hint="cs"/>
          <w:b/>
          <w:bCs/>
          <w:rtl/>
        </w:rPr>
        <w:t xml:space="preserve"> עוד </w:t>
      </w:r>
      <w:r w:rsidRPr="00067497">
        <w:rPr>
          <w:rFonts w:hint="eastAsia"/>
          <w:b/>
          <w:bCs/>
          <w:rtl/>
        </w:rPr>
        <w:t>נמצא</w:t>
      </w:r>
      <w:r w:rsidRPr="00067497">
        <w:rPr>
          <w:b/>
          <w:bCs/>
          <w:rtl/>
        </w:rPr>
        <w:t xml:space="preserve"> </w:t>
      </w:r>
      <w:r w:rsidRPr="00067497">
        <w:rPr>
          <w:rFonts w:hint="eastAsia"/>
          <w:b/>
          <w:bCs/>
          <w:rtl/>
        </w:rPr>
        <w:t>כי</w:t>
      </w:r>
      <w:r w:rsidRPr="00067497">
        <w:rPr>
          <w:b/>
          <w:bCs/>
          <w:rtl/>
        </w:rPr>
        <w:t xml:space="preserve"> </w:t>
      </w:r>
      <w:r w:rsidRPr="00067497">
        <w:rPr>
          <w:rFonts w:hint="eastAsia"/>
          <w:b/>
          <w:bCs/>
          <w:rtl/>
        </w:rPr>
        <w:t>הגדרת</w:t>
      </w:r>
      <w:r w:rsidRPr="00067497">
        <w:rPr>
          <w:b/>
          <w:bCs/>
          <w:rtl/>
        </w:rPr>
        <w:t xml:space="preserve"> </w:t>
      </w:r>
      <w:r w:rsidRPr="00067497">
        <w:rPr>
          <w:rFonts w:hint="eastAsia"/>
          <w:b/>
          <w:bCs/>
          <w:rtl/>
        </w:rPr>
        <w:t>היקף</w:t>
      </w:r>
      <w:r w:rsidRPr="00067497">
        <w:rPr>
          <w:b/>
          <w:bCs/>
          <w:rtl/>
        </w:rPr>
        <w:t xml:space="preserve"> </w:t>
      </w:r>
      <w:r w:rsidRPr="00067497">
        <w:rPr>
          <w:rFonts w:hint="eastAsia"/>
          <w:b/>
          <w:bCs/>
          <w:rtl/>
        </w:rPr>
        <w:t>ההעסקה</w:t>
      </w:r>
      <w:r w:rsidRPr="00067497">
        <w:rPr>
          <w:b/>
          <w:bCs/>
          <w:rtl/>
        </w:rPr>
        <w:t xml:space="preserve"> </w:t>
      </w:r>
      <w:r w:rsidRPr="00067497">
        <w:rPr>
          <w:rFonts w:hint="eastAsia"/>
          <w:b/>
          <w:bCs/>
          <w:rtl/>
        </w:rPr>
        <w:t>במגזר</w:t>
      </w:r>
      <w:r w:rsidRPr="00067497">
        <w:rPr>
          <w:b/>
          <w:bCs/>
          <w:rtl/>
        </w:rPr>
        <w:t xml:space="preserve"> </w:t>
      </w:r>
      <w:r w:rsidRPr="00067497">
        <w:rPr>
          <w:rFonts w:hint="eastAsia"/>
          <w:b/>
          <w:bCs/>
          <w:rtl/>
        </w:rPr>
        <w:t>הציבורי</w:t>
      </w:r>
      <w:r w:rsidRPr="00067497">
        <w:rPr>
          <w:b/>
          <w:bCs/>
          <w:rtl/>
        </w:rPr>
        <w:t xml:space="preserve"> </w:t>
      </w:r>
      <w:r w:rsidRPr="00067497">
        <w:rPr>
          <w:rFonts w:hint="eastAsia"/>
          <w:b/>
          <w:bCs/>
          <w:rtl/>
        </w:rPr>
        <w:t>בחירום</w:t>
      </w:r>
      <w:r w:rsidRPr="00067497">
        <w:rPr>
          <w:b/>
          <w:bCs/>
          <w:rtl/>
        </w:rPr>
        <w:t xml:space="preserve"> </w:t>
      </w:r>
      <w:r>
        <w:rPr>
          <w:rFonts w:hint="cs"/>
          <w:b/>
          <w:bCs/>
          <w:rtl/>
        </w:rPr>
        <w:t>לא</w:t>
      </w:r>
      <w:r w:rsidRPr="00067497">
        <w:rPr>
          <w:b/>
          <w:bCs/>
          <w:rtl/>
        </w:rPr>
        <w:t xml:space="preserve"> </w:t>
      </w:r>
      <w:r w:rsidRPr="00067497">
        <w:rPr>
          <w:rFonts w:hint="eastAsia"/>
          <w:b/>
          <w:bCs/>
          <w:rtl/>
        </w:rPr>
        <w:t>מתבצעת</w:t>
      </w:r>
      <w:r w:rsidRPr="00067497">
        <w:rPr>
          <w:b/>
          <w:bCs/>
          <w:rtl/>
        </w:rPr>
        <w:t xml:space="preserve"> </w:t>
      </w:r>
      <w:r w:rsidRPr="00067497">
        <w:rPr>
          <w:rFonts w:hint="eastAsia"/>
          <w:b/>
          <w:bCs/>
          <w:rtl/>
        </w:rPr>
        <w:t>בצורה</w:t>
      </w:r>
      <w:r w:rsidRPr="00067497">
        <w:rPr>
          <w:b/>
          <w:bCs/>
          <w:rtl/>
        </w:rPr>
        <w:t xml:space="preserve"> </w:t>
      </w:r>
      <w:r w:rsidRPr="00067497">
        <w:rPr>
          <w:rFonts w:hint="eastAsia"/>
          <w:b/>
          <w:bCs/>
          <w:rtl/>
        </w:rPr>
        <w:t>מתודית</w:t>
      </w:r>
      <w:r w:rsidRPr="00067497">
        <w:rPr>
          <w:b/>
          <w:bCs/>
          <w:rtl/>
        </w:rPr>
        <w:t xml:space="preserve"> </w:t>
      </w:r>
      <w:r>
        <w:rPr>
          <w:rFonts w:hint="cs"/>
          <w:b/>
          <w:bCs/>
          <w:rtl/>
        </w:rPr>
        <w:t xml:space="preserve">במסגרת </w:t>
      </w:r>
      <w:r w:rsidRPr="00067497">
        <w:rPr>
          <w:rFonts w:hint="eastAsia"/>
          <w:b/>
          <w:bCs/>
          <w:rtl/>
        </w:rPr>
        <w:t>היערכות</w:t>
      </w:r>
      <w:r w:rsidRPr="00067497">
        <w:rPr>
          <w:b/>
          <w:bCs/>
          <w:rtl/>
        </w:rPr>
        <w:t xml:space="preserve"> </w:t>
      </w:r>
      <w:r w:rsidRPr="00067497">
        <w:rPr>
          <w:rFonts w:hint="eastAsia"/>
          <w:b/>
          <w:bCs/>
          <w:rtl/>
        </w:rPr>
        <w:t>מוקדמת</w:t>
      </w:r>
      <w:r w:rsidRPr="00067497">
        <w:rPr>
          <w:b/>
          <w:bCs/>
          <w:rtl/>
        </w:rPr>
        <w:t xml:space="preserve"> </w:t>
      </w:r>
      <w:r w:rsidRPr="00067497">
        <w:rPr>
          <w:rFonts w:hint="eastAsia"/>
          <w:b/>
          <w:bCs/>
          <w:rtl/>
        </w:rPr>
        <w:t>ובהתאם</w:t>
      </w:r>
      <w:r w:rsidRPr="00067497">
        <w:rPr>
          <w:b/>
          <w:bCs/>
          <w:rtl/>
        </w:rPr>
        <w:t xml:space="preserve"> </w:t>
      </w:r>
      <w:r w:rsidRPr="00067497">
        <w:rPr>
          <w:rFonts w:hint="eastAsia"/>
          <w:b/>
          <w:bCs/>
          <w:rtl/>
        </w:rPr>
        <w:t>לתרחישי</w:t>
      </w:r>
      <w:r w:rsidRPr="00067497">
        <w:rPr>
          <w:b/>
          <w:bCs/>
          <w:rtl/>
        </w:rPr>
        <w:t xml:space="preserve"> </w:t>
      </w:r>
      <w:r w:rsidRPr="00067497">
        <w:rPr>
          <w:rFonts w:hint="eastAsia"/>
          <w:b/>
          <w:bCs/>
          <w:rtl/>
        </w:rPr>
        <w:t>ייחוס</w:t>
      </w:r>
      <w:r w:rsidRPr="00067497">
        <w:rPr>
          <w:b/>
          <w:bCs/>
          <w:rtl/>
        </w:rPr>
        <w:t xml:space="preserve"> </w:t>
      </w:r>
      <w:r w:rsidRPr="00067497">
        <w:rPr>
          <w:rFonts w:hint="eastAsia"/>
          <w:b/>
          <w:bCs/>
          <w:rtl/>
        </w:rPr>
        <w:t>ולצרכים</w:t>
      </w:r>
      <w:r w:rsidRPr="00067497">
        <w:rPr>
          <w:b/>
          <w:bCs/>
          <w:rtl/>
        </w:rPr>
        <w:t xml:space="preserve"> </w:t>
      </w:r>
      <w:r w:rsidRPr="00B27963">
        <w:rPr>
          <w:rFonts w:hint="eastAsia"/>
          <w:b/>
          <w:bCs/>
          <w:rtl/>
        </w:rPr>
        <w:t>העולים</w:t>
      </w:r>
      <w:r w:rsidRPr="00B27963">
        <w:rPr>
          <w:b/>
          <w:bCs/>
          <w:rtl/>
        </w:rPr>
        <w:t xml:space="preserve"> </w:t>
      </w:r>
      <w:r w:rsidRPr="00B27963">
        <w:rPr>
          <w:rFonts w:hint="eastAsia"/>
          <w:b/>
          <w:bCs/>
          <w:rtl/>
        </w:rPr>
        <w:t>מהשטח</w:t>
      </w:r>
      <w:r w:rsidRPr="00B27963">
        <w:rPr>
          <w:b/>
          <w:bCs/>
          <w:rtl/>
        </w:rPr>
        <w:t>.</w:t>
      </w:r>
    </w:p>
    <w:p w:rsidR="000F413C" w:rsidRPr="00B27963" w:rsidP="00982BC1" w14:paraId="4376EB70" w14:textId="14CE0A86">
      <w:pPr>
        <w:pStyle w:val="a"/>
        <w:spacing w:line="269" w:lineRule="auto"/>
        <w:rPr>
          <w:rtl/>
        </w:rPr>
      </w:pPr>
      <w:r w:rsidRPr="00B27963">
        <w:rPr>
          <w:rtl/>
        </w:rPr>
        <w:fldChar w:fldCharType="begin"/>
      </w:r>
      <w:r w:rsidRPr="00B27963">
        <w:rPr>
          <w:rtl/>
        </w:rPr>
        <w:instrText xml:space="preserve"> </w:instrText>
      </w:r>
      <w:r w:rsidRPr="00B27963">
        <w:instrText>AUTONUMLGL \e  \* MERGEFORMAT</w:instrText>
      </w:r>
      <w:r w:rsidRPr="00B27963">
        <w:rPr>
          <w:rtl/>
        </w:rPr>
        <w:instrText xml:space="preserve"> </w:instrText>
      </w:r>
      <w:r w:rsidRPr="00B27963">
        <w:rPr>
          <w:rtl/>
        </w:rPr>
        <w:fldChar w:fldCharType="end"/>
      </w:r>
    </w:p>
    <w:p w:rsidR="000F413C" w:rsidP="00982BC1" w14:paraId="4432F1F1" w14:textId="0011D2E7">
      <w:pPr>
        <w:spacing w:line="269" w:lineRule="auto"/>
        <w:rPr>
          <w:rtl/>
        </w:rPr>
      </w:pPr>
      <w:r w:rsidRPr="00B27963">
        <w:rPr>
          <w:rFonts w:hint="cs"/>
          <w:b/>
          <w:bCs/>
          <w:rtl/>
        </w:rPr>
        <w:t>משרד</w:t>
      </w:r>
      <w:r>
        <w:rPr>
          <w:rFonts w:hint="cs"/>
          <w:b/>
          <w:bCs/>
          <w:rtl/>
        </w:rPr>
        <w:t xml:space="preserve"> מבקר המדינה ממליץ</w:t>
      </w:r>
      <w:r w:rsidR="00E42200">
        <w:rPr>
          <w:rFonts w:hint="cs"/>
          <w:b/>
          <w:bCs/>
        </w:rPr>
        <w:t xml:space="preserve"> </w:t>
      </w:r>
      <w:r w:rsidR="00E42200">
        <w:rPr>
          <w:rFonts w:hint="cs"/>
          <w:b/>
          <w:bCs/>
          <w:rtl/>
        </w:rPr>
        <w:t>כי שר האוצר י</w:t>
      </w:r>
      <w:r w:rsidRPr="00B27963">
        <w:rPr>
          <w:rFonts w:hint="cs"/>
          <w:b/>
          <w:bCs/>
          <w:rtl/>
        </w:rPr>
        <w:t>בחן</w:t>
      </w:r>
      <w:r w:rsidRPr="00B27963" w:rsidR="005F4D81">
        <w:rPr>
          <w:rFonts w:hint="cs"/>
          <w:b/>
          <w:bCs/>
          <w:rtl/>
        </w:rPr>
        <w:t xml:space="preserve"> </w:t>
      </w:r>
      <w:r w:rsidRPr="00B27963" w:rsidR="005F4D81">
        <w:rPr>
          <w:rFonts w:hint="eastAsia"/>
          <w:b/>
          <w:bCs/>
          <w:rtl/>
        </w:rPr>
        <w:t>את</w:t>
      </w:r>
      <w:r w:rsidRPr="00B27963">
        <w:rPr>
          <w:b/>
          <w:bCs/>
          <w:rtl/>
        </w:rPr>
        <w:t xml:space="preserve"> </w:t>
      </w:r>
      <w:r w:rsidRPr="00B27963" w:rsidR="005F4D81">
        <w:rPr>
          <w:rFonts w:hint="eastAsia"/>
          <w:b/>
          <w:bCs/>
          <w:rtl/>
        </w:rPr>
        <w:t>ה</w:t>
      </w:r>
      <w:r w:rsidRPr="00B27963">
        <w:rPr>
          <w:rFonts w:hint="eastAsia"/>
          <w:b/>
          <w:bCs/>
          <w:rtl/>
        </w:rPr>
        <w:t>הגדרה</w:t>
      </w:r>
      <w:r w:rsidRPr="00B27963">
        <w:rPr>
          <w:b/>
          <w:bCs/>
          <w:rtl/>
        </w:rPr>
        <w:t xml:space="preserve"> של </w:t>
      </w:r>
      <w:r w:rsidRPr="00B27963" w:rsidR="005F4D81">
        <w:rPr>
          <w:rFonts w:hint="eastAsia"/>
          <w:b/>
          <w:bCs/>
          <w:rtl/>
        </w:rPr>
        <w:t>היקף</w:t>
      </w:r>
      <w:r w:rsidRPr="00B27963" w:rsidR="005F4D81">
        <w:rPr>
          <w:rFonts w:hint="cs"/>
          <w:b/>
          <w:bCs/>
          <w:rtl/>
        </w:rPr>
        <w:t xml:space="preserve"> </w:t>
      </w:r>
      <w:r w:rsidRPr="00B27963">
        <w:rPr>
          <w:rFonts w:hint="cs"/>
          <w:b/>
          <w:bCs/>
          <w:rtl/>
        </w:rPr>
        <w:t>כוח</w:t>
      </w:r>
      <w:r>
        <w:rPr>
          <w:rFonts w:hint="cs"/>
          <w:b/>
          <w:bCs/>
          <w:rtl/>
        </w:rPr>
        <w:t xml:space="preserve"> האדם שיפעל בשירות הרגולטורים הפיננסיים</w:t>
      </w:r>
      <w:r>
        <w:rPr>
          <w:rStyle w:val="FootnoteReference"/>
          <w:b/>
          <w:bCs/>
          <w:rtl/>
        </w:rPr>
        <w:footnoteReference w:id="107"/>
      </w:r>
      <w:r w:rsidR="005F4D81">
        <w:rPr>
          <w:rFonts w:hint="cs"/>
          <w:b/>
          <w:bCs/>
          <w:rtl/>
        </w:rPr>
        <w:t xml:space="preserve"> </w:t>
      </w:r>
      <w:r>
        <w:rPr>
          <w:rFonts w:hint="cs"/>
          <w:b/>
          <w:bCs/>
          <w:rtl/>
        </w:rPr>
        <w:t>בשעת חירום</w:t>
      </w:r>
      <w:r w:rsidR="00E42200">
        <w:rPr>
          <w:rFonts w:hint="cs"/>
          <w:b/>
          <w:bCs/>
          <w:rtl/>
        </w:rPr>
        <w:t xml:space="preserve"> טרם יגיש המלצותיו לממשלה</w:t>
      </w:r>
      <w:r>
        <w:rPr>
          <w:rFonts w:hint="cs"/>
          <w:b/>
          <w:bCs/>
          <w:rtl/>
        </w:rPr>
        <w:t xml:space="preserve"> </w:t>
      </w:r>
      <w:r w:rsidR="00E42200">
        <w:rPr>
          <w:rFonts w:hint="cs"/>
          <w:b/>
          <w:bCs/>
          <w:rtl/>
        </w:rPr>
        <w:t>ו</w:t>
      </w:r>
      <w:r>
        <w:rPr>
          <w:rFonts w:hint="cs"/>
          <w:b/>
          <w:bCs/>
          <w:rtl/>
        </w:rPr>
        <w:t>בהתבסס על תרחישי ייחוס ועל צרכיהם, וכי הדבר יתבטא בעתיד בכל עת שבה הממשלה מתקינה תקנות לשעת חירום. כך תובטח פעולתם התקינה והסדירה לשמירה על היציבות הפיננסית, ותושג התמודדות נאותה עם האתגרים הכלכליים שמביא עימו מצב החירום.</w:t>
      </w:r>
    </w:p>
    <w:p w:rsidR="00E065A2" w:rsidRPr="00B74020" w:rsidP="00982BC1" w14:paraId="46D4A522" w14:textId="77777777">
      <w:pPr>
        <w:spacing w:line="269" w:lineRule="auto"/>
        <w:rPr>
          <w:rtl/>
        </w:rPr>
      </w:pPr>
    </w:p>
    <w:p w:rsidR="00253C38" w:rsidP="00982BC1" w14:paraId="7178849D" w14:textId="77777777">
      <w:pPr>
        <w:pStyle w:val="Heading3"/>
        <w:spacing w:before="0" w:line="269" w:lineRule="auto"/>
        <w:rPr>
          <w:rtl/>
        </w:rPr>
      </w:pPr>
      <w:r>
        <w:rPr>
          <w:rFonts w:hint="cs"/>
          <w:rtl/>
        </w:rPr>
        <w:t>ג</w:t>
      </w:r>
      <w:r w:rsidR="009B299A">
        <w:rPr>
          <w:rFonts w:hint="cs"/>
          <w:rtl/>
        </w:rPr>
        <w:t xml:space="preserve">יוסי </w:t>
      </w:r>
      <w:r>
        <w:rPr>
          <w:rFonts w:hint="cs"/>
          <w:rtl/>
        </w:rPr>
        <w:t>חוב</w:t>
      </w:r>
      <w:r w:rsidR="009B299A">
        <w:rPr>
          <w:rFonts w:hint="cs"/>
          <w:rtl/>
        </w:rPr>
        <w:t>ות</w:t>
      </w:r>
      <w:r>
        <w:rPr>
          <w:rFonts w:hint="cs"/>
          <w:rtl/>
        </w:rPr>
        <w:t xml:space="preserve"> למימון הסיוע הממשלתי</w:t>
      </w:r>
    </w:p>
    <w:p w:rsidR="00253C38" w:rsidP="00982BC1" w14:paraId="3784619D" w14:textId="4C7C3671">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CA19122" w14:textId="77777777">
      <w:pPr>
        <w:spacing w:line="269" w:lineRule="auto"/>
        <w:rPr>
          <w:rtl/>
        </w:rPr>
      </w:pPr>
      <w:r>
        <w:rPr>
          <w:rFonts w:hint="cs"/>
          <w:rtl/>
        </w:rPr>
        <w:t xml:space="preserve">החוב הממשלתי מורכב מהתחייבויותיהם הכספיות של משרדי הממשלה כלפי הציבור בארץ, כלפי גופים עסקיים, פיננסיים ולא פיננסיים, וכן כלפי מדינות אחרות. התחייבויות אלה נוצרות ברובן </w:t>
      </w:r>
      <w:r>
        <w:rPr>
          <w:rFonts w:hint="cs"/>
          <w:rtl/>
        </w:rPr>
        <w:t>המכריע באחת מהדרכים האלה: (א) מלוות מקומיים מגופים פיננסיים ישראליים או באמצעות הנפקת אג"ח במדינת ישראל; (ב) פיקדונות של גופים בחשכ"ל, בעיקר בתחום הפנסיה והביטוח; (ג) קבלת מקדמות מבנק ישראל לצורך מימון תקציב המדינה; (ד) מלוות מחו"ל, בעיקר באמצעות הנפקת אג"ח.</w:t>
      </w:r>
    </w:p>
    <w:p w:rsidR="00253C38" w:rsidP="00982BC1" w14:paraId="0D49C209" w14:textId="02FC54A3">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1A59056" w14:textId="77777777">
      <w:pPr>
        <w:spacing w:line="269" w:lineRule="auto"/>
        <w:rPr>
          <w:rtl/>
        </w:rPr>
      </w:pPr>
      <w:r w:rsidRPr="006810A8">
        <w:rPr>
          <w:rFonts w:hint="cs"/>
          <w:rtl/>
        </w:rPr>
        <w:t>ניהול</w:t>
      </w:r>
      <w:r w:rsidRPr="006810A8">
        <w:rPr>
          <w:rtl/>
        </w:rPr>
        <w:t xml:space="preserve"> </w:t>
      </w:r>
      <w:r w:rsidRPr="006810A8">
        <w:rPr>
          <w:rFonts w:hint="cs"/>
          <w:rtl/>
        </w:rPr>
        <w:t>החוב</w:t>
      </w:r>
      <w:r w:rsidRPr="006810A8">
        <w:rPr>
          <w:rtl/>
        </w:rPr>
        <w:t xml:space="preserve"> </w:t>
      </w:r>
      <w:r>
        <w:rPr>
          <w:rFonts w:hint="cs"/>
          <w:rtl/>
        </w:rPr>
        <w:t xml:space="preserve">הממשלתי </w:t>
      </w:r>
      <w:r w:rsidRPr="006810A8">
        <w:rPr>
          <w:rFonts w:hint="cs"/>
          <w:rtl/>
        </w:rPr>
        <w:t>כולל ניהול של החוב הקיים וגיוס</w:t>
      </w:r>
      <w:r>
        <w:rPr>
          <w:rFonts w:hint="cs"/>
          <w:rtl/>
        </w:rPr>
        <w:t>י</w:t>
      </w:r>
      <w:r w:rsidRPr="006810A8">
        <w:rPr>
          <w:rFonts w:hint="cs"/>
          <w:rtl/>
        </w:rPr>
        <w:t xml:space="preserve"> חוב</w:t>
      </w:r>
      <w:r>
        <w:rPr>
          <w:rFonts w:hint="cs"/>
          <w:rtl/>
        </w:rPr>
        <w:t>ות</w:t>
      </w:r>
      <w:r w:rsidRPr="006810A8">
        <w:rPr>
          <w:rFonts w:hint="cs"/>
          <w:rtl/>
        </w:rPr>
        <w:t xml:space="preserve"> שוטפים לצורך מימון מלא או חלקי של הגירעון בתקציב המדינה ולצורך מימון פירעון הקרן של </w:t>
      </w:r>
      <w:r>
        <w:rPr>
          <w:rFonts w:hint="cs"/>
          <w:rtl/>
        </w:rPr>
        <w:t>חובות קיימים המגיעים לפירעון (מי</w:t>
      </w:r>
      <w:r w:rsidRPr="006810A8">
        <w:rPr>
          <w:rFonts w:hint="cs"/>
          <w:rtl/>
        </w:rPr>
        <w:t>חזור החוב).</w:t>
      </w:r>
      <w:r>
        <w:rPr>
          <w:rFonts w:hint="cs"/>
          <w:rtl/>
        </w:rPr>
        <w:t xml:space="preserve"> </w:t>
      </w:r>
      <w:r w:rsidRPr="00F36700">
        <w:rPr>
          <w:rFonts w:hint="cs"/>
          <w:rtl/>
        </w:rPr>
        <w:t>החוב מנוהל על ידי יחידת</w:t>
      </w:r>
      <w:r w:rsidRPr="00F36700">
        <w:rPr>
          <w:rtl/>
        </w:rPr>
        <w:t xml:space="preserve"> ניהול החוב הממשלתי</w:t>
      </w:r>
      <w:r>
        <w:rPr>
          <w:rFonts w:hint="cs"/>
          <w:rtl/>
        </w:rPr>
        <w:t xml:space="preserve"> (להלן - יחידת החוב)</w:t>
      </w:r>
      <w:r w:rsidRPr="00F36700">
        <w:rPr>
          <w:rtl/>
        </w:rPr>
        <w:t xml:space="preserve"> </w:t>
      </w:r>
      <w:r w:rsidRPr="00F36700">
        <w:rPr>
          <w:rFonts w:hint="cs"/>
          <w:rtl/>
        </w:rPr>
        <w:t>בחטיבת</w:t>
      </w:r>
      <w:r w:rsidRPr="00F36700">
        <w:rPr>
          <w:rtl/>
        </w:rPr>
        <w:t xml:space="preserve"> </w:t>
      </w:r>
      <w:r w:rsidRPr="00F36700">
        <w:rPr>
          <w:rFonts w:hint="cs"/>
          <w:rtl/>
        </w:rPr>
        <w:t>המימון</w:t>
      </w:r>
      <w:r w:rsidRPr="00F36700">
        <w:rPr>
          <w:rtl/>
        </w:rPr>
        <w:t xml:space="preserve"> </w:t>
      </w:r>
      <w:r w:rsidRPr="00F36700">
        <w:rPr>
          <w:rFonts w:hint="cs"/>
          <w:rtl/>
        </w:rPr>
        <w:t>והאשראי</w:t>
      </w:r>
      <w:r w:rsidRPr="00F36700">
        <w:rPr>
          <w:rtl/>
        </w:rPr>
        <w:t xml:space="preserve"> </w:t>
      </w:r>
      <w:r w:rsidRPr="00F36700">
        <w:rPr>
          <w:rFonts w:hint="cs"/>
          <w:rtl/>
        </w:rPr>
        <w:t>באגף</w:t>
      </w:r>
      <w:r w:rsidRPr="00F36700">
        <w:rPr>
          <w:rtl/>
        </w:rPr>
        <w:t xml:space="preserve"> </w:t>
      </w:r>
      <w:r>
        <w:rPr>
          <w:rFonts w:hint="cs"/>
          <w:rtl/>
        </w:rPr>
        <w:t>החשכ"ל</w:t>
      </w:r>
      <w:r w:rsidRPr="00F36700">
        <w:rPr>
          <w:rtl/>
        </w:rPr>
        <w:t xml:space="preserve"> </w:t>
      </w:r>
      <w:r>
        <w:rPr>
          <w:rFonts w:hint="cs"/>
          <w:rtl/>
        </w:rPr>
        <w:t>ובסיועה של ענבל חברה לביטוח בע"מ. היקף גיוסי החוב</w:t>
      </w:r>
      <w:r w:rsidR="0090217B">
        <w:rPr>
          <w:rFonts w:hint="cs"/>
          <w:rtl/>
        </w:rPr>
        <w:t>ות</w:t>
      </w:r>
      <w:r>
        <w:rPr>
          <w:rFonts w:hint="cs"/>
          <w:rtl/>
        </w:rPr>
        <w:t xml:space="preserve"> משפיע ישירות על שיעור החוב הממשלתי מהתוצר ועל נטל החוב בתקציב המדינה, המשמשים סמן מרכזי ליציבותה הפיננסית של המדינה, ומתבטאים בהיקף תשלומי הריבית שתשלם המדינה בעתיד מתקציבה. היקפי הגיוס מתבססים על צורכי המימון, בהתאם ליעד הגירעון ולפירעון החוב הצפוי. אפיקי הגיוס, טווחי הגיוס ותמהיל ההנפקות נקבעים לפי תוכנית אסטרטגית המתחשבת בשיקולים טקטיים הנגזרים משינויים בשווקים הפיננסיים.</w:t>
      </w:r>
    </w:p>
    <w:p w:rsidR="00253C38" w:rsidP="00982BC1" w14:paraId="279F0E82" w14:textId="156B1F39">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r>
        <w:rPr>
          <w:rFonts w:hint="cs"/>
          <w:rtl/>
        </w:rPr>
        <w:t xml:space="preserve"> </w:t>
      </w:r>
    </w:p>
    <w:p w:rsidR="00253C38" w:rsidRPr="00192A73" w:rsidP="00982BC1" w14:paraId="1BFC4DD9" w14:textId="77777777">
      <w:pPr>
        <w:spacing w:line="269" w:lineRule="auto"/>
        <w:rPr>
          <w:rtl/>
        </w:rPr>
      </w:pPr>
      <w:r>
        <w:rPr>
          <w:rFonts w:hint="cs"/>
          <w:rtl/>
        </w:rPr>
        <w:t xml:space="preserve">אסטרטגיית הגיוס נקבעת באמצעות כמה ניתוחים הנשענים, בין היתר, הן על מודלים, </w:t>
      </w:r>
      <w:r w:rsidR="0090217B">
        <w:rPr>
          <w:rFonts w:hint="cs"/>
          <w:rtl/>
        </w:rPr>
        <w:t xml:space="preserve">מדדים </w:t>
      </w:r>
      <w:r>
        <w:rPr>
          <w:rFonts w:hint="cs"/>
          <w:rtl/>
        </w:rPr>
        <w:t>וסימולציות שנועדו למזער את עלות החוב בהינתן רמת הסיכון והן על שיקולים אסטרטגיים, ובהם הרחבת בסיס המשקיעים והגברת הנזילות. אסטרטגיית הגיוס נשענת על שלושה אפיקים עיקריים: גיוס מקומי סחיר, גיוס מקומי לא סחיר</w:t>
      </w:r>
      <w:r>
        <w:rPr>
          <w:rStyle w:val="FootnoteReference"/>
          <w:rtl/>
        </w:rPr>
        <w:footnoteReference w:id="108"/>
      </w:r>
      <w:r>
        <w:rPr>
          <w:rFonts w:hint="cs"/>
          <w:rtl/>
        </w:rPr>
        <w:t xml:space="preserve"> וגיוס חיצוני. לפי נתוני החשכ"ל, בשנים האחרונות היקף הגיוס בין האפיקים עומד על שיעור של כ-60% חוב מקומי סחיר, כ-30% חוב מקומי לא סחיר וכ-10% גיוס חיצוני</w:t>
      </w:r>
      <w:r>
        <w:rPr>
          <w:rStyle w:val="FootnoteReference"/>
          <w:rtl/>
        </w:rPr>
        <w:footnoteReference w:id="109"/>
      </w:r>
      <w:r>
        <w:rPr>
          <w:rFonts w:hint="cs"/>
          <w:rtl/>
        </w:rPr>
        <w:t>.</w:t>
      </w:r>
    </w:p>
    <w:p w:rsidR="00253C38" w:rsidP="00982BC1" w14:paraId="39432F49" w14:textId="2D14EE85">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8E4374" w:rsidP="00982BC1" w14:paraId="6179D8DC" w14:textId="77777777">
      <w:pPr>
        <w:spacing w:line="269" w:lineRule="auto"/>
        <w:rPr>
          <w:rtl/>
        </w:rPr>
      </w:pPr>
      <w:r>
        <w:rPr>
          <w:rFonts w:hint="cs"/>
          <w:rtl/>
        </w:rPr>
        <w:t xml:space="preserve">במרץ 2020 החלו להתבטא השפעות משבר הקורונה על הפעילות הכלכלית במשק, ובתוך כך על הפעילות התקציבית של הממשלה. מחד גיסא, ניכר גידול בהוצאות הממשלה לטובת מניעת התפשטות הנגיף, מתן טיפול לחולים וסיוע למשק כדי לצלוח את המשבר. מאידך גיסא, חלה ירידה בהכנסות ממיסים לצד עצירת הפקדות מעודף הכנסות על הוצאות הנובעות מפעילות המוסד לביטוח הלאומי, לנוכח גירעון תזרימי צפוי של המוסד. כך נוצרו פערים תזרימיים בפעילות הממשלתית </w:t>
      </w:r>
      <w:r w:rsidRPr="008E4374">
        <w:rPr>
          <w:rFonts w:hint="cs"/>
          <w:rtl/>
        </w:rPr>
        <w:t xml:space="preserve">שהתבטאו בגידול הגירעון למימון ובדרישה להגדלת היקפי גיוסי החוב לגישור על פערים אלה. </w:t>
      </w:r>
    </w:p>
    <w:p w:rsidR="00253C38" w:rsidP="00982BC1" w14:paraId="1A816BDB" w14:textId="186AA035">
      <w:pPr>
        <w:pStyle w:val="a"/>
        <w:spacing w:line="269" w:lineRule="auto"/>
        <w:rPr>
          <w:rtl/>
        </w:rPr>
      </w:pPr>
      <w:r w:rsidRPr="008E4374">
        <w:rPr>
          <w:rtl/>
        </w:rPr>
        <w:fldChar w:fldCharType="begin"/>
      </w:r>
      <w:r w:rsidRPr="008E4374">
        <w:rPr>
          <w:rtl/>
        </w:rPr>
        <w:instrText xml:space="preserve"> </w:instrText>
      </w:r>
      <w:r w:rsidRPr="008E4374">
        <w:instrText>AUTONUMLGL \e  \* MERGEFORMAT</w:instrText>
      </w:r>
      <w:r w:rsidRPr="008E4374">
        <w:rPr>
          <w:rtl/>
        </w:rPr>
        <w:instrText xml:space="preserve"> </w:instrText>
      </w:r>
      <w:r w:rsidRPr="008E4374">
        <w:rPr>
          <w:rtl/>
        </w:rPr>
        <w:fldChar w:fldCharType="end"/>
      </w:r>
    </w:p>
    <w:p w:rsidR="00253C38" w:rsidRPr="00426C07" w:rsidP="00982BC1" w14:paraId="721374AA" w14:textId="77777777">
      <w:pPr>
        <w:spacing w:line="269" w:lineRule="auto"/>
        <w:rPr>
          <w:rtl/>
        </w:rPr>
      </w:pPr>
      <w:r w:rsidRPr="00B0512B">
        <w:rPr>
          <w:rFonts w:hint="eastAsia"/>
          <w:b/>
          <w:bCs/>
          <w:rtl/>
        </w:rPr>
        <w:t>הגירעון</w:t>
      </w:r>
      <w:r w:rsidRPr="00B0512B">
        <w:rPr>
          <w:b/>
          <w:bCs/>
          <w:rtl/>
        </w:rPr>
        <w:t xml:space="preserve"> </w:t>
      </w:r>
      <w:r w:rsidRPr="00B0512B">
        <w:rPr>
          <w:rFonts w:hint="eastAsia"/>
          <w:b/>
          <w:bCs/>
          <w:rtl/>
        </w:rPr>
        <w:t>המצטבר</w:t>
      </w:r>
      <w:r w:rsidRPr="00B0512B">
        <w:rPr>
          <w:b/>
          <w:bCs/>
          <w:rtl/>
        </w:rPr>
        <w:t xml:space="preserve"> </w:t>
      </w:r>
      <w:r w:rsidRPr="00B0512B">
        <w:rPr>
          <w:rFonts w:hint="eastAsia"/>
          <w:b/>
          <w:bCs/>
          <w:rtl/>
        </w:rPr>
        <w:t>למימון</w:t>
      </w:r>
      <w:r w:rsidRPr="00B0512B">
        <w:rPr>
          <w:b/>
          <w:bCs/>
          <w:rtl/>
        </w:rPr>
        <w:t xml:space="preserve"> </w:t>
      </w:r>
      <w:r w:rsidRPr="00B0512B">
        <w:rPr>
          <w:rFonts w:hint="eastAsia"/>
          <w:b/>
          <w:bCs/>
          <w:rtl/>
        </w:rPr>
        <w:t>לשנת</w:t>
      </w:r>
      <w:r w:rsidRPr="00B0512B">
        <w:rPr>
          <w:b/>
          <w:bCs/>
          <w:rtl/>
        </w:rPr>
        <w:t xml:space="preserve"> </w:t>
      </w:r>
      <w:r w:rsidRPr="00B0512B">
        <w:rPr>
          <w:rFonts w:hint="eastAsia"/>
          <w:b/>
          <w:bCs/>
          <w:rtl/>
        </w:rPr>
        <w:t>התקציב</w:t>
      </w:r>
      <w:r w:rsidRPr="00B0512B">
        <w:rPr>
          <w:b/>
          <w:bCs/>
          <w:rtl/>
        </w:rPr>
        <w:t xml:space="preserve"> 2020 </w:t>
      </w:r>
      <w:r w:rsidRPr="00B0512B">
        <w:rPr>
          <w:rFonts w:hint="eastAsia"/>
          <w:b/>
          <w:bCs/>
          <w:rtl/>
        </w:rPr>
        <w:t>נאמד</w:t>
      </w:r>
      <w:r w:rsidRPr="00B0512B">
        <w:rPr>
          <w:b/>
          <w:bCs/>
          <w:rtl/>
        </w:rPr>
        <w:t xml:space="preserve"> </w:t>
      </w:r>
      <w:r w:rsidRPr="00B0512B">
        <w:rPr>
          <w:rFonts w:hint="eastAsia"/>
          <w:b/>
          <w:bCs/>
          <w:rtl/>
        </w:rPr>
        <w:t>בחודשים</w:t>
      </w:r>
      <w:r w:rsidRPr="00B0512B">
        <w:rPr>
          <w:b/>
          <w:bCs/>
          <w:rtl/>
        </w:rPr>
        <w:t xml:space="preserve"> </w:t>
      </w:r>
      <w:r w:rsidRPr="00B0512B">
        <w:rPr>
          <w:rFonts w:hint="eastAsia"/>
          <w:b/>
          <w:bCs/>
          <w:rtl/>
        </w:rPr>
        <w:t>ינואר</w:t>
      </w:r>
      <w:r w:rsidRPr="00B0512B">
        <w:rPr>
          <w:b/>
          <w:bCs/>
          <w:rtl/>
        </w:rPr>
        <w:t xml:space="preserve"> </w:t>
      </w:r>
      <w:r w:rsidRPr="00B0512B">
        <w:rPr>
          <w:rFonts w:hint="eastAsia"/>
          <w:b/>
          <w:bCs/>
          <w:rtl/>
        </w:rPr>
        <w:t>עד</w:t>
      </w:r>
      <w:r w:rsidRPr="00B0512B">
        <w:rPr>
          <w:b/>
          <w:bCs/>
          <w:rtl/>
        </w:rPr>
        <w:t xml:space="preserve"> </w:t>
      </w:r>
      <w:r>
        <w:rPr>
          <w:rFonts w:hint="cs"/>
          <w:b/>
          <w:bCs/>
          <w:rtl/>
        </w:rPr>
        <w:t xml:space="preserve">דצמבר </w:t>
      </w:r>
      <w:r w:rsidRPr="00B0512B">
        <w:rPr>
          <w:rFonts w:hint="eastAsia"/>
          <w:b/>
          <w:bCs/>
          <w:rtl/>
        </w:rPr>
        <w:t>בסך</w:t>
      </w:r>
      <w:r w:rsidRPr="00B0512B">
        <w:rPr>
          <w:b/>
          <w:bCs/>
          <w:rtl/>
        </w:rPr>
        <w:t xml:space="preserve"> </w:t>
      </w:r>
      <w:r w:rsidRPr="00B0512B">
        <w:rPr>
          <w:rFonts w:hint="eastAsia"/>
          <w:b/>
          <w:bCs/>
          <w:rtl/>
        </w:rPr>
        <w:t>של</w:t>
      </w:r>
      <w:r w:rsidRPr="00B0512B">
        <w:rPr>
          <w:b/>
          <w:bCs/>
          <w:rtl/>
        </w:rPr>
        <w:t xml:space="preserve"> </w:t>
      </w:r>
      <w:r>
        <w:rPr>
          <w:rFonts w:hint="cs"/>
          <w:b/>
          <w:bCs/>
          <w:rtl/>
        </w:rPr>
        <w:t>160.3</w:t>
      </w:r>
      <w:r w:rsidRPr="00B0512B">
        <w:rPr>
          <w:b/>
          <w:bCs/>
          <w:rtl/>
        </w:rPr>
        <w:t xml:space="preserve"> </w:t>
      </w:r>
      <w:r w:rsidRPr="00B0512B">
        <w:rPr>
          <w:rFonts w:hint="eastAsia"/>
          <w:b/>
          <w:bCs/>
          <w:rtl/>
        </w:rPr>
        <w:t>מיליארד</w:t>
      </w:r>
      <w:r w:rsidRPr="00B0512B">
        <w:rPr>
          <w:b/>
          <w:bCs/>
          <w:rtl/>
        </w:rPr>
        <w:t xml:space="preserve"> </w:t>
      </w:r>
      <w:r w:rsidRPr="00B0512B">
        <w:rPr>
          <w:rFonts w:hint="eastAsia"/>
          <w:b/>
          <w:bCs/>
          <w:rtl/>
        </w:rPr>
        <w:t>ש</w:t>
      </w:r>
      <w:r w:rsidRPr="00B0512B">
        <w:rPr>
          <w:b/>
          <w:bCs/>
          <w:rtl/>
        </w:rPr>
        <w:t xml:space="preserve">"ח </w:t>
      </w:r>
      <w:r w:rsidRPr="00B0512B">
        <w:rPr>
          <w:rFonts w:hint="eastAsia"/>
          <w:b/>
          <w:bCs/>
          <w:rtl/>
        </w:rPr>
        <w:t>לעומת</w:t>
      </w:r>
      <w:r w:rsidRPr="00B0512B">
        <w:rPr>
          <w:b/>
          <w:bCs/>
          <w:rtl/>
        </w:rPr>
        <w:t xml:space="preserve"> </w:t>
      </w:r>
      <w:r w:rsidRPr="00B0512B">
        <w:rPr>
          <w:rFonts w:hint="eastAsia"/>
          <w:b/>
          <w:bCs/>
          <w:rtl/>
        </w:rPr>
        <w:t>גירעון</w:t>
      </w:r>
      <w:r w:rsidRPr="00B0512B">
        <w:rPr>
          <w:b/>
          <w:bCs/>
          <w:rtl/>
        </w:rPr>
        <w:t xml:space="preserve"> </w:t>
      </w:r>
      <w:r w:rsidRPr="00B0512B">
        <w:rPr>
          <w:rFonts w:hint="eastAsia"/>
          <w:b/>
          <w:bCs/>
          <w:rtl/>
        </w:rPr>
        <w:t>בסך</w:t>
      </w:r>
      <w:r w:rsidRPr="00B0512B">
        <w:rPr>
          <w:b/>
          <w:bCs/>
          <w:rtl/>
        </w:rPr>
        <w:t xml:space="preserve"> </w:t>
      </w:r>
      <w:r w:rsidRPr="00B0512B">
        <w:rPr>
          <w:rFonts w:hint="eastAsia"/>
          <w:b/>
          <w:bCs/>
          <w:rtl/>
        </w:rPr>
        <w:t>של</w:t>
      </w:r>
      <w:r w:rsidRPr="00B0512B">
        <w:rPr>
          <w:b/>
          <w:bCs/>
          <w:rtl/>
        </w:rPr>
        <w:t xml:space="preserve"> </w:t>
      </w:r>
      <w:r>
        <w:rPr>
          <w:rFonts w:hint="cs"/>
          <w:b/>
          <w:bCs/>
          <w:rtl/>
        </w:rPr>
        <w:t>52.2</w:t>
      </w:r>
      <w:r w:rsidRPr="00B0512B">
        <w:rPr>
          <w:b/>
          <w:bCs/>
          <w:rtl/>
        </w:rPr>
        <w:t xml:space="preserve"> </w:t>
      </w:r>
      <w:r w:rsidRPr="00B0512B">
        <w:rPr>
          <w:rFonts w:hint="eastAsia"/>
          <w:b/>
          <w:bCs/>
          <w:rtl/>
        </w:rPr>
        <w:t>מיליארד</w:t>
      </w:r>
      <w:r w:rsidRPr="00B0512B">
        <w:rPr>
          <w:b/>
          <w:bCs/>
          <w:rtl/>
        </w:rPr>
        <w:t xml:space="preserve"> </w:t>
      </w:r>
      <w:r w:rsidRPr="00B0512B">
        <w:rPr>
          <w:rFonts w:hint="eastAsia"/>
          <w:b/>
          <w:bCs/>
          <w:rtl/>
        </w:rPr>
        <w:t>ש</w:t>
      </w:r>
      <w:r w:rsidRPr="00B0512B">
        <w:rPr>
          <w:b/>
          <w:bCs/>
          <w:rtl/>
        </w:rPr>
        <w:t xml:space="preserve">"ח </w:t>
      </w:r>
      <w:r w:rsidRPr="00B0512B">
        <w:rPr>
          <w:rFonts w:hint="eastAsia"/>
          <w:b/>
          <w:bCs/>
          <w:rtl/>
        </w:rPr>
        <w:t>בתקופה</w:t>
      </w:r>
      <w:r w:rsidRPr="00B0512B">
        <w:rPr>
          <w:b/>
          <w:bCs/>
          <w:rtl/>
        </w:rPr>
        <w:t xml:space="preserve"> </w:t>
      </w:r>
      <w:r w:rsidRPr="00B0512B">
        <w:rPr>
          <w:rFonts w:hint="eastAsia"/>
          <w:b/>
          <w:bCs/>
          <w:rtl/>
        </w:rPr>
        <w:t>המקבילה</w:t>
      </w:r>
      <w:r w:rsidRPr="00B0512B">
        <w:rPr>
          <w:b/>
          <w:bCs/>
          <w:rtl/>
        </w:rPr>
        <w:t xml:space="preserve"> </w:t>
      </w:r>
      <w:r w:rsidRPr="00B0512B">
        <w:rPr>
          <w:rFonts w:hint="eastAsia"/>
          <w:b/>
          <w:bCs/>
          <w:rtl/>
        </w:rPr>
        <w:t>אשתקד</w:t>
      </w:r>
      <w:r>
        <w:rPr>
          <w:rStyle w:val="FootnoteReference"/>
          <w:b/>
          <w:bCs/>
          <w:rtl/>
        </w:rPr>
        <w:footnoteReference w:id="110"/>
      </w:r>
      <w:r w:rsidRPr="00B0512B">
        <w:rPr>
          <w:b/>
          <w:bCs/>
          <w:rtl/>
        </w:rPr>
        <w:t>.</w:t>
      </w:r>
      <w:r>
        <w:rPr>
          <w:rFonts w:hint="cs"/>
          <w:b/>
          <w:bCs/>
          <w:rtl/>
        </w:rPr>
        <w:t xml:space="preserve"> כלומר, הגירעון למימון גדל בכ-108 מיליארד ש"ח.</w:t>
      </w:r>
    </w:p>
    <w:p w:rsidR="00253C38" w:rsidP="00982BC1" w14:paraId="6F6FA23A" w14:textId="5796F22B">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P="00982BC1" w14:paraId="28AF90AB" w14:textId="77777777">
      <w:pPr>
        <w:spacing w:line="269" w:lineRule="auto"/>
        <w:rPr>
          <w:rtl/>
        </w:rPr>
      </w:pPr>
      <w:r>
        <w:rPr>
          <w:rFonts w:hint="cs"/>
          <w:rtl/>
        </w:rPr>
        <w:t>התנודות החדות בשווקים בתחילת חודש מרץ הובילו את מנהלי קרנות הנאמנות והגופים המוסדיים למכור אג"ח ממשלתיות בהיקפים גדולים במטרה לשפר את נזילותם. בעקבות זאת נפגעה יכולתם לגייס הלוואות באפיק המקומי הלא סחיר בשל טבעו</w:t>
      </w:r>
      <w:r w:rsidRPr="00C53B2C">
        <w:rPr>
          <w:rFonts w:hint="cs"/>
          <w:rtl/>
        </w:rPr>
        <w:t xml:space="preserve"> הפרו-מחזורי</w:t>
      </w:r>
      <w:r>
        <w:rPr>
          <w:rStyle w:val="FootnoteReference"/>
          <w:rtl/>
        </w:rPr>
        <w:footnoteReference w:id="111"/>
      </w:r>
      <w:r>
        <w:rPr>
          <w:rFonts w:hint="cs"/>
          <w:rtl/>
        </w:rPr>
        <w:t>.</w:t>
      </w:r>
      <w:r w:rsidRPr="00C53B2C">
        <w:rPr>
          <w:rFonts w:hint="cs"/>
          <w:rtl/>
        </w:rPr>
        <w:t xml:space="preserve"> </w:t>
      </w:r>
      <w:r>
        <w:rPr>
          <w:rFonts w:hint="cs"/>
          <w:rtl/>
        </w:rPr>
        <w:t xml:space="preserve">כדי לממן את הגידול בגירעון, פעלה היחידה לניהול החוב הממשלתי להגדלת הגיוסים באפיק המקומי הסחיר ובאפיק החיצוני. תרשים </w:t>
      </w:r>
      <w:r w:rsidR="00093EF6">
        <w:rPr>
          <w:rFonts w:hint="cs"/>
          <w:rtl/>
        </w:rPr>
        <w:t>45</w:t>
      </w:r>
      <w:r>
        <w:rPr>
          <w:rFonts w:hint="cs"/>
          <w:rtl/>
        </w:rPr>
        <w:t xml:space="preserve"> להלן מציג את גיוסי החוב באפיקים השונים ואת התפלגות מלאי החוב הממשלתי בשלושת הרבעונים הראשונים של שנת 2020.</w:t>
      </w:r>
    </w:p>
    <w:p w:rsidR="00E065A2" w14:paraId="479926C2" w14:textId="77777777">
      <w:pPr>
        <w:bidi w:val="0"/>
        <w:spacing w:after="200" w:line="276" w:lineRule="auto"/>
        <w:rPr>
          <w:szCs w:val="20"/>
        </w:rPr>
      </w:pPr>
      <w:r>
        <w:rPr>
          <w:rtl/>
        </w:rPr>
        <w:br w:type="page"/>
      </w:r>
    </w:p>
    <w:p w:rsidR="00253C38" w:rsidP="00982BC1" w14:paraId="724DC4DD" w14:textId="0B0B3266">
      <w:pPr>
        <w:pStyle w:val="a"/>
        <w:spacing w:line="269" w:lineRule="auto"/>
        <w:rPr>
          <w:rFonts w:hint="cs"/>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86470" w:rsidP="00982BC1" w14:paraId="2C863CD6" w14:textId="77777777">
      <w:pPr>
        <w:spacing w:line="269" w:lineRule="auto"/>
        <w:jc w:val="center"/>
        <w:rPr>
          <w:b/>
          <w:bCs/>
          <w:rtl/>
        </w:rPr>
      </w:pPr>
      <w:r w:rsidRPr="00786470">
        <w:rPr>
          <w:rFonts w:hint="eastAsia"/>
          <w:b/>
          <w:bCs/>
          <w:rtl/>
        </w:rPr>
        <w:t>תרשים</w:t>
      </w:r>
      <w:r w:rsidRPr="00786470">
        <w:rPr>
          <w:b/>
          <w:bCs/>
          <w:rtl/>
        </w:rPr>
        <w:t xml:space="preserve"> </w:t>
      </w:r>
      <w:r w:rsidR="00093EF6">
        <w:rPr>
          <w:rFonts w:hint="cs"/>
          <w:b/>
          <w:bCs/>
          <w:rtl/>
        </w:rPr>
        <w:t>45</w:t>
      </w:r>
      <w:r w:rsidRPr="00786470">
        <w:rPr>
          <w:b/>
          <w:bCs/>
          <w:rtl/>
        </w:rPr>
        <w:t xml:space="preserve">: </w:t>
      </w:r>
      <w:r w:rsidRPr="00786470">
        <w:rPr>
          <w:rFonts w:hint="eastAsia"/>
          <w:b/>
          <w:bCs/>
          <w:rtl/>
        </w:rPr>
        <w:t>גיוסי</w:t>
      </w:r>
      <w:r w:rsidRPr="00786470">
        <w:rPr>
          <w:b/>
          <w:bCs/>
          <w:rtl/>
        </w:rPr>
        <w:t xml:space="preserve"> החוב </w:t>
      </w:r>
      <w:r w:rsidRPr="00786470">
        <w:rPr>
          <w:rFonts w:hint="eastAsia"/>
          <w:b/>
          <w:bCs/>
          <w:rtl/>
        </w:rPr>
        <w:t>באפיקים</w:t>
      </w:r>
      <w:r w:rsidRPr="00786470">
        <w:rPr>
          <w:b/>
          <w:bCs/>
          <w:rtl/>
        </w:rPr>
        <w:t xml:space="preserve"> השונים </w:t>
      </w:r>
      <w:r w:rsidRPr="00786470">
        <w:rPr>
          <w:rFonts w:hint="eastAsia"/>
          <w:b/>
          <w:bCs/>
          <w:rtl/>
        </w:rPr>
        <w:t>והתפלגות</w:t>
      </w:r>
      <w:r w:rsidRPr="00786470">
        <w:rPr>
          <w:b/>
          <w:bCs/>
          <w:rtl/>
        </w:rPr>
        <w:t xml:space="preserve"> </w:t>
      </w:r>
      <w:r w:rsidRPr="00786470">
        <w:rPr>
          <w:rFonts w:hint="eastAsia"/>
          <w:b/>
          <w:bCs/>
          <w:rtl/>
        </w:rPr>
        <w:t>מלאי</w:t>
      </w:r>
      <w:r w:rsidRPr="00786470">
        <w:rPr>
          <w:b/>
          <w:bCs/>
          <w:rtl/>
        </w:rPr>
        <w:t xml:space="preserve"> </w:t>
      </w:r>
      <w:r w:rsidRPr="00786470">
        <w:rPr>
          <w:rFonts w:hint="eastAsia"/>
          <w:b/>
          <w:bCs/>
          <w:rtl/>
        </w:rPr>
        <w:t>החוב</w:t>
      </w:r>
      <w:r w:rsidRPr="00786470">
        <w:rPr>
          <w:b/>
          <w:bCs/>
          <w:rtl/>
        </w:rPr>
        <w:t xml:space="preserve"> </w:t>
      </w:r>
      <w:r w:rsidRPr="00786470">
        <w:rPr>
          <w:rFonts w:hint="eastAsia"/>
          <w:b/>
          <w:bCs/>
          <w:rtl/>
        </w:rPr>
        <w:t>הממשלתי</w:t>
      </w:r>
      <w:r w:rsidRPr="00681447">
        <w:rPr>
          <w:rFonts w:hint="cs"/>
          <w:b/>
          <w:bCs/>
          <w:rtl/>
        </w:rPr>
        <w:t>, שלושת</w:t>
      </w:r>
      <w:r w:rsidRPr="00786470">
        <w:rPr>
          <w:b/>
          <w:bCs/>
          <w:rtl/>
        </w:rPr>
        <w:t xml:space="preserve"> </w:t>
      </w:r>
      <w:r w:rsidRPr="00786470">
        <w:rPr>
          <w:rFonts w:hint="eastAsia"/>
          <w:b/>
          <w:bCs/>
          <w:rtl/>
        </w:rPr>
        <w:t>הרבעונים</w:t>
      </w:r>
      <w:r w:rsidRPr="00786470">
        <w:rPr>
          <w:b/>
          <w:bCs/>
          <w:rtl/>
        </w:rPr>
        <w:t xml:space="preserve"> </w:t>
      </w:r>
      <w:r w:rsidRPr="00786470">
        <w:rPr>
          <w:rFonts w:hint="eastAsia"/>
          <w:b/>
          <w:bCs/>
          <w:rtl/>
        </w:rPr>
        <w:t>הראשונים</w:t>
      </w:r>
      <w:r w:rsidRPr="00786470">
        <w:rPr>
          <w:b/>
          <w:bCs/>
          <w:rtl/>
        </w:rPr>
        <w:t xml:space="preserve"> </w:t>
      </w:r>
      <w:r w:rsidRPr="00786470">
        <w:rPr>
          <w:rFonts w:hint="eastAsia"/>
          <w:b/>
          <w:bCs/>
          <w:rtl/>
        </w:rPr>
        <w:t>של</w:t>
      </w:r>
      <w:r w:rsidRPr="00786470">
        <w:rPr>
          <w:b/>
          <w:bCs/>
          <w:rtl/>
        </w:rPr>
        <w:t xml:space="preserve"> 2020</w:t>
      </w:r>
    </w:p>
    <w:p w:rsidR="00253C38" w:rsidP="00982BC1" w14:paraId="34D89C9C" w14:textId="77777777">
      <w:pPr>
        <w:spacing w:line="269" w:lineRule="auto"/>
        <w:jc w:val="center"/>
        <w:rPr>
          <w:rtl/>
        </w:rPr>
      </w:pPr>
      <w:r>
        <w:rPr>
          <w:noProof/>
        </w:rPr>
        <w:drawing>
          <wp:inline distT="0" distB="0" distL="0" distR="0">
            <wp:extent cx="5311140" cy="1267460"/>
            <wp:effectExtent l="0" t="0" r="3810" b="8890"/>
            <wp:docPr id="1743882402" name="תמונה 174388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52779" name=""/>
                    <pic:cNvPicPr/>
                  </pic:nvPicPr>
                  <pic:blipFill>
                    <a:blip xmlns:r="http://schemas.openxmlformats.org/officeDocument/2006/relationships" r:embed="rId56"/>
                    <a:stretch>
                      <a:fillRect/>
                    </a:stretch>
                  </pic:blipFill>
                  <pic:spPr>
                    <a:xfrm>
                      <a:off x="0" y="0"/>
                      <a:ext cx="5311140" cy="1267460"/>
                    </a:xfrm>
                    <a:prstGeom prst="rect">
                      <a:avLst/>
                    </a:prstGeom>
                  </pic:spPr>
                </pic:pic>
              </a:graphicData>
            </a:graphic>
          </wp:inline>
        </w:drawing>
      </w:r>
    </w:p>
    <w:p w:rsidR="00253C38" w:rsidP="00982BC1" w14:paraId="74FCCF5B" w14:textId="77777777">
      <w:pPr>
        <w:spacing w:line="269" w:lineRule="auto"/>
        <w:jc w:val="center"/>
        <w:rPr>
          <w:rtl/>
        </w:rPr>
      </w:pPr>
      <w:r>
        <w:rPr>
          <w:noProof/>
        </w:rPr>
        <w:drawing>
          <wp:inline distT="0" distB="0" distL="0" distR="0">
            <wp:extent cx="5311140" cy="2302510"/>
            <wp:effectExtent l="0" t="0" r="3810" b="2540"/>
            <wp:docPr id="1743882401" name="תמונה 174388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27361" name=""/>
                    <pic:cNvPicPr/>
                  </pic:nvPicPr>
                  <pic:blipFill>
                    <a:blip xmlns:r="http://schemas.openxmlformats.org/officeDocument/2006/relationships" r:embed="rId57"/>
                    <a:stretch>
                      <a:fillRect/>
                    </a:stretch>
                  </pic:blipFill>
                  <pic:spPr>
                    <a:xfrm>
                      <a:off x="0" y="0"/>
                      <a:ext cx="5311140" cy="2302510"/>
                    </a:xfrm>
                    <a:prstGeom prst="rect">
                      <a:avLst/>
                    </a:prstGeom>
                  </pic:spPr>
                </pic:pic>
              </a:graphicData>
            </a:graphic>
          </wp:inline>
        </w:drawing>
      </w:r>
    </w:p>
    <w:p w:rsidR="00253C38" w:rsidRPr="00E065A2" w:rsidP="00982BC1" w14:paraId="21ABC93A" w14:textId="77777777">
      <w:pPr>
        <w:spacing w:line="269" w:lineRule="auto"/>
        <w:jc w:val="left"/>
        <w:rPr>
          <w:sz w:val="18"/>
          <w:szCs w:val="22"/>
          <w:rtl/>
        </w:rPr>
      </w:pPr>
      <w:r w:rsidRPr="00E065A2">
        <w:rPr>
          <w:rFonts w:hint="cs"/>
          <w:sz w:val="18"/>
          <w:szCs w:val="22"/>
          <w:rtl/>
        </w:rPr>
        <w:t>נתוני החשכ"ל, בעיבוד משרד מבקר המדינה.</w:t>
      </w:r>
    </w:p>
    <w:p w:rsidR="00253C38" w:rsidP="00982BC1" w14:paraId="56537097" w14:textId="075423B7">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2A63D7" w:rsidP="00982BC1" w14:paraId="5A132560" w14:textId="77777777">
      <w:pPr>
        <w:spacing w:line="269" w:lineRule="auto"/>
        <w:rPr>
          <w:b/>
          <w:bCs/>
          <w:rtl/>
        </w:rPr>
      </w:pPr>
      <w:r>
        <w:rPr>
          <w:rFonts w:hint="cs"/>
          <w:b/>
          <w:bCs/>
          <w:rtl/>
        </w:rPr>
        <w:t>מ</w:t>
      </w:r>
      <w:r w:rsidRPr="002A63D7">
        <w:rPr>
          <w:b/>
          <w:bCs/>
          <w:rtl/>
        </w:rPr>
        <w:t>תרשים</w:t>
      </w:r>
      <w:r>
        <w:rPr>
          <w:rFonts w:hint="cs"/>
          <w:b/>
          <w:bCs/>
          <w:rtl/>
        </w:rPr>
        <w:t xml:space="preserve"> </w:t>
      </w:r>
      <w:r w:rsidR="00093EF6">
        <w:rPr>
          <w:rFonts w:hint="cs"/>
          <w:b/>
          <w:bCs/>
          <w:rtl/>
        </w:rPr>
        <w:t>45</w:t>
      </w:r>
      <w:r>
        <w:rPr>
          <w:rFonts w:hint="cs"/>
          <w:b/>
          <w:bCs/>
          <w:rtl/>
        </w:rPr>
        <w:t xml:space="preserve"> עולה</w:t>
      </w:r>
      <w:r w:rsidRPr="002A63D7">
        <w:rPr>
          <w:b/>
          <w:bCs/>
          <w:rtl/>
        </w:rPr>
        <w:t xml:space="preserve"> כי אפיק הגיוס החיצוני גדל בשיעור של כ-3% מתוך מלאי החוב הממשלתי מהרבעון הראשון לרבעון השלישי בשנת 2020. עוד ניתן לראות כי עיקר גיוסי החוב היו באפיק הגיוס המקומי הסחיר</w:t>
      </w:r>
      <w:r>
        <w:rPr>
          <w:rFonts w:hint="cs"/>
          <w:b/>
          <w:bCs/>
          <w:rtl/>
        </w:rPr>
        <w:t xml:space="preserve"> (כ-55%),</w:t>
      </w:r>
      <w:r w:rsidRPr="002A63D7">
        <w:rPr>
          <w:b/>
          <w:bCs/>
          <w:rtl/>
        </w:rPr>
        <w:t xml:space="preserve"> ששמר על חלקו </w:t>
      </w:r>
      <w:r w:rsidRPr="002A63D7">
        <w:rPr>
          <w:rFonts w:hint="eastAsia"/>
          <w:b/>
          <w:bCs/>
          <w:rtl/>
        </w:rPr>
        <w:t>במהלך</w:t>
      </w:r>
      <w:r w:rsidRPr="002A63D7">
        <w:rPr>
          <w:b/>
          <w:bCs/>
          <w:rtl/>
        </w:rPr>
        <w:t xml:space="preserve"> התקופה מתוך מלאי החוב הממשלתי, בעוד שבאפיק הגיוס המקומי הלא סחיר </w:t>
      </w:r>
      <w:r>
        <w:rPr>
          <w:rFonts w:hint="cs"/>
          <w:b/>
          <w:bCs/>
          <w:rtl/>
        </w:rPr>
        <w:t>חלה</w:t>
      </w:r>
      <w:r w:rsidRPr="002A63D7">
        <w:rPr>
          <w:b/>
          <w:bCs/>
          <w:rtl/>
        </w:rPr>
        <w:t xml:space="preserve"> ירידה הן בהיקף הגיוסים במהלך הרבעון השני</w:t>
      </w:r>
      <w:r>
        <w:rPr>
          <w:rFonts w:hint="cs"/>
          <w:b/>
          <w:bCs/>
          <w:rtl/>
        </w:rPr>
        <w:t xml:space="preserve"> (בהיקף של כ-6.5 מיליארד </w:t>
      </w:r>
      <w:r w:rsidRPr="00CC023C">
        <w:rPr>
          <w:rFonts w:hint="cs"/>
          <w:b/>
          <w:bCs/>
          <w:rtl/>
        </w:rPr>
        <w:t>ש"ח</w:t>
      </w:r>
      <w:r>
        <w:rPr>
          <w:rFonts w:hint="cs"/>
          <w:b/>
          <w:bCs/>
          <w:rtl/>
        </w:rPr>
        <w:t>)</w:t>
      </w:r>
      <w:r w:rsidRPr="002A63D7">
        <w:rPr>
          <w:b/>
          <w:bCs/>
          <w:rtl/>
        </w:rPr>
        <w:t xml:space="preserve"> והן בשיעורו</w:t>
      </w:r>
      <w:r>
        <w:rPr>
          <w:rFonts w:hint="cs"/>
          <w:b/>
          <w:bCs/>
          <w:rtl/>
        </w:rPr>
        <w:t xml:space="preserve"> (כ-3%)</w:t>
      </w:r>
      <w:r w:rsidRPr="002A63D7">
        <w:rPr>
          <w:b/>
          <w:bCs/>
          <w:rtl/>
        </w:rPr>
        <w:t xml:space="preserve"> מתוך מלאי החוב הממשלתי.</w:t>
      </w:r>
    </w:p>
    <w:p w:rsidR="00253C38" w:rsidP="00982BC1" w14:paraId="2B8DA985" w14:textId="7898F76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45500" w:rsidP="00982BC1" w14:paraId="74AD1E64" w14:textId="77777777">
      <w:pPr>
        <w:spacing w:line="269" w:lineRule="auto"/>
        <w:rPr>
          <w:rtl/>
        </w:rPr>
      </w:pPr>
      <w:r>
        <w:rPr>
          <w:rFonts w:hint="cs"/>
          <w:rtl/>
        </w:rPr>
        <w:t xml:space="preserve">במהלך המשבר פעלה יחידת החוב לגידול היקף הגיוס באפיק המקומי הסחיר באופן מדורג, תוך </w:t>
      </w:r>
      <w:r w:rsidRPr="00093EF6">
        <w:rPr>
          <w:rFonts w:hint="cs"/>
          <w:rtl/>
        </w:rPr>
        <w:t xml:space="preserve">כדי תכנון עתידי ודינמי של הגיוסים באפיק זה, בהתאם לגירעון התופח ולהודעת בנק ישראל מיום </w:t>
      </w:r>
      <w:r w:rsidRPr="00093EF6">
        <w:rPr>
          <w:rtl/>
        </w:rPr>
        <w:t>23.3.20</w:t>
      </w:r>
      <w:r w:rsidRPr="00093EF6">
        <w:rPr>
          <w:rFonts w:hint="cs"/>
          <w:rtl/>
        </w:rPr>
        <w:t xml:space="preserve"> כי ירכוש אג"ח ממשלתי בשוק המקומי המשני בהיקף של 50 מיליארד ש"ח. גיוס עקבי בהיקפים דומים</w:t>
      </w:r>
      <w:r>
        <w:rPr>
          <w:rFonts w:hint="cs"/>
          <w:rtl/>
        </w:rPr>
        <w:t xml:space="preserve"> בין תקופות יוצר ודאות הן למקבלי ההחלטות והן לפעילים בשוק ההון, ובכך מוביל לביקוש גבוה בהנפקות ומסייע במיחזור חוב יעיל ובהקטנת הסיכון הגלום בכך שההנפקה לא תושלם.</w:t>
      </w:r>
    </w:p>
    <w:p w:rsidR="00253C38" w:rsidP="00982BC1" w14:paraId="3073E2AE" w14:textId="3B2839F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8CC0CE4" w14:textId="77777777">
      <w:pPr>
        <w:spacing w:line="269" w:lineRule="auto"/>
        <w:rPr>
          <w:rtl/>
        </w:rPr>
      </w:pPr>
      <w:r>
        <w:rPr>
          <w:rFonts w:hint="cs"/>
          <w:rtl/>
        </w:rPr>
        <w:t>ברקע התרחבות השפעות המשבר על המשק, החלה יחידת החוב בגיוס מהיר בשוק המקומי הסחיר. בד בבד פעלה היחידה הן לניצול היתרות של החשכ"ל בחשבון הקיים בבנק ישראל</w:t>
      </w:r>
      <w:r>
        <w:rPr>
          <w:rStyle w:val="FootnoteReference"/>
          <w:rtl/>
        </w:rPr>
        <w:footnoteReference w:id="112"/>
      </w:r>
      <w:r>
        <w:rPr>
          <w:rFonts w:hint="cs"/>
          <w:rtl/>
        </w:rPr>
        <w:t xml:space="preserve"> למימון הגירעון והן לשמירה על קשר רציף עם חברות הדירוג. מענה מיידי להרחבת הגיוסים בשוק המקומי הסחיר התאפשר הודות לתשקיפים שהוכנו מבעוד מועד. במסגרת ההיערכות העתידית תכננה היחידה במהלך המשבר את הגיוסים הצפויים לשנים הקרובות באפיק זה, בהנחה כי הגירעון בתקופה זו יעמוד על מספר דו-ספרתי או על מספר חד-ספרתי גבוה לפחות. לצורך כך השתמשה במודל דינמי </w:t>
      </w:r>
      <w:r>
        <w:rPr>
          <w:rFonts w:hint="cs"/>
          <w:rtl/>
        </w:rPr>
        <w:t>לפתיחת סדרות אג"ח שיתמוך בקצב הגיוסים הגבוה, לצד ניהולם בכפוף לגורמי הסיכון</w:t>
      </w:r>
      <w:r>
        <w:rPr>
          <w:rStyle w:val="FootnoteReference"/>
          <w:rtl/>
        </w:rPr>
        <w:footnoteReference w:id="113"/>
      </w:r>
      <w:r>
        <w:rPr>
          <w:rFonts w:hint="cs"/>
          <w:rtl/>
        </w:rPr>
        <w:t>, ובעיקר סיכון המיחזור</w:t>
      </w:r>
      <w:r>
        <w:rPr>
          <w:rStyle w:val="FootnoteReference"/>
          <w:rtl/>
        </w:rPr>
        <w:footnoteReference w:id="114"/>
      </w:r>
      <w:r>
        <w:rPr>
          <w:rFonts w:hint="cs"/>
          <w:rtl/>
        </w:rPr>
        <w:t xml:space="preserve"> העומד במוקד ניהול תיק החוב הממשלתי.</w:t>
      </w:r>
    </w:p>
    <w:p w:rsidR="00253C38" w:rsidP="00982BC1" w14:paraId="7717854E" w14:textId="312BC45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45500" w:rsidP="00982BC1" w14:paraId="5C61F28D" w14:textId="77777777">
      <w:pPr>
        <w:spacing w:line="269" w:lineRule="auto"/>
        <w:rPr>
          <w:rtl/>
        </w:rPr>
      </w:pPr>
      <w:r>
        <w:rPr>
          <w:rFonts w:hint="cs"/>
          <w:rtl/>
        </w:rPr>
        <w:t>יחידת החוב הסבירה לצוות הביקורת כי בראשית המשבר אי-אפשר היה להכיל במהירות את היקף ההלוואות הנדרש באמצעות פנייה לשוק המקומי הסחיר, ולכן נעשו גיוסים גם בשוק החיצוני בהיקף גדול. בהמשך נענה הגידול בהיקפי התוכנית הכלכלית, שהוביל לגידול בגירעון ולפערים תזרימיים, באמצעות פנייה לשוק החיצוני</w:t>
      </w:r>
      <w:r w:rsidR="00093EF6">
        <w:rPr>
          <w:rFonts w:hint="cs"/>
          <w:rtl/>
        </w:rPr>
        <w:t xml:space="preserve"> </w:t>
      </w:r>
      <w:r>
        <w:rPr>
          <w:rFonts w:hint="cs"/>
          <w:rtl/>
        </w:rPr>
        <w:t>כדי למזער את הזעזועים שעלולים היו להיווצר בעקבות הרחבת היקף הגיוסים בשוק המקומי.</w:t>
      </w:r>
    </w:p>
    <w:p w:rsidR="00253C38" w:rsidP="00982BC1" w14:paraId="34A2F6BF" w14:textId="4F85087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6AE0C9F6" w14:textId="097134CE">
      <w:pPr>
        <w:spacing w:line="269" w:lineRule="auto"/>
        <w:rPr>
          <w:rtl/>
        </w:rPr>
      </w:pPr>
      <w:r>
        <w:rPr>
          <w:rFonts w:hint="cs"/>
          <w:rtl/>
        </w:rPr>
        <w:t>במהלך שנת</w:t>
      </w:r>
      <w:r w:rsidR="005537CA">
        <w:rPr>
          <w:rFonts w:hint="cs"/>
          <w:rtl/>
        </w:rPr>
        <w:t xml:space="preserve"> </w:t>
      </w:r>
      <w:r>
        <w:rPr>
          <w:rFonts w:hint="cs"/>
          <w:rtl/>
        </w:rPr>
        <w:t>2020 גייסה יחידת החוב במהלך החודשים ינואר - נובמבר הלוואות באפיק החיצוני בהיקף של כ-74.3 מיליארד ש"ח לעומת סך של כ-17.3 מיליארד ש"ח בתקופה המקבילה אשתקד. סך ההלוואות נטו באפיק זה בתקופה המצוינת בשנת 2020 היה גבוה ב-57.4 מיליארד ש"ח בהשוואה לתקופה המקבילה אשתקד</w:t>
      </w:r>
      <w:r>
        <w:rPr>
          <w:rStyle w:val="FootnoteReference"/>
          <w:rtl/>
        </w:rPr>
        <w:footnoteReference w:id="115"/>
      </w:r>
      <w:r>
        <w:rPr>
          <w:rFonts w:hint="cs"/>
          <w:rtl/>
        </w:rPr>
        <w:t xml:space="preserve">. תרשים </w:t>
      </w:r>
      <w:r w:rsidR="00093EF6">
        <w:rPr>
          <w:rFonts w:hint="cs"/>
          <w:rtl/>
        </w:rPr>
        <w:t>46</w:t>
      </w:r>
      <w:r>
        <w:rPr>
          <w:rFonts w:hint="cs"/>
          <w:rtl/>
        </w:rPr>
        <w:t xml:space="preserve"> להלן מציג את גיוס החובות באפיק החיצוני בהשוואה לגיוסים בשוק המקומי במהלך שנת 2020.</w:t>
      </w:r>
    </w:p>
    <w:p w:rsidR="00253C38" w:rsidP="00982BC1" w14:paraId="4CB0D4A2" w14:textId="3398578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86470" w:rsidP="00982BC1" w14:paraId="36DA24D7" w14:textId="77777777">
      <w:pPr>
        <w:spacing w:line="269" w:lineRule="auto"/>
        <w:jc w:val="center"/>
        <w:rPr>
          <w:b/>
          <w:bCs/>
          <w:rtl/>
        </w:rPr>
      </w:pPr>
      <w:r w:rsidRPr="00786470">
        <w:rPr>
          <w:rFonts w:hint="eastAsia"/>
          <w:b/>
          <w:bCs/>
          <w:rtl/>
        </w:rPr>
        <w:t>תרשים</w:t>
      </w:r>
      <w:r w:rsidRPr="00786470">
        <w:rPr>
          <w:b/>
          <w:bCs/>
          <w:rtl/>
        </w:rPr>
        <w:t xml:space="preserve"> </w:t>
      </w:r>
      <w:r w:rsidR="00093EF6">
        <w:rPr>
          <w:rFonts w:hint="cs"/>
          <w:b/>
          <w:bCs/>
          <w:rtl/>
        </w:rPr>
        <w:t>46</w:t>
      </w:r>
      <w:r w:rsidRPr="00093EF6">
        <w:rPr>
          <w:b/>
          <w:bCs/>
          <w:rtl/>
        </w:rPr>
        <w:t xml:space="preserve">: </w:t>
      </w:r>
      <w:r w:rsidRPr="00681447">
        <w:rPr>
          <w:rFonts w:hint="cs"/>
          <w:b/>
          <w:bCs/>
          <w:rtl/>
        </w:rPr>
        <w:t>גיוס החוב</w:t>
      </w:r>
      <w:r>
        <w:rPr>
          <w:rFonts w:hint="cs"/>
          <w:b/>
          <w:bCs/>
          <w:rtl/>
        </w:rPr>
        <w:t>ות</w:t>
      </w:r>
      <w:r w:rsidRPr="00786470">
        <w:rPr>
          <w:b/>
          <w:bCs/>
          <w:rtl/>
        </w:rPr>
        <w:t xml:space="preserve"> באפיק המקומי ובאפיק החיצוני בשנת 2020 בפריסה חודשית, </w:t>
      </w:r>
      <w:r>
        <w:rPr>
          <w:rFonts w:hint="cs"/>
          <w:b/>
          <w:bCs/>
          <w:rtl/>
        </w:rPr>
        <w:t>(</w:t>
      </w:r>
      <w:r w:rsidRPr="00786470">
        <w:rPr>
          <w:rFonts w:hint="eastAsia"/>
          <w:b/>
          <w:bCs/>
          <w:rtl/>
        </w:rPr>
        <w:t>במיליארדי</w:t>
      </w:r>
      <w:r w:rsidRPr="00786470">
        <w:rPr>
          <w:b/>
          <w:bCs/>
          <w:rtl/>
        </w:rPr>
        <w:t xml:space="preserve"> </w:t>
      </w:r>
      <w:r w:rsidRPr="00786470">
        <w:rPr>
          <w:rFonts w:hint="eastAsia"/>
          <w:b/>
          <w:bCs/>
          <w:rtl/>
        </w:rPr>
        <w:t>ש</w:t>
      </w:r>
      <w:r w:rsidRPr="00786470">
        <w:rPr>
          <w:b/>
          <w:bCs/>
          <w:rtl/>
        </w:rPr>
        <w:t>"ח</w:t>
      </w:r>
      <w:r>
        <w:rPr>
          <w:rFonts w:hint="cs"/>
          <w:b/>
          <w:bCs/>
          <w:rtl/>
        </w:rPr>
        <w:t>)</w:t>
      </w:r>
    </w:p>
    <w:p w:rsidR="00253C38" w:rsidP="00982BC1" w14:paraId="69C42BB6" w14:textId="77777777">
      <w:pPr>
        <w:spacing w:line="269" w:lineRule="auto"/>
        <w:rPr>
          <w:rtl/>
        </w:rPr>
      </w:pPr>
      <w:r>
        <w:rPr>
          <w:noProof/>
        </w:rPr>
        <w:drawing>
          <wp:inline distT="0" distB="0" distL="0" distR="0">
            <wp:extent cx="5379440" cy="3053751"/>
            <wp:effectExtent l="0" t="0" r="0" b="0"/>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2768" name=""/>
                    <pic:cNvPicPr/>
                  </pic:nvPicPr>
                  <pic:blipFill>
                    <a:blip xmlns:r="http://schemas.openxmlformats.org/officeDocument/2006/relationships" r:embed="rId58"/>
                    <a:stretch>
                      <a:fillRect/>
                    </a:stretch>
                  </pic:blipFill>
                  <pic:spPr>
                    <a:xfrm>
                      <a:off x="0" y="0"/>
                      <a:ext cx="5385650" cy="3057276"/>
                    </a:xfrm>
                    <a:prstGeom prst="rect">
                      <a:avLst/>
                    </a:prstGeom>
                  </pic:spPr>
                </pic:pic>
              </a:graphicData>
            </a:graphic>
          </wp:inline>
        </w:drawing>
      </w:r>
    </w:p>
    <w:p w:rsidR="00253C38" w:rsidRPr="00E065A2" w:rsidP="00982BC1" w14:paraId="25CDDCA1" w14:textId="77777777">
      <w:pPr>
        <w:spacing w:line="269" w:lineRule="auto"/>
        <w:rPr>
          <w:sz w:val="18"/>
          <w:szCs w:val="22"/>
          <w:rtl/>
        </w:rPr>
      </w:pPr>
      <w:r w:rsidRPr="00E065A2">
        <w:rPr>
          <w:rFonts w:hint="cs"/>
          <w:sz w:val="18"/>
          <w:szCs w:val="22"/>
          <w:rtl/>
        </w:rPr>
        <w:t>נתוני החשכ"ל, בעיבוד משרד מבקר המדינה.</w:t>
      </w:r>
    </w:p>
    <w:p w:rsidR="00253C38" w:rsidRPr="00D03E33" w:rsidP="00982BC1" w14:paraId="6595DB76" w14:textId="1B08745B">
      <w:pPr>
        <w:pStyle w:val="a"/>
        <w:spacing w:line="269" w:lineRule="auto"/>
        <w:rPr>
          <w:rtl/>
        </w:rPr>
      </w:pPr>
      <w:r>
        <w:rPr>
          <w:rtl/>
        </w:rPr>
        <w:fldChar w:fldCharType="begin"/>
      </w:r>
      <w:r>
        <w:rPr>
          <w:rtl/>
        </w:rPr>
        <w:instrText xml:space="preserve"> </w:instrText>
      </w:r>
      <w:r>
        <w:rPr>
          <w:rFonts w:hint="cs"/>
        </w:rPr>
        <w:instrText>AUTONUMLGL \e  \* MERGEFORMAT</w:instrText>
      </w:r>
      <w:r>
        <w:rPr>
          <w:rtl/>
        </w:rPr>
        <w:instrText xml:space="preserve"> </w:instrText>
      </w:r>
      <w:r>
        <w:rPr>
          <w:rtl/>
        </w:rPr>
        <w:fldChar w:fldCharType="end"/>
      </w:r>
    </w:p>
    <w:p w:rsidR="00253C38" w:rsidRPr="002A63D7" w:rsidP="00982BC1" w14:paraId="411128F1" w14:textId="77777777">
      <w:pPr>
        <w:spacing w:line="269" w:lineRule="auto"/>
        <w:rPr>
          <w:b/>
          <w:bCs/>
          <w:rtl/>
        </w:rPr>
      </w:pPr>
      <w:r w:rsidRPr="002A63D7">
        <w:rPr>
          <w:rFonts w:hint="eastAsia"/>
          <w:b/>
          <w:bCs/>
          <w:rtl/>
        </w:rPr>
        <w:t>מתרשים</w:t>
      </w:r>
      <w:r>
        <w:rPr>
          <w:rFonts w:hint="cs"/>
          <w:b/>
          <w:bCs/>
          <w:rtl/>
        </w:rPr>
        <w:t xml:space="preserve"> </w:t>
      </w:r>
      <w:r w:rsidR="00093EF6">
        <w:rPr>
          <w:rFonts w:hint="cs"/>
          <w:b/>
          <w:bCs/>
          <w:rtl/>
        </w:rPr>
        <w:t>46</w:t>
      </w:r>
      <w:r w:rsidRPr="002A63D7">
        <w:rPr>
          <w:b/>
          <w:bCs/>
          <w:rtl/>
        </w:rPr>
        <w:t xml:space="preserve"> עולה כי במהלך שנת 2020</w:t>
      </w:r>
      <w:r>
        <w:rPr>
          <w:rFonts w:hint="cs"/>
          <w:b/>
          <w:bCs/>
          <w:rtl/>
        </w:rPr>
        <w:t xml:space="preserve"> היו</w:t>
      </w:r>
      <w:r w:rsidRPr="002A63D7">
        <w:rPr>
          <w:b/>
          <w:bCs/>
          <w:rtl/>
        </w:rPr>
        <w:t xml:space="preserve"> </w:t>
      </w:r>
      <w:r w:rsidRPr="002A63D7">
        <w:rPr>
          <w:rFonts w:hint="eastAsia"/>
          <w:b/>
          <w:bCs/>
          <w:rtl/>
        </w:rPr>
        <w:t>כ</w:t>
      </w:r>
      <w:r w:rsidRPr="002A63D7">
        <w:rPr>
          <w:b/>
          <w:bCs/>
          <w:rtl/>
        </w:rPr>
        <w:t xml:space="preserve">-70% </w:t>
      </w:r>
      <w:r w:rsidRPr="002A63D7">
        <w:rPr>
          <w:rFonts w:hint="eastAsia"/>
          <w:b/>
          <w:bCs/>
          <w:rtl/>
        </w:rPr>
        <w:t>מהגיוסים</w:t>
      </w:r>
      <w:r w:rsidRPr="002A63D7">
        <w:rPr>
          <w:b/>
          <w:bCs/>
          <w:rtl/>
        </w:rPr>
        <w:t xml:space="preserve"> </w:t>
      </w:r>
      <w:r w:rsidRPr="002A63D7">
        <w:rPr>
          <w:rFonts w:hint="eastAsia"/>
          <w:b/>
          <w:bCs/>
          <w:rtl/>
        </w:rPr>
        <w:t>באפיק</w:t>
      </w:r>
      <w:r w:rsidRPr="002A63D7">
        <w:rPr>
          <w:b/>
          <w:bCs/>
          <w:rtl/>
        </w:rPr>
        <w:t xml:space="preserve"> </w:t>
      </w:r>
      <w:r w:rsidRPr="002A63D7">
        <w:rPr>
          <w:rFonts w:hint="eastAsia"/>
          <w:b/>
          <w:bCs/>
          <w:rtl/>
        </w:rPr>
        <w:t>המקומי</w:t>
      </w:r>
      <w:r w:rsidRPr="002A63D7">
        <w:rPr>
          <w:b/>
          <w:bCs/>
          <w:rtl/>
        </w:rPr>
        <w:t xml:space="preserve"> וכ-30% מהגיוסים באפיק החיצוני</w:t>
      </w:r>
      <w:r w:rsidRPr="008E4374">
        <w:rPr>
          <w:b/>
          <w:bCs/>
          <w:rtl/>
        </w:rPr>
        <w:t xml:space="preserve">, </w:t>
      </w:r>
      <w:r w:rsidRPr="008E4374">
        <w:rPr>
          <w:rFonts w:hint="cs"/>
          <w:b/>
          <w:bCs/>
          <w:rtl/>
        </w:rPr>
        <w:t xml:space="preserve">עובדה </w:t>
      </w:r>
      <w:r w:rsidRPr="008E4374">
        <w:rPr>
          <w:b/>
          <w:bCs/>
          <w:rtl/>
        </w:rPr>
        <w:t>שהוביל</w:t>
      </w:r>
      <w:r w:rsidRPr="008E4374">
        <w:rPr>
          <w:rFonts w:hint="cs"/>
          <w:b/>
          <w:bCs/>
          <w:rtl/>
        </w:rPr>
        <w:t>ה</w:t>
      </w:r>
      <w:r w:rsidRPr="008E4374">
        <w:rPr>
          <w:b/>
          <w:bCs/>
          <w:rtl/>
        </w:rPr>
        <w:t xml:space="preserve"> לגידול בשיעור </w:t>
      </w:r>
      <w:r w:rsidRPr="008E4374">
        <w:rPr>
          <w:rFonts w:hint="cs"/>
          <w:b/>
          <w:bCs/>
          <w:rtl/>
        </w:rPr>
        <w:t>האפיק החיצוני</w:t>
      </w:r>
      <w:r w:rsidRPr="008E4374">
        <w:rPr>
          <w:b/>
          <w:bCs/>
          <w:rtl/>
        </w:rPr>
        <w:t xml:space="preserve"> מתוך מלאי החוב הממשלתי. ניתן לראות כי לעומת מגמת</w:t>
      </w:r>
      <w:r w:rsidRPr="002A63D7">
        <w:rPr>
          <w:b/>
          <w:bCs/>
          <w:rtl/>
        </w:rPr>
        <w:t xml:space="preserve"> העלייה בגיוסי החוב המקומי, עיקר גיוסי החוב באפיק החיצוני היו בחודשים אפריל ומאי. </w:t>
      </w:r>
    </w:p>
    <w:p w:rsidR="00253C38" w:rsidP="00982BC1" w14:paraId="4A5C6EAE" w14:textId="4F10D078">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5649AA" w:rsidP="00982BC1" w14:paraId="570EEDD7" w14:textId="77777777">
      <w:pPr>
        <w:spacing w:line="269" w:lineRule="auto"/>
        <w:rPr>
          <w:rtl/>
        </w:rPr>
      </w:pPr>
      <w:r>
        <w:rPr>
          <w:rFonts w:hint="cs"/>
          <w:sz w:val="24"/>
          <w:rtl/>
        </w:rPr>
        <w:t>ההנפקה הבולטת מבין הנפקות המדינה באפיק החיצוני אירעה ביום 31.</w:t>
      </w:r>
      <w:r w:rsidR="00093EF6">
        <w:rPr>
          <w:rFonts w:hint="cs"/>
          <w:sz w:val="24"/>
          <w:rtl/>
        </w:rPr>
        <w:t>3</w:t>
      </w:r>
      <w:r>
        <w:rPr>
          <w:rFonts w:hint="cs"/>
          <w:sz w:val="24"/>
          <w:rtl/>
        </w:rPr>
        <w:t>.20,</w:t>
      </w:r>
      <w:r w:rsidR="00093EF6">
        <w:rPr>
          <w:rFonts w:hint="cs"/>
          <w:sz w:val="24"/>
          <w:rtl/>
        </w:rPr>
        <w:t xml:space="preserve"> </w:t>
      </w:r>
      <w:r>
        <w:rPr>
          <w:rFonts w:hint="cs"/>
          <w:sz w:val="24"/>
          <w:rtl/>
        </w:rPr>
        <w:t xml:space="preserve">ובמסגרתה בוצעה הנפקה דולרית לשלושה טווחים: (א) סדרה לטווח של 10 שנים בהיקף של 2 מיליארד דולר, בתשואה של 2.75%; (ב) סדרה לטווח של 30 שנים בהיקף של 2 מיליארד דולר, בתשואה של 3.875%; (ג) סדרה לטווח של 100 שנים בהיקף של 1 מיליארד דולר בתשואה של 4.5%. כלפי ההנפקה נשמעו </w:t>
      </w:r>
      <w:r>
        <w:rPr>
          <w:rFonts w:hint="cs"/>
          <w:sz w:val="24"/>
          <w:rtl/>
        </w:rPr>
        <w:t xml:space="preserve">טענות, שעיקרן בעלותה הגבוהה, בגלגול החוב על פני דורות, ובהמשך, על כך שחלקים מהחוב נמכרו לגופים המוסדיים בישראל. עם זאת, ההנפקה בוצעה </w:t>
      </w:r>
      <w:r>
        <w:rPr>
          <w:rFonts w:hint="cs"/>
          <w:rtl/>
        </w:rPr>
        <w:t xml:space="preserve">על רקע אי-ודאות גדולה, אגב ניצול דירוג האשראי של המדינה, הצורך המיידי בגישור על פערי מימון תזרימיים והגידול בגירעון למימון בעקבות הרחבת הסיוע שניתן למשק. ההנפקה </w:t>
      </w:r>
      <w:r>
        <w:rPr>
          <w:rFonts w:hint="cs"/>
          <w:sz w:val="24"/>
          <w:rtl/>
        </w:rPr>
        <w:t>התאפיינה גם בביקוש הגבוה ביותר שנרשם בהנפקות מדינת ישראל</w:t>
      </w:r>
      <w:r>
        <w:rPr>
          <w:rFonts w:hint="cs"/>
          <w:rtl/>
        </w:rPr>
        <w:t xml:space="preserve">. השלמתה העידה כלפי חוץ על חוסנה של המדינה ועל יכולתה לגייס כספים בתקופה קשה זו, </w:t>
      </w:r>
      <w:r w:rsidRPr="005649AA">
        <w:rPr>
          <w:rFonts w:hint="cs"/>
          <w:rtl/>
        </w:rPr>
        <w:t xml:space="preserve">בדגש על הלוואות לטווח ארוך במיוחד. מצוקת הנזילות </w:t>
      </w:r>
      <w:r>
        <w:rPr>
          <w:rFonts w:hint="cs"/>
          <w:rtl/>
        </w:rPr>
        <w:t>של</w:t>
      </w:r>
      <w:r w:rsidRPr="005649AA">
        <w:rPr>
          <w:rFonts w:hint="cs"/>
          <w:rtl/>
        </w:rPr>
        <w:t xml:space="preserve"> הגופים המוסדיים והניסיון לשמור על יציבות בשוק המקומי תמכו בפניית היחידה לשוק החיצוני כדי לגייס הלוואות בהיקפים גדולים ובמהירות</w:t>
      </w:r>
      <w:r w:rsidR="00093EF6">
        <w:rPr>
          <w:rFonts w:hint="cs"/>
          <w:rtl/>
        </w:rPr>
        <w:t xml:space="preserve"> בעת זו</w:t>
      </w:r>
      <w:r w:rsidRPr="005649AA">
        <w:rPr>
          <w:rFonts w:hint="cs"/>
          <w:rtl/>
        </w:rPr>
        <w:t>.</w:t>
      </w:r>
    </w:p>
    <w:p w:rsidR="00253C38" w:rsidRPr="005649AA" w:rsidP="00982BC1" w14:paraId="72C728C5" w14:textId="0FD8C7B3">
      <w:pPr>
        <w:pStyle w:val="a"/>
        <w:spacing w:line="269" w:lineRule="auto"/>
        <w:rPr>
          <w:szCs w:val="24"/>
          <w:rtl/>
        </w:rPr>
      </w:pPr>
      <w:r w:rsidRPr="005649AA">
        <w:rPr>
          <w:rtl/>
        </w:rPr>
        <w:fldChar w:fldCharType="begin"/>
      </w:r>
      <w:r w:rsidRPr="005649AA">
        <w:rPr>
          <w:rtl/>
        </w:rPr>
        <w:instrText xml:space="preserve"> </w:instrText>
      </w:r>
      <w:r w:rsidRPr="005649AA">
        <w:instrText>AUTONUMLGL \e  \* MERGEFORMAT</w:instrText>
      </w:r>
      <w:r w:rsidRPr="005649AA">
        <w:rPr>
          <w:rtl/>
        </w:rPr>
        <w:instrText xml:space="preserve"> </w:instrText>
      </w:r>
      <w:r w:rsidRPr="005649AA">
        <w:rPr>
          <w:rtl/>
        </w:rPr>
        <w:fldChar w:fldCharType="end"/>
      </w:r>
    </w:p>
    <w:p w:rsidR="00253C38" w:rsidRPr="005649AA" w:rsidP="00982BC1" w14:paraId="5D73FB56" w14:textId="77777777">
      <w:pPr>
        <w:pStyle w:val="CommentText"/>
        <w:spacing w:line="269" w:lineRule="auto"/>
        <w:rPr>
          <w:b/>
          <w:bCs/>
        </w:rPr>
      </w:pPr>
      <w:r w:rsidRPr="005649AA">
        <w:rPr>
          <w:rFonts w:hint="eastAsia"/>
          <w:b/>
          <w:bCs/>
          <w:szCs w:val="24"/>
          <w:rtl/>
        </w:rPr>
        <w:t>משרד</w:t>
      </w:r>
      <w:r w:rsidRPr="005649AA">
        <w:rPr>
          <w:b/>
          <w:bCs/>
          <w:szCs w:val="24"/>
          <w:rtl/>
        </w:rPr>
        <w:t xml:space="preserve"> מבקר המדינה מציין כי </w:t>
      </w:r>
      <w:r w:rsidRPr="005649AA">
        <w:rPr>
          <w:rFonts w:hint="eastAsia"/>
          <w:b/>
          <w:bCs/>
          <w:szCs w:val="24"/>
          <w:rtl/>
        </w:rPr>
        <w:t>הריבית</w:t>
      </w:r>
      <w:r w:rsidRPr="005649AA">
        <w:rPr>
          <w:b/>
          <w:bCs/>
          <w:szCs w:val="24"/>
          <w:rtl/>
        </w:rPr>
        <w:t xml:space="preserve"> </w:t>
      </w:r>
      <w:r w:rsidRPr="005649AA">
        <w:rPr>
          <w:rFonts w:hint="eastAsia"/>
          <w:b/>
          <w:bCs/>
          <w:szCs w:val="24"/>
          <w:rtl/>
        </w:rPr>
        <w:t>הגלומה</w:t>
      </w:r>
      <w:r w:rsidRPr="005649AA">
        <w:rPr>
          <w:b/>
          <w:bCs/>
          <w:szCs w:val="24"/>
          <w:rtl/>
        </w:rPr>
        <w:t xml:space="preserve"> </w:t>
      </w:r>
      <w:r w:rsidRPr="005649AA">
        <w:rPr>
          <w:rFonts w:hint="eastAsia"/>
          <w:b/>
          <w:bCs/>
          <w:szCs w:val="24"/>
          <w:rtl/>
        </w:rPr>
        <w:t>בגיוסי</w:t>
      </w:r>
      <w:r w:rsidRPr="005649AA">
        <w:rPr>
          <w:b/>
          <w:bCs/>
          <w:szCs w:val="24"/>
          <w:rtl/>
        </w:rPr>
        <w:t xml:space="preserve"> החוב </w:t>
      </w:r>
      <w:r w:rsidRPr="005649AA">
        <w:rPr>
          <w:rFonts w:hint="eastAsia"/>
          <w:b/>
          <w:bCs/>
          <w:szCs w:val="24"/>
          <w:rtl/>
        </w:rPr>
        <w:t>החיצוני</w:t>
      </w:r>
      <w:r w:rsidRPr="005649AA">
        <w:rPr>
          <w:b/>
          <w:bCs/>
          <w:szCs w:val="24"/>
          <w:rtl/>
        </w:rPr>
        <w:t xml:space="preserve"> </w:t>
      </w:r>
      <w:r w:rsidRPr="005649AA">
        <w:rPr>
          <w:rFonts w:hint="eastAsia"/>
          <w:b/>
          <w:bCs/>
          <w:szCs w:val="24"/>
          <w:rtl/>
        </w:rPr>
        <w:t>בתחילת</w:t>
      </w:r>
      <w:r w:rsidRPr="005649AA">
        <w:rPr>
          <w:b/>
          <w:bCs/>
          <w:szCs w:val="24"/>
          <w:rtl/>
        </w:rPr>
        <w:t xml:space="preserve"> המשבר </w:t>
      </w:r>
      <w:r w:rsidRPr="005649AA">
        <w:rPr>
          <w:rFonts w:hint="eastAsia"/>
          <w:b/>
          <w:bCs/>
          <w:szCs w:val="24"/>
          <w:rtl/>
        </w:rPr>
        <w:t>הייתה</w:t>
      </w:r>
      <w:r w:rsidRPr="005649AA">
        <w:rPr>
          <w:b/>
          <w:bCs/>
          <w:szCs w:val="24"/>
          <w:rtl/>
        </w:rPr>
        <w:t xml:space="preserve"> </w:t>
      </w:r>
      <w:r w:rsidRPr="005649AA">
        <w:rPr>
          <w:rFonts w:hint="eastAsia"/>
          <w:b/>
          <w:bCs/>
          <w:szCs w:val="24"/>
          <w:rtl/>
        </w:rPr>
        <w:t>גבוהה</w:t>
      </w:r>
      <w:r w:rsidRPr="005649AA">
        <w:rPr>
          <w:b/>
          <w:bCs/>
          <w:szCs w:val="24"/>
          <w:rtl/>
        </w:rPr>
        <w:t xml:space="preserve"> ב</w:t>
      </w:r>
      <w:r>
        <w:rPr>
          <w:rFonts w:hint="cs"/>
          <w:b/>
          <w:bCs/>
          <w:szCs w:val="24"/>
          <w:rtl/>
        </w:rPr>
        <w:t>השוואה</w:t>
      </w:r>
      <w:r w:rsidRPr="005649AA">
        <w:rPr>
          <w:b/>
          <w:bCs/>
          <w:szCs w:val="24"/>
          <w:rtl/>
        </w:rPr>
        <w:t xml:space="preserve"> </w:t>
      </w:r>
      <w:r w:rsidRPr="005649AA">
        <w:rPr>
          <w:rFonts w:hint="eastAsia"/>
          <w:b/>
          <w:bCs/>
          <w:szCs w:val="24"/>
          <w:rtl/>
        </w:rPr>
        <w:t>לשגרה</w:t>
      </w:r>
      <w:r w:rsidRPr="005649AA">
        <w:rPr>
          <w:b/>
          <w:bCs/>
          <w:szCs w:val="24"/>
          <w:rtl/>
        </w:rPr>
        <w:t xml:space="preserve">, </w:t>
      </w:r>
      <w:r w:rsidRPr="005649AA">
        <w:rPr>
          <w:rFonts w:hint="eastAsia"/>
          <w:b/>
          <w:bCs/>
          <w:szCs w:val="24"/>
          <w:rtl/>
        </w:rPr>
        <w:t>אך</w:t>
      </w:r>
      <w:r w:rsidRPr="005649AA">
        <w:rPr>
          <w:b/>
          <w:bCs/>
          <w:szCs w:val="24"/>
          <w:rtl/>
        </w:rPr>
        <w:t xml:space="preserve"> </w:t>
      </w:r>
      <w:r w:rsidRPr="005649AA">
        <w:rPr>
          <w:rFonts w:hint="eastAsia"/>
          <w:b/>
          <w:bCs/>
          <w:szCs w:val="24"/>
          <w:rtl/>
        </w:rPr>
        <w:t>גיוסי</w:t>
      </w:r>
      <w:r w:rsidRPr="005649AA">
        <w:rPr>
          <w:b/>
          <w:bCs/>
          <w:szCs w:val="24"/>
          <w:rtl/>
        </w:rPr>
        <w:t xml:space="preserve"> </w:t>
      </w:r>
      <w:r w:rsidRPr="005649AA">
        <w:rPr>
          <w:rFonts w:hint="eastAsia"/>
          <w:b/>
          <w:bCs/>
          <w:szCs w:val="24"/>
          <w:rtl/>
        </w:rPr>
        <w:t>החוב</w:t>
      </w:r>
      <w:r w:rsidRPr="005649AA">
        <w:rPr>
          <w:b/>
          <w:bCs/>
          <w:szCs w:val="24"/>
          <w:rtl/>
        </w:rPr>
        <w:t xml:space="preserve"> </w:t>
      </w:r>
      <w:r w:rsidRPr="005649AA">
        <w:rPr>
          <w:rFonts w:hint="eastAsia"/>
          <w:b/>
          <w:bCs/>
          <w:szCs w:val="24"/>
          <w:rtl/>
        </w:rPr>
        <w:t>שבוצעו</w:t>
      </w:r>
      <w:r w:rsidRPr="005649AA">
        <w:rPr>
          <w:b/>
          <w:bCs/>
          <w:szCs w:val="24"/>
          <w:rtl/>
        </w:rPr>
        <w:t xml:space="preserve"> </w:t>
      </w:r>
      <w:r w:rsidRPr="005649AA">
        <w:rPr>
          <w:rFonts w:hint="eastAsia"/>
          <w:b/>
          <w:bCs/>
          <w:szCs w:val="24"/>
          <w:rtl/>
        </w:rPr>
        <w:t>בשלב</w:t>
      </w:r>
      <w:r w:rsidRPr="005649AA">
        <w:rPr>
          <w:b/>
          <w:bCs/>
          <w:szCs w:val="24"/>
          <w:rtl/>
        </w:rPr>
        <w:t xml:space="preserve"> מאוחר יותר </w:t>
      </w:r>
      <w:r w:rsidRPr="005649AA">
        <w:rPr>
          <w:rFonts w:hint="eastAsia"/>
          <w:b/>
          <w:bCs/>
          <w:szCs w:val="24"/>
          <w:rtl/>
        </w:rPr>
        <w:t>היו</w:t>
      </w:r>
      <w:r w:rsidRPr="005649AA">
        <w:rPr>
          <w:b/>
          <w:bCs/>
          <w:szCs w:val="24"/>
          <w:rtl/>
        </w:rPr>
        <w:t xml:space="preserve"> במחירים נמוכים </w:t>
      </w:r>
      <w:r w:rsidRPr="005649AA">
        <w:rPr>
          <w:rFonts w:hint="eastAsia"/>
          <w:b/>
          <w:bCs/>
          <w:szCs w:val="24"/>
          <w:rtl/>
        </w:rPr>
        <w:t>גם</w:t>
      </w:r>
      <w:r w:rsidRPr="005649AA">
        <w:rPr>
          <w:b/>
          <w:bCs/>
          <w:szCs w:val="24"/>
          <w:rtl/>
        </w:rPr>
        <w:t xml:space="preserve"> </w:t>
      </w:r>
      <w:r w:rsidRPr="005649AA">
        <w:rPr>
          <w:rFonts w:hint="eastAsia"/>
          <w:b/>
          <w:bCs/>
          <w:szCs w:val="24"/>
          <w:rtl/>
        </w:rPr>
        <w:t>בהשוואה</w:t>
      </w:r>
      <w:r w:rsidRPr="005649AA">
        <w:rPr>
          <w:b/>
          <w:bCs/>
          <w:szCs w:val="24"/>
          <w:rtl/>
        </w:rPr>
        <w:t xml:space="preserve"> </w:t>
      </w:r>
      <w:r w:rsidRPr="005649AA">
        <w:rPr>
          <w:rFonts w:hint="eastAsia"/>
          <w:b/>
          <w:bCs/>
          <w:szCs w:val="24"/>
          <w:rtl/>
        </w:rPr>
        <w:t>לחודשים</w:t>
      </w:r>
      <w:r w:rsidRPr="005649AA">
        <w:rPr>
          <w:b/>
          <w:bCs/>
          <w:szCs w:val="24"/>
          <w:rtl/>
        </w:rPr>
        <w:t xml:space="preserve"> </w:t>
      </w:r>
      <w:r w:rsidRPr="005649AA">
        <w:rPr>
          <w:rFonts w:hint="eastAsia"/>
          <w:b/>
          <w:bCs/>
          <w:szCs w:val="24"/>
          <w:rtl/>
        </w:rPr>
        <w:t>שקדמו</w:t>
      </w:r>
      <w:r w:rsidRPr="005649AA">
        <w:rPr>
          <w:b/>
          <w:bCs/>
          <w:szCs w:val="24"/>
          <w:rtl/>
        </w:rPr>
        <w:t xml:space="preserve"> </w:t>
      </w:r>
      <w:r w:rsidRPr="005649AA">
        <w:rPr>
          <w:rFonts w:hint="eastAsia"/>
          <w:b/>
          <w:bCs/>
          <w:szCs w:val="24"/>
          <w:rtl/>
        </w:rPr>
        <w:t>לפרוץ</w:t>
      </w:r>
      <w:r w:rsidRPr="005649AA">
        <w:rPr>
          <w:b/>
          <w:bCs/>
          <w:szCs w:val="24"/>
          <w:rtl/>
        </w:rPr>
        <w:t xml:space="preserve"> </w:t>
      </w:r>
      <w:r w:rsidRPr="005649AA">
        <w:rPr>
          <w:rFonts w:hint="eastAsia"/>
          <w:b/>
          <w:bCs/>
          <w:szCs w:val="24"/>
          <w:rtl/>
        </w:rPr>
        <w:t>המשבר</w:t>
      </w:r>
      <w:r w:rsidRPr="005649AA">
        <w:rPr>
          <w:b/>
          <w:bCs/>
          <w:szCs w:val="24"/>
          <w:rtl/>
        </w:rPr>
        <w:t>.</w:t>
      </w:r>
    </w:p>
    <w:p w:rsidR="00253C38" w:rsidRPr="00786470" w:rsidP="00982BC1" w14:paraId="457DF021" w14:textId="6D4E5F24">
      <w:pPr>
        <w:pStyle w:val="a"/>
        <w:spacing w:line="269" w:lineRule="auto"/>
        <w:rPr>
          <w:rtl/>
        </w:rPr>
      </w:pPr>
      <w:r w:rsidRPr="00786470">
        <w:rPr>
          <w:rtl/>
        </w:rPr>
        <w:fldChar w:fldCharType="begin"/>
      </w:r>
      <w:r w:rsidRPr="00786470">
        <w:rPr>
          <w:rtl/>
        </w:rPr>
        <w:instrText xml:space="preserve"> </w:instrText>
      </w:r>
      <w:r w:rsidRPr="00786470">
        <w:instrText>AUTONUMLGL \e  \* MERGEFORMAT</w:instrText>
      </w:r>
      <w:r w:rsidRPr="00786470">
        <w:rPr>
          <w:rtl/>
        </w:rPr>
        <w:instrText xml:space="preserve"> </w:instrText>
      </w:r>
      <w:r w:rsidRPr="00786470">
        <w:rPr>
          <w:rtl/>
        </w:rPr>
        <w:fldChar w:fldCharType="end"/>
      </w:r>
    </w:p>
    <w:p w:rsidR="00253C38" w:rsidRPr="002A0F8A" w:rsidP="00982BC1" w14:paraId="0B71EC52" w14:textId="77777777">
      <w:pPr>
        <w:spacing w:line="269" w:lineRule="auto"/>
        <w:rPr>
          <w:rtl/>
        </w:rPr>
      </w:pPr>
      <w:r w:rsidRPr="005649AA">
        <w:rPr>
          <w:rFonts w:hint="cs"/>
          <w:rtl/>
        </w:rPr>
        <w:t>הביקורת העלתה כי מימוש ההנפקות באפיק החיצוני בתקופה זו התאפשר הודות ל</w:t>
      </w:r>
      <w:r>
        <w:rPr>
          <w:rFonts w:hint="cs"/>
          <w:rtl/>
        </w:rPr>
        <w:t>מגוון תוכניות</w:t>
      </w:r>
      <w:r w:rsidRPr="005649AA">
        <w:rPr>
          <w:rFonts w:hint="cs"/>
          <w:rtl/>
        </w:rPr>
        <w:t xml:space="preserve"> הקיימות ביחידת החוב לביצוע הנפקות עתידיות</w:t>
      </w:r>
      <w:r>
        <w:rPr>
          <w:rFonts w:hint="cs"/>
          <w:rtl/>
        </w:rPr>
        <w:t xml:space="preserve"> בשווקים, לרבות בשוק האירו ובשוק האסייתי, וכי אלה טרם מוצו. עוד נמצא כי </w:t>
      </w:r>
      <w:r>
        <w:rPr>
          <w:rFonts w:hint="cs"/>
          <w:sz w:val="24"/>
          <w:rtl/>
        </w:rPr>
        <w:t xml:space="preserve">היחידה המתינה לרגיעה בשווקים ולהיווצרות התנאים הנוחים לביצוע ההנפקות, על רקע התנודות החדות שאירעו במהלך מרץ 2020. בתוך כך פעלה היחידה </w:t>
      </w:r>
      <w:r>
        <w:rPr>
          <w:rFonts w:hint="cs"/>
          <w:rtl/>
        </w:rPr>
        <w:t>במהלך המשבר לניטור מדדי הסיכון ולשמירה על רמתם היציבה, תוך כדי תכנון עתידי של מיחזורי החוב, בין היתר, כדי לשמור על דירוג האשראי.</w:t>
      </w:r>
    </w:p>
    <w:p w:rsidR="00253C38" w:rsidP="00982BC1" w14:paraId="2C83C076" w14:textId="361BF7E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972B01" w:rsidP="00982BC1" w14:paraId="557B2AF5" w14:textId="77777777">
      <w:pPr>
        <w:spacing w:line="269" w:lineRule="auto"/>
        <w:rPr>
          <w:sz w:val="24"/>
          <w:rtl/>
        </w:rPr>
      </w:pPr>
      <w:r>
        <w:rPr>
          <w:rFonts w:hint="cs"/>
          <w:rtl/>
        </w:rPr>
        <w:t>דירוג האשראי של המדינה מתבצע בידי חברות בין-לאומיות ונגזר מההסתברות להחזר חובותיה במועד, ובכך משפיע על מחיר גיוס הלוואותיה. נוסף על דירוג האשראי מספקות חברות הדירוג גם תחזית לשינוי הדירוג המשקפת את ההסתברות להתפתחויות העתידיות של דירוג האשראי. הפרמטרים העיקריים המשפיעים על הדירוג הם מאפייני החוב והמשק, הסביבה הגיאו-פוליטית והיציבות הממשלתית.</w:t>
      </w:r>
      <w:r>
        <w:rPr>
          <w:rFonts w:hint="cs"/>
          <w:sz w:val="24"/>
          <w:rtl/>
        </w:rPr>
        <w:t xml:space="preserve"> במהלך המשבר נשמר דירוג אג"ח בחו"ל של ממשלת ישראל בידי חברות הדירוג, למרות השלכות המשבר והתבטאותן בהורדת הדירוג למדינות שונות, ובהן בריטניה</w:t>
      </w:r>
      <w:r>
        <w:rPr>
          <w:rStyle w:val="FootnoteReference"/>
          <w:sz w:val="24"/>
          <w:rtl/>
        </w:rPr>
        <w:footnoteReference w:id="116"/>
      </w:r>
      <w:r>
        <w:rPr>
          <w:rFonts w:hint="cs"/>
          <w:sz w:val="24"/>
          <w:rtl/>
        </w:rPr>
        <w:t xml:space="preserve">. תרשים </w:t>
      </w:r>
      <w:r w:rsidR="003953B6">
        <w:rPr>
          <w:rFonts w:hint="cs"/>
          <w:sz w:val="24"/>
          <w:rtl/>
        </w:rPr>
        <w:t>47</w:t>
      </w:r>
      <w:r>
        <w:rPr>
          <w:rFonts w:hint="cs"/>
          <w:sz w:val="24"/>
          <w:rtl/>
        </w:rPr>
        <w:t xml:space="preserve"> להלן מציג את דירוג האשראי ואת התחזית בגינו עבור אג"ח בחו"ל של ממשלת ישראל על ידי חברות הדירוג.</w:t>
      </w:r>
    </w:p>
    <w:p w:rsidR="00697BBA" w:rsidRPr="001413F4" w:rsidP="00982BC1" w14:paraId="712BECC4" w14:textId="47798764">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86470" w:rsidP="00982BC1" w14:paraId="3D270D65" w14:textId="1BBD7A4C">
      <w:pPr>
        <w:spacing w:line="269" w:lineRule="auto"/>
        <w:jc w:val="center"/>
        <w:rPr>
          <w:b/>
          <w:bCs/>
          <w:rtl/>
        </w:rPr>
      </w:pPr>
      <w:r w:rsidRPr="00786470">
        <w:rPr>
          <w:rFonts w:hint="eastAsia"/>
          <w:b/>
          <w:bCs/>
          <w:rtl/>
        </w:rPr>
        <w:t>תרשים</w:t>
      </w:r>
      <w:r w:rsidRPr="00786470">
        <w:rPr>
          <w:b/>
          <w:bCs/>
          <w:rtl/>
        </w:rPr>
        <w:t xml:space="preserve"> </w:t>
      </w:r>
      <w:r w:rsidR="003953B6">
        <w:rPr>
          <w:rFonts w:hint="cs"/>
          <w:b/>
          <w:bCs/>
          <w:rtl/>
        </w:rPr>
        <w:t>47</w:t>
      </w:r>
      <w:r w:rsidRPr="00786470">
        <w:rPr>
          <w:b/>
          <w:bCs/>
          <w:rtl/>
        </w:rPr>
        <w:t xml:space="preserve">: תחזית ודירוג האשראי עבור </w:t>
      </w:r>
      <w:r w:rsidR="003953B6">
        <w:rPr>
          <w:rFonts w:hint="cs"/>
          <w:b/>
          <w:bCs/>
          <w:rtl/>
        </w:rPr>
        <w:t>אג"ח</w:t>
      </w:r>
      <w:r w:rsidRPr="00786470">
        <w:rPr>
          <w:b/>
          <w:bCs/>
          <w:rtl/>
        </w:rPr>
        <w:t xml:space="preserve"> </w:t>
      </w:r>
      <w:r w:rsidRPr="00786470">
        <w:rPr>
          <w:rFonts w:hint="eastAsia"/>
          <w:b/>
          <w:bCs/>
          <w:rtl/>
        </w:rPr>
        <w:t>בחו</w:t>
      </w:r>
      <w:r w:rsidRPr="00786470">
        <w:rPr>
          <w:b/>
          <w:bCs/>
          <w:rtl/>
        </w:rPr>
        <w:t xml:space="preserve">"ל של ממשלת ישראל בידי חברות הדירוג </w:t>
      </w:r>
      <w:r w:rsidRPr="00681447">
        <w:rPr>
          <w:rFonts w:hint="cs"/>
          <w:b/>
          <w:bCs/>
          <w:rtl/>
        </w:rPr>
        <w:t>הבי</w:t>
      </w:r>
      <w:r>
        <w:rPr>
          <w:rFonts w:hint="cs"/>
          <w:b/>
          <w:bCs/>
          <w:rtl/>
        </w:rPr>
        <w:t>ן-</w:t>
      </w:r>
      <w:r w:rsidRPr="00681447">
        <w:rPr>
          <w:rFonts w:hint="cs"/>
          <w:b/>
          <w:bCs/>
          <w:rtl/>
        </w:rPr>
        <w:t>לאומיות</w:t>
      </w:r>
    </w:p>
    <w:p w:rsidR="00253C38" w:rsidRPr="002A63D7" w:rsidP="00982BC1" w14:paraId="1E39AEA4" w14:textId="77777777">
      <w:pPr>
        <w:spacing w:line="269" w:lineRule="auto"/>
        <w:jc w:val="center"/>
        <w:rPr>
          <w:rtl/>
        </w:rPr>
      </w:pPr>
      <w:r>
        <w:rPr>
          <w:noProof/>
        </w:rPr>
        <w:drawing>
          <wp:inline distT="0" distB="0" distL="0" distR="0">
            <wp:extent cx="5311140" cy="1388745"/>
            <wp:effectExtent l="0" t="0" r="3810" b="1905"/>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23177" name=""/>
                    <pic:cNvPicPr/>
                  </pic:nvPicPr>
                  <pic:blipFill>
                    <a:blip xmlns:r="http://schemas.openxmlformats.org/officeDocument/2006/relationships" r:embed="rId59"/>
                    <a:stretch>
                      <a:fillRect/>
                    </a:stretch>
                  </pic:blipFill>
                  <pic:spPr>
                    <a:xfrm>
                      <a:off x="0" y="0"/>
                      <a:ext cx="5311140" cy="1388745"/>
                    </a:xfrm>
                    <a:prstGeom prst="rect">
                      <a:avLst/>
                    </a:prstGeom>
                  </pic:spPr>
                </pic:pic>
              </a:graphicData>
            </a:graphic>
          </wp:inline>
        </w:drawing>
      </w:r>
    </w:p>
    <w:p w:rsidR="00253C38" w:rsidRPr="00E065A2" w:rsidP="00982BC1" w14:paraId="25ED7FFA" w14:textId="77777777">
      <w:pPr>
        <w:spacing w:line="269" w:lineRule="auto"/>
        <w:rPr>
          <w:sz w:val="22"/>
          <w:szCs w:val="22"/>
          <w:rtl/>
        </w:rPr>
      </w:pPr>
      <w:r w:rsidRPr="00E065A2">
        <w:rPr>
          <w:rFonts w:hint="cs"/>
          <w:sz w:val="22"/>
          <w:szCs w:val="22"/>
          <w:rtl/>
        </w:rPr>
        <w:t>נתוני חברות הדיווח, בעיבוד משרד מבקר המדינה.</w:t>
      </w:r>
    </w:p>
    <w:p w:rsidR="00253C38" w:rsidRPr="00E065A2" w:rsidP="00982BC1" w14:paraId="23536EB7" w14:textId="77777777">
      <w:pPr>
        <w:spacing w:line="269" w:lineRule="auto"/>
        <w:rPr>
          <w:sz w:val="22"/>
          <w:szCs w:val="22"/>
          <w:rtl/>
        </w:rPr>
      </w:pPr>
      <w:r w:rsidRPr="00E065A2">
        <w:rPr>
          <w:rFonts w:hint="cs"/>
          <w:sz w:val="22"/>
          <w:szCs w:val="22"/>
          <w:rtl/>
        </w:rPr>
        <w:t xml:space="preserve">* בחודש אפריל הורידה חברת </w:t>
      </w:r>
      <w:r w:rsidRPr="00E065A2">
        <w:rPr>
          <w:rFonts w:hint="cs"/>
          <w:sz w:val="18"/>
          <w:szCs w:val="18"/>
        </w:rPr>
        <w:t>M</w:t>
      </w:r>
      <w:r w:rsidRPr="00E065A2">
        <w:rPr>
          <w:sz w:val="18"/>
          <w:szCs w:val="18"/>
        </w:rPr>
        <w:t>oody's</w:t>
      </w:r>
      <w:r w:rsidRPr="00E065A2">
        <w:rPr>
          <w:rFonts w:hint="cs"/>
          <w:sz w:val="22"/>
          <w:szCs w:val="22"/>
          <w:rtl/>
        </w:rPr>
        <w:t xml:space="preserve"> את תחזית הדירוג של ישראל מחיובית ליציבה.</w:t>
      </w:r>
    </w:p>
    <w:p w:rsidR="00253C38" w:rsidP="00982BC1" w14:paraId="52CB349A" w14:textId="11AEAA59">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0F7B07" w:rsidP="00982BC1" w14:paraId="58ADD4C8" w14:textId="77777777">
      <w:pPr>
        <w:spacing w:line="269" w:lineRule="auto"/>
        <w:rPr>
          <w:sz w:val="24"/>
          <w:rtl/>
        </w:rPr>
      </w:pPr>
      <w:r w:rsidRPr="003B53D6">
        <w:rPr>
          <w:rFonts w:hint="cs"/>
          <w:sz w:val="24"/>
          <w:rtl/>
        </w:rPr>
        <w:t>החשש ה</w:t>
      </w:r>
      <w:r>
        <w:rPr>
          <w:rFonts w:hint="cs"/>
          <w:sz w:val="24"/>
          <w:rtl/>
        </w:rPr>
        <w:t>עיקרי</w:t>
      </w:r>
      <w:r w:rsidRPr="003B53D6">
        <w:rPr>
          <w:rFonts w:hint="cs"/>
          <w:sz w:val="24"/>
          <w:rtl/>
        </w:rPr>
        <w:t xml:space="preserve"> בהנפ</w:t>
      </w:r>
      <w:r>
        <w:rPr>
          <w:rFonts w:hint="cs"/>
          <w:sz w:val="24"/>
          <w:rtl/>
        </w:rPr>
        <w:t xml:space="preserve">קות גדולות הוא היעדר ביקושים והיעדר </w:t>
      </w:r>
      <w:r w:rsidRPr="003B53D6">
        <w:rPr>
          <w:rFonts w:hint="cs"/>
          <w:sz w:val="24"/>
          <w:rtl/>
        </w:rPr>
        <w:t>יכולת להשלי</w:t>
      </w:r>
      <w:r>
        <w:rPr>
          <w:rFonts w:hint="cs"/>
          <w:sz w:val="24"/>
          <w:rtl/>
        </w:rPr>
        <w:t>מן שישפיעו על דירוג האשראי ועל מחיר גיוסי החוב. חשש זה נובע גם מביטול</w:t>
      </w:r>
      <w:r w:rsidRPr="003B53D6">
        <w:rPr>
          <w:rFonts w:hint="cs"/>
          <w:sz w:val="24"/>
          <w:rtl/>
        </w:rPr>
        <w:t xml:space="preserve"> </w:t>
      </w:r>
      <w:r>
        <w:rPr>
          <w:rFonts w:hint="cs"/>
          <w:sz w:val="24"/>
          <w:rtl/>
        </w:rPr>
        <w:t xml:space="preserve">הנפקות </w:t>
      </w:r>
      <w:r w:rsidRPr="003B53D6">
        <w:rPr>
          <w:rFonts w:hint="cs"/>
          <w:sz w:val="24"/>
          <w:rtl/>
        </w:rPr>
        <w:t xml:space="preserve">או </w:t>
      </w:r>
      <w:r>
        <w:rPr>
          <w:rFonts w:hint="cs"/>
          <w:sz w:val="24"/>
          <w:rtl/>
        </w:rPr>
        <w:t>מדחייתן</w:t>
      </w:r>
      <w:r w:rsidRPr="003B53D6">
        <w:rPr>
          <w:rFonts w:hint="cs"/>
          <w:sz w:val="24"/>
          <w:rtl/>
        </w:rPr>
        <w:t xml:space="preserve">, וכן </w:t>
      </w:r>
      <w:r>
        <w:rPr>
          <w:rFonts w:hint="cs"/>
          <w:sz w:val="24"/>
          <w:rtl/>
        </w:rPr>
        <w:t>ממכירת</w:t>
      </w:r>
      <w:r w:rsidRPr="003B53D6">
        <w:rPr>
          <w:rFonts w:hint="cs"/>
          <w:sz w:val="24"/>
          <w:rtl/>
        </w:rPr>
        <w:t xml:space="preserve"> אג"ח ממשלתיות בשוק הראשוני לבנק המרכזי (</w:t>
      </w:r>
      <w:r>
        <w:rPr>
          <w:rFonts w:hint="cs"/>
          <w:sz w:val="24"/>
          <w:rtl/>
        </w:rPr>
        <w:t>נוסף</w:t>
      </w:r>
      <w:r w:rsidRPr="003B53D6">
        <w:rPr>
          <w:rFonts w:hint="cs"/>
          <w:sz w:val="24"/>
          <w:rtl/>
        </w:rPr>
        <w:t xml:space="preserve"> </w:t>
      </w:r>
      <w:r>
        <w:rPr>
          <w:rFonts w:hint="cs"/>
          <w:sz w:val="24"/>
          <w:rtl/>
        </w:rPr>
        <w:t>ע</w:t>
      </w:r>
      <w:r w:rsidRPr="003B53D6">
        <w:rPr>
          <w:rFonts w:hint="cs"/>
          <w:sz w:val="24"/>
          <w:rtl/>
        </w:rPr>
        <w:t>ל</w:t>
      </w:r>
      <w:r>
        <w:rPr>
          <w:rFonts w:hint="cs"/>
          <w:sz w:val="24"/>
          <w:rtl/>
        </w:rPr>
        <w:t xml:space="preserve"> ה</w:t>
      </w:r>
      <w:r w:rsidRPr="003B53D6">
        <w:rPr>
          <w:rFonts w:hint="cs"/>
          <w:sz w:val="24"/>
          <w:rtl/>
        </w:rPr>
        <w:t>משמעות הכלכלית</w:t>
      </w:r>
      <w:r>
        <w:rPr>
          <w:rFonts w:hint="cs"/>
          <w:sz w:val="24"/>
          <w:rtl/>
        </w:rPr>
        <w:t xml:space="preserve"> הגלומה</w:t>
      </w:r>
      <w:r w:rsidRPr="003B53D6">
        <w:rPr>
          <w:rFonts w:hint="cs"/>
          <w:sz w:val="24"/>
          <w:rtl/>
        </w:rPr>
        <w:t xml:space="preserve"> </w:t>
      </w:r>
      <w:r>
        <w:rPr>
          <w:rFonts w:hint="cs"/>
          <w:sz w:val="24"/>
          <w:rtl/>
        </w:rPr>
        <w:t>ב</w:t>
      </w:r>
      <w:r w:rsidRPr="003B53D6">
        <w:rPr>
          <w:rFonts w:hint="cs"/>
          <w:sz w:val="24"/>
          <w:rtl/>
        </w:rPr>
        <w:t>הדפסת כסף לטובת מימון פעולות הממשלה)</w:t>
      </w:r>
      <w:r>
        <w:rPr>
          <w:rFonts w:hint="cs"/>
          <w:sz w:val="24"/>
          <w:rtl/>
        </w:rPr>
        <w:t>, וממחיש את החשיבות של תכנון גיוסי החוב.</w:t>
      </w:r>
    </w:p>
    <w:p w:rsidR="00F27D12" w:rsidP="00982BC1" w14:paraId="41CFC650" w14:textId="77777777">
      <w:pPr>
        <w:pStyle w:val="a"/>
        <w:spacing w:line="269" w:lineRule="auto"/>
        <w:rPr>
          <w:rtl/>
        </w:rPr>
      </w:pPr>
    </w:p>
    <w:p w:rsidR="00F27D12" w:rsidP="00982BC1" w14:paraId="681567A0" w14:textId="77777777">
      <w:pPr>
        <w:pStyle w:val="a"/>
        <w:spacing w:line="269" w:lineRule="auto"/>
        <w:rPr>
          <w:rtl/>
        </w:rPr>
      </w:pPr>
    </w:p>
    <w:p w:rsidR="00253C38" w:rsidP="00982BC1" w14:paraId="1FC8D885" w14:textId="28ABF652">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7273450" w14:textId="77777777">
      <w:pPr>
        <w:spacing w:line="269" w:lineRule="auto"/>
        <w:rPr>
          <w:rtl/>
        </w:rPr>
      </w:pPr>
      <w:r>
        <w:rPr>
          <w:rFonts w:hint="cs"/>
          <w:rtl/>
        </w:rPr>
        <w:t xml:space="preserve">שמורה חשיבות רבה לשמירה על מסגרת ההוצאה התקציבית בשגרה, ואולם בעיתות חירום נוצרות הוצאות שאינן ניתנות לתכנון מבעוד מועד. הרחבת הסיוע למשק בעקבות משבר הקורונה נעשתה באמצעות תקצוב סכומים חד-פעמיים שנקבעו בהוראות שעה בחוק יסוד: משק המדינה (להלן - קופסאות). נוכח התארכות המשבר והצורך בהרחבה פיסקלית למימוש התוכנית הכלכלית בוצעו כמה תיקוני חקיקה להגדלת הקופסאות בהיקף כולל של 84.8 מיליארד ש"ח </w:t>
      </w:r>
      <w:r w:rsidRPr="003953B6">
        <w:rPr>
          <w:rFonts w:hint="cs"/>
          <w:rtl/>
        </w:rPr>
        <w:t xml:space="preserve">נכון ליום </w:t>
      </w:r>
      <w:r w:rsidRPr="003953B6">
        <w:rPr>
          <w:rtl/>
        </w:rPr>
        <w:t>30.9.20</w:t>
      </w:r>
      <w:r w:rsidRPr="003953B6">
        <w:rPr>
          <w:rFonts w:hint="cs"/>
          <w:rtl/>
        </w:rPr>
        <w:t>. מדובר בסכומים גדולים בהשוואה לתקציב המדינה, שהוצאתם נפרסת על פני זמן</w:t>
      </w:r>
      <w:r>
        <w:rPr>
          <w:rStyle w:val="FootnoteReference"/>
          <w:rtl/>
        </w:rPr>
        <w:footnoteReference w:id="117"/>
      </w:r>
      <w:r>
        <w:rPr>
          <w:rFonts w:hint="cs"/>
          <w:rtl/>
        </w:rPr>
        <w:t>.</w:t>
      </w:r>
    </w:p>
    <w:p w:rsidR="00253C38" w:rsidP="00982BC1" w14:paraId="360EE4A3" w14:textId="1C7F812A">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466198D" w14:textId="77777777">
      <w:pPr>
        <w:spacing w:line="269" w:lineRule="auto"/>
        <w:rPr>
          <w:rtl/>
        </w:rPr>
      </w:pPr>
      <w:r>
        <w:rPr>
          <w:rFonts w:hint="cs"/>
          <w:sz w:val="24"/>
          <w:rtl/>
        </w:rPr>
        <w:t xml:space="preserve">בסקירה של </w:t>
      </w:r>
      <w:r w:rsidRPr="003953B6">
        <w:rPr>
          <w:rFonts w:hint="cs"/>
          <w:sz w:val="24"/>
          <w:rtl/>
        </w:rPr>
        <w:t>חברת מודיס (</w:t>
      </w:r>
      <w:r w:rsidRPr="003953B6">
        <w:rPr>
          <w:rFonts w:hint="cs"/>
          <w:szCs w:val="20"/>
        </w:rPr>
        <w:t>M</w:t>
      </w:r>
      <w:r w:rsidRPr="003953B6">
        <w:rPr>
          <w:szCs w:val="20"/>
        </w:rPr>
        <w:t>oody's</w:t>
      </w:r>
      <w:r w:rsidRPr="003953B6">
        <w:rPr>
          <w:rFonts w:hint="cs"/>
          <w:sz w:val="24"/>
          <w:rtl/>
        </w:rPr>
        <w:t xml:space="preserve">) מיום </w:t>
      </w:r>
      <w:r w:rsidRPr="003953B6">
        <w:rPr>
          <w:sz w:val="24"/>
          <w:rtl/>
        </w:rPr>
        <w:t>4.12.20</w:t>
      </w:r>
      <w:r w:rsidRPr="003953B6">
        <w:rPr>
          <w:rFonts w:hint="cs"/>
          <w:sz w:val="24"/>
          <w:rtl/>
        </w:rPr>
        <w:t xml:space="preserve"> צוין כי פרופיל האשראי של ישראל נתמך בעוצמתה הכלכלית ובמדיניות מקרו-כלכלית נאותה, אם כי הסביבה הפוליטית המקוטבת מכבידה על יעילות המדיניות הפיסקלית</w:t>
      </w:r>
      <w:r>
        <w:rPr>
          <w:rStyle w:val="FootnoteReference"/>
          <w:sz w:val="24"/>
          <w:rtl/>
        </w:rPr>
        <w:footnoteReference w:id="118"/>
      </w:r>
      <w:r w:rsidRPr="003953B6">
        <w:rPr>
          <w:rFonts w:hint="cs"/>
          <w:sz w:val="24"/>
          <w:rtl/>
        </w:rPr>
        <w:t>. בפרסום ההודעה של חברת סטנדרד אנד פורס (</w:t>
      </w:r>
      <w:r w:rsidRPr="003953B6">
        <w:rPr>
          <w:rFonts w:hint="cs"/>
          <w:szCs w:val="20"/>
        </w:rPr>
        <w:t>S</w:t>
      </w:r>
      <w:r w:rsidRPr="003953B6">
        <w:rPr>
          <w:szCs w:val="20"/>
        </w:rPr>
        <w:t>tandard &amp; Poor's</w:t>
      </w:r>
      <w:r w:rsidRPr="003953B6">
        <w:rPr>
          <w:rFonts w:hint="cs"/>
          <w:sz w:val="24"/>
          <w:rtl/>
        </w:rPr>
        <w:t>)</w:t>
      </w:r>
      <w:r w:rsidRPr="003953B6">
        <w:rPr>
          <w:rFonts w:hint="cs"/>
          <w:sz w:val="24"/>
        </w:rPr>
        <w:t xml:space="preserve"> </w:t>
      </w:r>
      <w:r w:rsidRPr="003953B6">
        <w:rPr>
          <w:rFonts w:hint="cs"/>
          <w:sz w:val="24"/>
          <w:rtl/>
        </w:rPr>
        <w:t xml:space="preserve">על אשרור הדירוג מיום </w:t>
      </w:r>
      <w:r w:rsidRPr="003953B6">
        <w:rPr>
          <w:sz w:val="24"/>
          <w:rtl/>
        </w:rPr>
        <w:t>13.11.20</w:t>
      </w:r>
      <w:r w:rsidRPr="003953B6">
        <w:rPr>
          <w:rFonts w:hint="cs"/>
          <w:sz w:val="24"/>
          <w:rtl/>
        </w:rPr>
        <w:t xml:space="preserve"> הודגשה</w:t>
      </w:r>
      <w:r>
        <w:rPr>
          <w:rFonts w:hint="cs"/>
          <w:sz w:val="24"/>
          <w:rtl/>
        </w:rPr>
        <w:t xml:space="preserve"> איתנות המדדים הכלכליים של ישראל, אך צוין כי עיקר </w:t>
      </w:r>
      <w:r>
        <w:rPr>
          <w:rFonts w:hint="cs"/>
          <w:rtl/>
        </w:rPr>
        <w:t>הסיכונים הנשקפים לדירוג מקורם בסיכונים גיאו-פוליטיים ובהיעדר תוכנית פיסקלית אחידה לאורך טווח</w:t>
      </w:r>
      <w:r>
        <w:rPr>
          <w:rStyle w:val="FootnoteReference"/>
          <w:rtl/>
        </w:rPr>
        <w:footnoteReference w:id="119"/>
      </w:r>
      <w:r>
        <w:rPr>
          <w:rFonts w:hint="cs"/>
          <w:rtl/>
        </w:rPr>
        <w:t>.</w:t>
      </w:r>
    </w:p>
    <w:p w:rsidR="00253C38" w:rsidP="00982BC1" w14:paraId="0BEF3C59" w14:textId="63BC16A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3EADB33" w14:textId="77777777">
      <w:pPr>
        <w:spacing w:line="269" w:lineRule="auto"/>
        <w:rPr>
          <w:rtl/>
        </w:rPr>
      </w:pPr>
      <w:r>
        <w:rPr>
          <w:rFonts w:hint="cs"/>
          <w:rtl/>
        </w:rPr>
        <w:t xml:space="preserve">הביקורת העלתה כי במהלך המשבר פעלה יחידת החוב להרחבת היקף גיוס ההלוואות, אגב ניצול דירוג האשראי של המדינה, בהתאם לגידול הקופסאות שיצרה הממשלה, במטרה לתמוך במימון הצרכים התזרימיים של הממשלה ובמימון הגירעון. הגיוסים הנרחבים שביצעה היחידה השתקפו בגידול ניכר בסך היתרות של החשכ"ל בחשבון הקיים בבנק ישראל במהלך המשבר, למרות הגידול בגירעון מדי חודש. תרשים </w:t>
      </w:r>
      <w:r w:rsidR="003953B6">
        <w:rPr>
          <w:rFonts w:hint="cs"/>
          <w:rtl/>
        </w:rPr>
        <w:t>48</w:t>
      </w:r>
      <w:r>
        <w:rPr>
          <w:rFonts w:hint="cs"/>
          <w:rtl/>
        </w:rPr>
        <w:t xml:space="preserve"> להלן מציג את השינוי החודשי והשינוי המצטבר ביתרות של החשכ"ל בבנק ישראל במהלך המשבר ואת הגירעון שנוצר בכל אחד מהחודשים.</w:t>
      </w:r>
    </w:p>
    <w:p w:rsidR="00253C38" w:rsidRPr="005223E5" w:rsidP="00982BC1" w14:paraId="13E82E90" w14:textId="4C82ADAC">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RPr="00786470" w:rsidP="00982BC1" w14:paraId="6BE66EFB" w14:textId="77777777">
      <w:pPr>
        <w:spacing w:line="269" w:lineRule="auto"/>
        <w:jc w:val="center"/>
        <w:rPr>
          <w:b/>
          <w:bCs/>
          <w:rtl/>
        </w:rPr>
      </w:pPr>
      <w:r w:rsidRPr="00786470">
        <w:rPr>
          <w:rFonts w:hint="eastAsia"/>
          <w:b/>
          <w:bCs/>
          <w:rtl/>
        </w:rPr>
        <w:t>תרשים</w:t>
      </w:r>
      <w:r w:rsidRPr="00786470">
        <w:rPr>
          <w:b/>
          <w:bCs/>
          <w:rtl/>
        </w:rPr>
        <w:t xml:space="preserve"> </w:t>
      </w:r>
      <w:r w:rsidR="003953B6">
        <w:rPr>
          <w:rFonts w:hint="cs"/>
          <w:b/>
          <w:bCs/>
          <w:rtl/>
        </w:rPr>
        <w:t>48</w:t>
      </w:r>
      <w:r w:rsidRPr="00786470">
        <w:rPr>
          <w:b/>
          <w:bCs/>
          <w:rtl/>
        </w:rPr>
        <w:t xml:space="preserve">: </w:t>
      </w:r>
      <w:r w:rsidRPr="00786470">
        <w:rPr>
          <w:rFonts w:hint="eastAsia"/>
          <w:b/>
          <w:bCs/>
          <w:rtl/>
        </w:rPr>
        <w:t>השינוי</w:t>
      </w:r>
      <w:r w:rsidRPr="00786470">
        <w:rPr>
          <w:b/>
          <w:bCs/>
          <w:rtl/>
        </w:rPr>
        <w:t xml:space="preserve"> </w:t>
      </w:r>
      <w:r w:rsidRPr="00786470">
        <w:rPr>
          <w:rFonts w:hint="eastAsia"/>
          <w:b/>
          <w:bCs/>
          <w:rtl/>
        </w:rPr>
        <w:t>החודשי</w:t>
      </w:r>
      <w:r w:rsidRPr="00786470">
        <w:rPr>
          <w:b/>
          <w:bCs/>
          <w:rtl/>
        </w:rPr>
        <w:t xml:space="preserve"> </w:t>
      </w:r>
      <w:r w:rsidRPr="00786470">
        <w:rPr>
          <w:rFonts w:hint="eastAsia"/>
          <w:b/>
          <w:bCs/>
          <w:rtl/>
        </w:rPr>
        <w:t>והמצטבר</w:t>
      </w:r>
      <w:r w:rsidRPr="00786470">
        <w:rPr>
          <w:b/>
          <w:bCs/>
          <w:rtl/>
        </w:rPr>
        <w:t xml:space="preserve"> </w:t>
      </w:r>
      <w:r w:rsidRPr="00786470">
        <w:rPr>
          <w:rFonts w:hint="eastAsia"/>
          <w:b/>
          <w:bCs/>
          <w:rtl/>
        </w:rPr>
        <w:t>של</w:t>
      </w:r>
      <w:r w:rsidRPr="00786470">
        <w:rPr>
          <w:b/>
          <w:bCs/>
          <w:rtl/>
        </w:rPr>
        <w:t xml:space="preserve"> </w:t>
      </w:r>
      <w:r w:rsidRPr="00786470">
        <w:rPr>
          <w:rFonts w:hint="eastAsia"/>
          <w:b/>
          <w:bCs/>
          <w:rtl/>
        </w:rPr>
        <w:t>היתרות</w:t>
      </w:r>
      <w:r w:rsidRPr="00786470">
        <w:rPr>
          <w:b/>
          <w:bCs/>
          <w:rtl/>
        </w:rPr>
        <w:t xml:space="preserve"> </w:t>
      </w:r>
      <w:r w:rsidRPr="00786470">
        <w:rPr>
          <w:rFonts w:hint="eastAsia"/>
          <w:b/>
          <w:bCs/>
          <w:rtl/>
        </w:rPr>
        <w:t>הקיימות</w:t>
      </w:r>
      <w:r w:rsidRPr="00786470">
        <w:rPr>
          <w:b/>
          <w:bCs/>
          <w:rtl/>
        </w:rPr>
        <w:t xml:space="preserve"> </w:t>
      </w:r>
      <w:r w:rsidRPr="00786470">
        <w:rPr>
          <w:rFonts w:hint="eastAsia"/>
          <w:b/>
          <w:bCs/>
          <w:rtl/>
        </w:rPr>
        <w:t>בבנקים</w:t>
      </w:r>
      <w:r w:rsidRPr="00786470">
        <w:rPr>
          <w:b/>
          <w:bCs/>
          <w:rtl/>
        </w:rPr>
        <w:t xml:space="preserve"> </w:t>
      </w:r>
      <w:r w:rsidRPr="00786470">
        <w:rPr>
          <w:rFonts w:hint="eastAsia"/>
          <w:b/>
          <w:bCs/>
          <w:rtl/>
        </w:rPr>
        <w:t>והגידול</w:t>
      </w:r>
      <w:r w:rsidRPr="00786470">
        <w:rPr>
          <w:b/>
          <w:bCs/>
          <w:rtl/>
        </w:rPr>
        <w:t xml:space="preserve"> </w:t>
      </w:r>
      <w:r w:rsidRPr="00786470">
        <w:rPr>
          <w:rFonts w:hint="eastAsia"/>
          <w:b/>
          <w:bCs/>
          <w:rtl/>
        </w:rPr>
        <w:t>בגירעון</w:t>
      </w:r>
      <w:r w:rsidRPr="00786470">
        <w:rPr>
          <w:b/>
          <w:bCs/>
          <w:rtl/>
        </w:rPr>
        <w:t xml:space="preserve"> </w:t>
      </w:r>
      <w:r w:rsidRPr="00786470">
        <w:rPr>
          <w:rFonts w:hint="eastAsia"/>
          <w:b/>
          <w:bCs/>
          <w:rtl/>
        </w:rPr>
        <w:t>למימון</w:t>
      </w:r>
      <w:r>
        <w:rPr>
          <w:rFonts w:hint="cs"/>
          <w:b/>
          <w:bCs/>
          <w:rtl/>
        </w:rPr>
        <w:t>,</w:t>
      </w:r>
      <w:r w:rsidRPr="00786470">
        <w:rPr>
          <w:b/>
          <w:bCs/>
          <w:rtl/>
        </w:rPr>
        <w:t xml:space="preserve"> 2020</w:t>
      </w:r>
      <w:r w:rsidRPr="00A80FDD">
        <w:rPr>
          <w:rFonts w:hint="cs"/>
          <w:b/>
          <w:bCs/>
          <w:rtl/>
        </w:rPr>
        <w:t xml:space="preserve"> </w:t>
      </w:r>
      <w:r>
        <w:rPr>
          <w:rFonts w:hint="cs"/>
          <w:b/>
          <w:bCs/>
          <w:rtl/>
        </w:rPr>
        <w:t>(</w:t>
      </w:r>
      <w:r w:rsidRPr="00786470">
        <w:rPr>
          <w:rFonts w:hint="eastAsia"/>
          <w:b/>
          <w:bCs/>
          <w:rtl/>
        </w:rPr>
        <w:t>במיליארדי</w:t>
      </w:r>
      <w:r w:rsidRPr="00786470">
        <w:rPr>
          <w:b/>
          <w:bCs/>
          <w:rtl/>
        </w:rPr>
        <w:t xml:space="preserve"> </w:t>
      </w:r>
      <w:r w:rsidRPr="00786470">
        <w:rPr>
          <w:rFonts w:hint="eastAsia"/>
          <w:b/>
          <w:bCs/>
          <w:rtl/>
        </w:rPr>
        <w:t>ש</w:t>
      </w:r>
      <w:r w:rsidRPr="00786470">
        <w:rPr>
          <w:b/>
          <w:bCs/>
          <w:rtl/>
        </w:rPr>
        <w:t>"ח</w:t>
      </w:r>
      <w:r>
        <w:rPr>
          <w:rFonts w:hint="cs"/>
          <w:b/>
          <w:bCs/>
          <w:rtl/>
        </w:rPr>
        <w:t>)</w:t>
      </w:r>
    </w:p>
    <w:p w:rsidR="00253C38" w:rsidP="00982BC1" w14:paraId="023C8C0C" w14:textId="77777777">
      <w:pPr>
        <w:spacing w:line="269" w:lineRule="auto"/>
        <w:ind w:left="-425"/>
        <w:jc w:val="center"/>
        <w:rPr>
          <w:rtl/>
        </w:rPr>
      </w:pPr>
      <w:r>
        <w:rPr>
          <w:noProof/>
        </w:rPr>
        <w:drawing>
          <wp:inline distT="0" distB="0" distL="0" distR="0">
            <wp:extent cx="5285402" cy="2758343"/>
            <wp:effectExtent l="0" t="0" r="0" b="4445"/>
            <wp:docPr id="1743882406"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59714" name=""/>
                    <pic:cNvPicPr/>
                  </pic:nvPicPr>
                  <pic:blipFill>
                    <a:blip xmlns:r="http://schemas.openxmlformats.org/officeDocument/2006/relationships" r:embed="rId60"/>
                    <a:stretch>
                      <a:fillRect/>
                    </a:stretch>
                  </pic:blipFill>
                  <pic:spPr>
                    <a:xfrm>
                      <a:off x="0" y="0"/>
                      <a:ext cx="5320446" cy="2776632"/>
                    </a:xfrm>
                    <a:prstGeom prst="rect">
                      <a:avLst/>
                    </a:prstGeom>
                  </pic:spPr>
                </pic:pic>
              </a:graphicData>
            </a:graphic>
          </wp:inline>
        </w:drawing>
      </w:r>
    </w:p>
    <w:p w:rsidR="00253C38" w:rsidRPr="00E065A2" w:rsidP="00982BC1" w14:paraId="67D55B62" w14:textId="77777777">
      <w:pPr>
        <w:spacing w:line="269" w:lineRule="auto"/>
        <w:rPr>
          <w:sz w:val="18"/>
          <w:szCs w:val="22"/>
          <w:rtl/>
        </w:rPr>
      </w:pPr>
      <w:r w:rsidRPr="00E065A2">
        <w:rPr>
          <w:rFonts w:hint="cs"/>
          <w:sz w:val="18"/>
          <w:szCs w:val="22"/>
          <w:rtl/>
        </w:rPr>
        <w:t>נתוני החשכ"ל, בעיבוד משרד מבקר המדינה.</w:t>
      </w:r>
    </w:p>
    <w:p w:rsidR="00253C38" w:rsidP="00982BC1" w14:paraId="7F1FB330" w14:textId="365E1E7B">
      <w:pPr>
        <w:pStyle w:val="a"/>
        <w:spacing w:line="269" w:lineRule="auto"/>
        <w:rPr>
          <w:rtl/>
        </w:rPr>
      </w:pPr>
      <w:r>
        <w:rPr>
          <w:rtl/>
        </w:rPr>
        <w:fldChar w:fldCharType="begin"/>
      </w:r>
      <w:r>
        <w:rPr>
          <w:rtl/>
        </w:rPr>
        <w:instrText xml:space="preserve"> </w:instrText>
      </w:r>
      <w:r>
        <w:instrText>AUTONUMLGL \e  \* MERGEFORMAT</w:instrText>
      </w:r>
      <w:r>
        <w:rPr>
          <w:rtl/>
        </w:rPr>
        <w:instrText xml:space="preserve"> </w:instrText>
      </w:r>
      <w:r>
        <w:rPr>
          <w:rtl/>
        </w:rPr>
        <w:fldChar w:fldCharType="end"/>
      </w:r>
    </w:p>
    <w:p w:rsidR="00253C38" w:rsidP="00982BC1" w14:paraId="7E2A418E" w14:textId="00856237">
      <w:pPr>
        <w:spacing w:line="269" w:lineRule="auto"/>
        <w:rPr>
          <w:rtl/>
        </w:rPr>
      </w:pPr>
      <w:r>
        <w:rPr>
          <w:rFonts w:hint="cs"/>
          <w:rtl/>
        </w:rPr>
        <w:t xml:space="preserve">מתרשים </w:t>
      </w:r>
      <w:r w:rsidR="003953B6">
        <w:rPr>
          <w:rFonts w:hint="cs"/>
          <w:rtl/>
        </w:rPr>
        <w:t>48</w:t>
      </w:r>
      <w:r>
        <w:rPr>
          <w:rFonts w:hint="cs"/>
          <w:rtl/>
        </w:rPr>
        <w:t xml:space="preserve"> עולה כי במהלך המשבר העמיק הגירעון הממשלתי מדי חודש, וכי השינוי החודשי בסך היתרות של החשב הכללי בבנק ישראל היה שלילי בחלק מהחודשים, ובעיקר בחודש מרץ 2020. עם </w:t>
      </w:r>
      <w:r>
        <w:rPr>
          <w:rFonts w:hint="cs"/>
          <w:rtl/>
        </w:rPr>
        <w:t xml:space="preserve">זאת, התרשים מציג מגמת עלייה בסך היתרות בחשבון מתחילת השנה, אשר היו במאזן חיובי לכל אורך </w:t>
      </w:r>
      <w:r w:rsidRPr="003953B6">
        <w:rPr>
          <w:rFonts w:hint="cs"/>
          <w:rtl/>
        </w:rPr>
        <w:t>התקופה, בזכות הגיוסים</w:t>
      </w:r>
      <w:r>
        <w:rPr>
          <w:rFonts w:hint="cs"/>
          <w:rtl/>
        </w:rPr>
        <w:t xml:space="preserve"> הנרחבים של יחידת החוב. היתרה החיובית במהלך התקופה ממחישה את </w:t>
      </w:r>
      <w:r w:rsidRPr="008743B0">
        <w:rPr>
          <w:rFonts w:hint="cs"/>
          <w:rtl/>
        </w:rPr>
        <w:t>היכולת לגשר על הפערים התזרימיים בפעילות הממשלתית בעת המשבר.</w:t>
      </w:r>
    </w:p>
    <w:p w:rsidR="00253C38" w:rsidRPr="008743B0" w:rsidP="00982BC1" w14:paraId="3621CE03" w14:textId="1452E966">
      <w:pPr>
        <w:pStyle w:val="a"/>
        <w:spacing w:line="269" w:lineRule="auto"/>
        <w:rPr>
          <w:rtl/>
        </w:rPr>
      </w:pPr>
      <w:r w:rsidRPr="008743B0">
        <w:rPr>
          <w:rtl/>
        </w:rPr>
        <w:fldChar w:fldCharType="begin"/>
      </w:r>
      <w:r w:rsidRPr="008743B0">
        <w:rPr>
          <w:rtl/>
        </w:rPr>
        <w:instrText xml:space="preserve"> </w:instrText>
      </w:r>
      <w:r w:rsidRPr="008743B0">
        <w:instrText>AUTONUMLGL \e  \* MERGEFORMAT</w:instrText>
      </w:r>
      <w:r w:rsidRPr="008743B0">
        <w:rPr>
          <w:rtl/>
        </w:rPr>
        <w:instrText xml:space="preserve"> </w:instrText>
      </w:r>
      <w:r w:rsidRPr="008743B0">
        <w:rPr>
          <w:rtl/>
        </w:rPr>
        <w:fldChar w:fldCharType="end"/>
      </w:r>
    </w:p>
    <w:p w:rsidR="00253C38" w:rsidRPr="008743B0" w:rsidP="00982BC1" w14:paraId="49E91272" w14:textId="550BAEEB">
      <w:pPr>
        <w:spacing w:line="269" w:lineRule="auto"/>
        <w:rPr>
          <w:b/>
          <w:bCs/>
          <w:rtl/>
        </w:rPr>
      </w:pPr>
      <w:r w:rsidRPr="008743B0">
        <w:rPr>
          <w:rFonts w:hint="eastAsia"/>
          <w:b/>
          <w:bCs/>
          <w:rtl/>
        </w:rPr>
        <w:t>משרד</w:t>
      </w:r>
      <w:r w:rsidRPr="008743B0">
        <w:rPr>
          <w:b/>
          <w:bCs/>
          <w:rtl/>
        </w:rPr>
        <w:t xml:space="preserve"> מבקר המדינה </w:t>
      </w:r>
      <w:r w:rsidRPr="008743B0">
        <w:rPr>
          <w:rFonts w:hint="eastAsia"/>
          <w:b/>
          <w:bCs/>
          <w:rtl/>
        </w:rPr>
        <w:t>מציין</w:t>
      </w:r>
      <w:r>
        <w:rPr>
          <w:rFonts w:hint="cs"/>
          <w:b/>
          <w:bCs/>
          <w:rtl/>
        </w:rPr>
        <w:t xml:space="preserve"> </w:t>
      </w:r>
      <w:r w:rsidRPr="008743B0">
        <w:rPr>
          <w:rFonts w:hint="eastAsia"/>
          <w:b/>
          <w:bCs/>
          <w:rtl/>
        </w:rPr>
        <w:t>את</w:t>
      </w:r>
      <w:r w:rsidRPr="008743B0">
        <w:rPr>
          <w:b/>
          <w:bCs/>
          <w:rtl/>
        </w:rPr>
        <w:t xml:space="preserve"> </w:t>
      </w:r>
      <w:r w:rsidRPr="008743B0">
        <w:rPr>
          <w:rFonts w:hint="eastAsia"/>
          <w:b/>
          <w:bCs/>
          <w:rtl/>
        </w:rPr>
        <w:t>פעילות</w:t>
      </w:r>
      <w:r w:rsidRPr="008743B0">
        <w:rPr>
          <w:b/>
          <w:bCs/>
          <w:rtl/>
        </w:rPr>
        <w:t xml:space="preserve"> </w:t>
      </w:r>
      <w:r w:rsidRPr="008743B0">
        <w:rPr>
          <w:rFonts w:hint="eastAsia"/>
          <w:b/>
          <w:bCs/>
          <w:rtl/>
        </w:rPr>
        <w:t>החשב</w:t>
      </w:r>
      <w:r w:rsidRPr="008743B0">
        <w:rPr>
          <w:b/>
          <w:bCs/>
          <w:rtl/>
        </w:rPr>
        <w:t xml:space="preserve"> </w:t>
      </w:r>
      <w:r w:rsidRPr="008743B0">
        <w:rPr>
          <w:rFonts w:hint="eastAsia"/>
          <w:b/>
          <w:bCs/>
          <w:rtl/>
        </w:rPr>
        <w:t>הכללי</w:t>
      </w:r>
      <w:r w:rsidRPr="008743B0">
        <w:rPr>
          <w:b/>
          <w:bCs/>
          <w:rtl/>
        </w:rPr>
        <w:t xml:space="preserve"> </w:t>
      </w:r>
      <w:r w:rsidRPr="008743B0">
        <w:rPr>
          <w:rFonts w:hint="eastAsia"/>
          <w:b/>
          <w:bCs/>
          <w:rtl/>
        </w:rPr>
        <w:t>לגיוסי</w:t>
      </w:r>
      <w:r w:rsidRPr="008743B0">
        <w:rPr>
          <w:b/>
          <w:bCs/>
          <w:rtl/>
        </w:rPr>
        <w:t xml:space="preserve"> חוב</w:t>
      </w:r>
      <w:r w:rsidR="00754EB3">
        <w:rPr>
          <w:rFonts w:hint="cs"/>
          <w:b/>
          <w:bCs/>
          <w:rtl/>
        </w:rPr>
        <w:t>ות</w:t>
      </w:r>
      <w:r w:rsidRPr="008743B0">
        <w:rPr>
          <w:b/>
          <w:bCs/>
          <w:rtl/>
        </w:rPr>
        <w:t xml:space="preserve"> </w:t>
      </w:r>
      <w:r w:rsidRPr="008743B0">
        <w:rPr>
          <w:rFonts w:hint="eastAsia"/>
          <w:b/>
          <w:bCs/>
          <w:rtl/>
        </w:rPr>
        <w:t>בהיקף</w:t>
      </w:r>
      <w:r w:rsidRPr="008743B0">
        <w:rPr>
          <w:b/>
          <w:bCs/>
          <w:rtl/>
        </w:rPr>
        <w:t xml:space="preserve"> של </w:t>
      </w:r>
      <w:r>
        <w:rPr>
          <w:rFonts w:hint="cs"/>
          <w:b/>
          <w:bCs/>
          <w:rtl/>
        </w:rPr>
        <w:t>265</w:t>
      </w:r>
      <w:r w:rsidR="00784C60">
        <w:rPr>
          <w:rFonts w:hint="cs"/>
          <w:b/>
          <w:bCs/>
          <w:rtl/>
        </w:rPr>
        <w:t>.4</w:t>
      </w:r>
      <w:r w:rsidRPr="008743B0">
        <w:rPr>
          <w:b/>
          <w:bCs/>
          <w:rtl/>
        </w:rPr>
        <w:t xml:space="preserve"> מיליארדי </w:t>
      </w:r>
      <w:r>
        <w:rPr>
          <w:rFonts w:hint="cs"/>
          <w:b/>
          <w:bCs/>
          <w:rtl/>
        </w:rPr>
        <w:t xml:space="preserve">ש"ח </w:t>
      </w:r>
      <w:r w:rsidRPr="008743B0">
        <w:rPr>
          <w:b/>
          <w:bCs/>
          <w:rtl/>
        </w:rPr>
        <w:t xml:space="preserve">בשנת 2020 </w:t>
      </w:r>
      <w:r>
        <w:rPr>
          <w:rFonts w:hint="eastAsia"/>
          <w:b/>
          <w:bCs/>
          <w:rtl/>
        </w:rPr>
        <w:t>שנדרש</w:t>
      </w:r>
      <w:r>
        <w:rPr>
          <w:rFonts w:hint="cs"/>
          <w:b/>
          <w:bCs/>
          <w:rtl/>
        </w:rPr>
        <w:t>, בין היתר,</w:t>
      </w:r>
      <w:r w:rsidRPr="008743B0">
        <w:rPr>
          <w:b/>
          <w:bCs/>
          <w:rtl/>
        </w:rPr>
        <w:t xml:space="preserve"> </w:t>
      </w:r>
      <w:r w:rsidRPr="008743B0">
        <w:rPr>
          <w:rFonts w:hint="eastAsia"/>
          <w:b/>
          <w:bCs/>
          <w:rtl/>
        </w:rPr>
        <w:t>למימון</w:t>
      </w:r>
      <w:r w:rsidRPr="008743B0">
        <w:rPr>
          <w:b/>
          <w:bCs/>
          <w:rtl/>
        </w:rPr>
        <w:t xml:space="preserve"> </w:t>
      </w:r>
      <w:r w:rsidRPr="008743B0">
        <w:rPr>
          <w:rFonts w:hint="eastAsia"/>
          <w:b/>
          <w:bCs/>
          <w:rtl/>
        </w:rPr>
        <w:t>הסיוע</w:t>
      </w:r>
      <w:r w:rsidRPr="008743B0">
        <w:rPr>
          <w:b/>
          <w:bCs/>
          <w:rtl/>
        </w:rPr>
        <w:t xml:space="preserve"> </w:t>
      </w:r>
      <w:r w:rsidRPr="008743B0">
        <w:rPr>
          <w:rFonts w:hint="eastAsia"/>
          <w:b/>
          <w:bCs/>
          <w:rtl/>
        </w:rPr>
        <w:t>הממשלתי</w:t>
      </w:r>
      <w:r w:rsidRPr="008743B0">
        <w:rPr>
          <w:b/>
          <w:bCs/>
          <w:rtl/>
        </w:rPr>
        <w:t xml:space="preserve"> </w:t>
      </w:r>
      <w:r w:rsidRPr="008743B0">
        <w:rPr>
          <w:rFonts w:hint="eastAsia"/>
          <w:b/>
          <w:bCs/>
          <w:rtl/>
        </w:rPr>
        <w:t>בתקופת</w:t>
      </w:r>
      <w:r w:rsidRPr="008743B0">
        <w:rPr>
          <w:b/>
          <w:bCs/>
          <w:rtl/>
        </w:rPr>
        <w:t xml:space="preserve"> </w:t>
      </w:r>
      <w:r w:rsidRPr="008743B0">
        <w:rPr>
          <w:rFonts w:hint="eastAsia"/>
          <w:b/>
          <w:bCs/>
          <w:rtl/>
        </w:rPr>
        <w:t>משבר</w:t>
      </w:r>
      <w:r w:rsidRPr="008743B0">
        <w:rPr>
          <w:b/>
          <w:bCs/>
          <w:rtl/>
        </w:rPr>
        <w:t xml:space="preserve"> </w:t>
      </w:r>
      <w:r w:rsidRPr="008743B0">
        <w:rPr>
          <w:rFonts w:hint="eastAsia"/>
          <w:b/>
          <w:bCs/>
          <w:rtl/>
        </w:rPr>
        <w:t>הקורונה</w:t>
      </w:r>
      <w:r w:rsidRPr="008743B0">
        <w:rPr>
          <w:b/>
          <w:bCs/>
          <w:rtl/>
        </w:rPr>
        <w:t>.</w:t>
      </w:r>
    </w:p>
    <w:p w:rsidR="00253C38" w:rsidRPr="008743B0" w:rsidP="00982BC1" w14:paraId="0D757296" w14:textId="0BB5B71D">
      <w:pPr>
        <w:pStyle w:val="a"/>
        <w:spacing w:line="269" w:lineRule="auto"/>
        <w:rPr>
          <w:rtl/>
        </w:rPr>
      </w:pPr>
      <w:r w:rsidRPr="008743B0">
        <w:rPr>
          <w:rtl/>
        </w:rPr>
        <w:fldChar w:fldCharType="begin"/>
      </w:r>
      <w:r w:rsidRPr="008743B0">
        <w:rPr>
          <w:rtl/>
        </w:rPr>
        <w:instrText xml:space="preserve"> </w:instrText>
      </w:r>
      <w:r w:rsidRPr="008743B0">
        <w:instrText>AUTONUMLGL \e  \* MERGEFORMAT</w:instrText>
      </w:r>
      <w:r w:rsidRPr="008743B0">
        <w:rPr>
          <w:rtl/>
        </w:rPr>
        <w:instrText xml:space="preserve"> </w:instrText>
      </w:r>
      <w:r w:rsidRPr="008743B0">
        <w:rPr>
          <w:rtl/>
        </w:rPr>
        <w:fldChar w:fldCharType="end"/>
      </w:r>
    </w:p>
    <w:p w:rsidR="00253C38" w:rsidP="00982BC1" w14:paraId="6DB9AFCB" w14:textId="5006B019">
      <w:pPr>
        <w:spacing w:line="269" w:lineRule="auto"/>
        <w:rPr>
          <w:rtl/>
        </w:rPr>
      </w:pPr>
      <w:r w:rsidRPr="008743B0">
        <w:rPr>
          <w:rFonts w:hint="eastAsia"/>
          <w:b/>
          <w:bCs/>
          <w:rtl/>
        </w:rPr>
        <w:t>מומלץ</w:t>
      </w:r>
      <w:r>
        <w:rPr>
          <w:b/>
          <w:bCs/>
          <w:rtl/>
        </w:rPr>
        <w:t xml:space="preserve"> כי החש</w:t>
      </w:r>
      <w:r>
        <w:rPr>
          <w:rFonts w:hint="cs"/>
          <w:b/>
          <w:bCs/>
          <w:rtl/>
        </w:rPr>
        <w:t>כ"ל</w:t>
      </w:r>
      <w:r w:rsidRPr="008743B0">
        <w:rPr>
          <w:b/>
          <w:bCs/>
          <w:rtl/>
        </w:rPr>
        <w:t xml:space="preserve"> י</w:t>
      </w:r>
      <w:r w:rsidRPr="008743B0">
        <w:rPr>
          <w:rFonts w:hint="eastAsia"/>
          <w:b/>
          <w:bCs/>
          <w:rtl/>
        </w:rPr>
        <w:t>ציג</w:t>
      </w:r>
      <w:r w:rsidRPr="008743B0">
        <w:rPr>
          <w:b/>
          <w:bCs/>
          <w:rtl/>
        </w:rPr>
        <w:t xml:space="preserve"> לממשלה </w:t>
      </w:r>
      <w:r w:rsidRPr="008743B0">
        <w:rPr>
          <w:rFonts w:hint="eastAsia"/>
          <w:b/>
          <w:bCs/>
          <w:rtl/>
        </w:rPr>
        <w:t>במסגרת</w:t>
      </w:r>
      <w:r w:rsidRPr="008743B0">
        <w:rPr>
          <w:b/>
          <w:bCs/>
          <w:rtl/>
        </w:rPr>
        <w:t xml:space="preserve"> </w:t>
      </w:r>
      <w:r w:rsidRPr="008743B0">
        <w:rPr>
          <w:rFonts w:hint="eastAsia"/>
          <w:b/>
          <w:bCs/>
          <w:rtl/>
        </w:rPr>
        <w:t>דיונים</w:t>
      </w:r>
      <w:r w:rsidRPr="008743B0">
        <w:rPr>
          <w:b/>
          <w:bCs/>
          <w:rtl/>
        </w:rPr>
        <w:t xml:space="preserve"> עתידיים </w:t>
      </w:r>
      <w:r>
        <w:rPr>
          <w:rFonts w:hint="cs"/>
          <w:b/>
          <w:bCs/>
          <w:rtl/>
        </w:rPr>
        <w:t>בנושא</w:t>
      </w:r>
      <w:r w:rsidRPr="008743B0">
        <w:rPr>
          <w:b/>
          <w:bCs/>
          <w:rtl/>
        </w:rPr>
        <w:t xml:space="preserve"> </w:t>
      </w:r>
      <w:r w:rsidRPr="008743B0">
        <w:rPr>
          <w:rFonts w:hint="eastAsia"/>
          <w:b/>
          <w:bCs/>
          <w:rtl/>
        </w:rPr>
        <w:t>יצירת</w:t>
      </w:r>
      <w:r w:rsidRPr="008743B0">
        <w:rPr>
          <w:b/>
          <w:bCs/>
          <w:rtl/>
        </w:rPr>
        <w:t xml:space="preserve"> </w:t>
      </w:r>
      <w:r w:rsidRPr="008743B0">
        <w:rPr>
          <w:rFonts w:hint="eastAsia"/>
          <w:b/>
          <w:bCs/>
          <w:rtl/>
        </w:rPr>
        <w:t>קופסאות</w:t>
      </w:r>
      <w:r w:rsidRPr="008743B0">
        <w:rPr>
          <w:b/>
          <w:bCs/>
          <w:rtl/>
        </w:rPr>
        <w:t xml:space="preserve"> </w:t>
      </w:r>
      <w:r w:rsidRPr="008743B0">
        <w:rPr>
          <w:rFonts w:hint="eastAsia"/>
          <w:b/>
          <w:bCs/>
          <w:rtl/>
        </w:rPr>
        <w:t>לטובת</w:t>
      </w:r>
      <w:r w:rsidRPr="008743B0">
        <w:rPr>
          <w:b/>
          <w:bCs/>
          <w:rtl/>
        </w:rPr>
        <w:t xml:space="preserve"> </w:t>
      </w:r>
      <w:r w:rsidRPr="008743B0">
        <w:rPr>
          <w:rFonts w:hint="eastAsia"/>
          <w:b/>
          <w:bCs/>
          <w:rtl/>
        </w:rPr>
        <w:t>הוצאות</w:t>
      </w:r>
      <w:r w:rsidRPr="008743B0">
        <w:rPr>
          <w:b/>
          <w:bCs/>
          <w:rtl/>
        </w:rPr>
        <w:t xml:space="preserve"> </w:t>
      </w:r>
      <w:r w:rsidRPr="008743B0">
        <w:rPr>
          <w:rFonts w:hint="eastAsia"/>
          <w:b/>
          <w:bCs/>
          <w:rtl/>
        </w:rPr>
        <w:t>חוץ</w:t>
      </w:r>
      <w:r>
        <w:rPr>
          <w:rFonts w:hint="cs"/>
          <w:b/>
          <w:bCs/>
          <w:rtl/>
        </w:rPr>
        <w:t>-</w:t>
      </w:r>
      <w:r w:rsidRPr="008743B0">
        <w:rPr>
          <w:rFonts w:hint="eastAsia"/>
          <w:b/>
          <w:bCs/>
          <w:rtl/>
        </w:rPr>
        <w:t>תקציביות</w:t>
      </w:r>
      <w:r w:rsidRPr="008743B0">
        <w:rPr>
          <w:b/>
          <w:bCs/>
          <w:rtl/>
        </w:rPr>
        <w:t xml:space="preserve"> </w:t>
      </w:r>
      <w:r w:rsidRPr="008743B0">
        <w:rPr>
          <w:rFonts w:hint="eastAsia"/>
          <w:b/>
          <w:bCs/>
          <w:rtl/>
        </w:rPr>
        <w:t>שמחייבות</w:t>
      </w:r>
      <w:r w:rsidRPr="008743B0">
        <w:rPr>
          <w:b/>
          <w:bCs/>
          <w:rtl/>
        </w:rPr>
        <w:t xml:space="preserve"> מימון, </w:t>
      </w:r>
      <w:r>
        <w:rPr>
          <w:rFonts w:hint="cs"/>
          <w:b/>
          <w:bCs/>
          <w:rtl/>
        </w:rPr>
        <w:t xml:space="preserve">אם </w:t>
      </w:r>
      <w:r w:rsidRPr="008743B0">
        <w:rPr>
          <w:b/>
          <w:bCs/>
          <w:rtl/>
        </w:rPr>
        <w:t>יהיו</w:t>
      </w:r>
      <w:r>
        <w:rPr>
          <w:rFonts w:hint="cs"/>
          <w:b/>
          <w:bCs/>
          <w:rtl/>
        </w:rPr>
        <w:t xml:space="preserve"> כאלה</w:t>
      </w:r>
      <w:r w:rsidRPr="008743B0">
        <w:rPr>
          <w:b/>
          <w:bCs/>
          <w:rtl/>
        </w:rPr>
        <w:t xml:space="preserve">, </w:t>
      </w:r>
      <w:r w:rsidRPr="008E4374">
        <w:rPr>
          <w:rFonts w:hint="eastAsia"/>
          <w:b/>
          <w:bCs/>
          <w:rtl/>
        </w:rPr>
        <w:t>את</w:t>
      </w:r>
      <w:r w:rsidRPr="008E4374">
        <w:rPr>
          <w:b/>
          <w:bCs/>
          <w:rtl/>
        </w:rPr>
        <w:t xml:space="preserve"> </w:t>
      </w:r>
      <w:r w:rsidRPr="008E4374">
        <w:rPr>
          <w:rFonts w:hint="eastAsia"/>
          <w:b/>
          <w:bCs/>
          <w:rtl/>
        </w:rPr>
        <w:t>כלל</w:t>
      </w:r>
      <w:r w:rsidRPr="008E4374">
        <w:rPr>
          <w:rFonts w:hint="cs"/>
          <w:b/>
          <w:bCs/>
          <w:rtl/>
        </w:rPr>
        <w:t xml:space="preserve"> ההשלכות שיש למנגנון זה על</w:t>
      </w:r>
      <w:r w:rsidRPr="008E4374">
        <w:rPr>
          <w:b/>
          <w:bCs/>
          <w:rtl/>
        </w:rPr>
        <w:t xml:space="preserve"> </w:t>
      </w:r>
      <w:r w:rsidRPr="008E4374">
        <w:rPr>
          <w:rFonts w:hint="eastAsia"/>
          <w:b/>
          <w:bCs/>
          <w:rtl/>
        </w:rPr>
        <w:t>היבטי</w:t>
      </w:r>
      <w:r w:rsidRPr="008E4374">
        <w:rPr>
          <w:b/>
          <w:bCs/>
          <w:rtl/>
        </w:rPr>
        <w:t xml:space="preserve"> </w:t>
      </w:r>
      <w:r w:rsidRPr="008E4374">
        <w:rPr>
          <w:rFonts w:hint="eastAsia"/>
          <w:b/>
          <w:bCs/>
          <w:rtl/>
        </w:rPr>
        <w:t>גיוס</w:t>
      </w:r>
      <w:r w:rsidRPr="008E4374">
        <w:rPr>
          <w:b/>
          <w:bCs/>
          <w:rtl/>
        </w:rPr>
        <w:t xml:space="preserve"> </w:t>
      </w:r>
      <w:r w:rsidRPr="008E4374">
        <w:rPr>
          <w:rFonts w:hint="eastAsia"/>
          <w:b/>
          <w:bCs/>
          <w:rtl/>
        </w:rPr>
        <w:t>הכספים</w:t>
      </w:r>
      <w:r w:rsidRPr="008E4374">
        <w:rPr>
          <w:b/>
          <w:bCs/>
          <w:rtl/>
        </w:rPr>
        <w:t xml:space="preserve"> </w:t>
      </w:r>
      <w:r w:rsidRPr="008E4374">
        <w:rPr>
          <w:rFonts w:hint="eastAsia"/>
          <w:b/>
          <w:bCs/>
          <w:rtl/>
        </w:rPr>
        <w:t>שיידרשו</w:t>
      </w:r>
      <w:r w:rsidRPr="008E4374">
        <w:rPr>
          <w:b/>
          <w:bCs/>
          <w:rtl/>
        </w:rPr>
        <w:t xml:space="preserve"> </w:t>
      </w:r>
      <w:r w:rsidRPr="008E4374">
        <w:rPr>
          <w:rFonts w:hint="eastAsia"/>
          <w:b/>
          <w:bCs/>
          <w:rtl/>
        </w:rPr>
        <w:t>למימונן</w:t>
      </w:r>
      <w:r w:rsidRPr="008E4374">
        <w:rPr>
          <w:b/>
          <w:bCs/>
          <w:rtl/>
        </w:rPr>
        <w:t xml:space="preserve">, לרבות </w:t>
      </w:r>
      <w:r w:rsidRPr="008E4374">
        <w:rPr>
          <w:rFonts w:hint="eastAsia"/>
          <w:b/>
          <w:bCs/>
          <w:rtl/>
        </w:rPr>
        <w:t>השפעתן</w:t>
      </w:r>
      <w:r w:rsidRPr="008E4374">
        <w:rPr>
          <w:b/>
          <w:bCs/>
          <w:rtl/>
        </w:rPr>
        <w:t xml:space="preserve"> </w:t>
      </w:r>
      <w:r w:rsidRPr="008E4374">
        <w:rPr>
          <w:rFonts w:hint="eastAsia"/>
          <w:b/>
          <w:bCs/>
          <w:rtl/>
        </w:rPr>
        <w:t>הצפויה</w:t>
      </w:r>
      <w:r w:rsidRPr="008E4374">
        <w:rPr>
          <w:b/>
          <w:bCs/>
          <w:rtl/>
        </w:rPr>
        <w:t xml:space="preserve"> </w:t>
      </w:r>
      <w:r w:rsidRPr="008E4374">
        <w:rPr>
          <w:rFonts w:hint="eastAsia"/>
          <w:b/>
          <w:bCs/>
          <w:rtl/>
        </w:rPr>
        <w:t>על</w:t>
      </w:r>
      <w:r w:rsidRPr="008E4374">
        <w:rPr>
          <w:b/>
          <w:bCs/>
          <w:rtl/>
        </w:rPr>
        <w:t xml:space="preserve"> הגירעון</w:t>
      </w:r>
      <w:r w:rsidRPr="008743B0">
        <w:rPr>
          <w:b/>
          <w:bCs/>
          <w:rtl/>
        </w:rPr>
        <w:t>,</w:t>
      </w:r>
      <w:r>
        <w:rPr>
          <w:rFonts w:hint="cs"/>
          <w:b/>
          <w:bCs/>
          <w:rtl/>
        </w:rPr>
        <w:t xml:space="preserve"> </w:t>
      </w:r>
      <w:r w:rsidRPr="008743B0">
        <w:rPr>
          <w:rFonts w:hint="eastAsia"/>
          <w:b/>
          <w:bCs/>
          <w:rtl/>
        </w:rPr>
        <w:t>רמת</w:t>
      </w:r>
      <w:r w:rsidRPr="008743B0">
        <w:rPr>
          <w:b/>
          <w:bCs/>
          <w:rtl/>
        </w:rPr>
        <w:t xml:space="preserve"> </w:t>
      </w:r>
      <w:r w:rsidRPr="008743B0">
        <w:rPr>
          <w:rFonts w:hint="eastAsia"/>
          <w:b/>
          <w:bCs/>
          <w:rtl/>
        </w:rPr>
        <w:t>החוב</w:t>
      </w:r>
      <w:r w:rsidRPr="008743B0">
        <w:rPr>
          <w:b/>
          <w:bCs/>
          <w:rtl/>
        </w:rPr>
        <w:t xml:space="preserve"> </w:t>
      </w:r>
      <w:r w:rsidRPr="008743B0">
        <w:rPr>
          <w:rFonts w:hint="eastAsia"/>
          <w:b/>
          <w:bCs/>
          <w:rtl/>
        </w:rPr>
        <w:t>הממשלתי</w:t>
      </w:r>
      <w:r w:rsidRPr="008743B0">
        <w:rPr>
          <w:b/>
          <w:bCs/>
          <w:rtl/>
        </w:rPr>
        <w:t xml:space="preserve"> וד</w:t>
      </w:r>
      <w:r>
        <w:rPr>
          <w:rFonts w:hint="cs"/>
          <w:b/>
          <w:bCs/>
          <w:rtl/>
        </w:rPr>
        <w:t>י</w:t>
      </w:r>
      <w:r w:rsidRPr="008743B0">
        <w:rPr>
          <w:b/>
          <w:bCs/>
          <w:rtl/>
        </w:rPr>
        <w:t>רוג האשראי של מדינת ישראל.</w:t>
      </w:r>
    </w:p>
    <w:p w:rsidR="00E065A2" w:rsidP="00982BC1" w14:paraId="2B9EA0F9" w14:textId="77777777">
      <w:pPr>
        <w:spacing w:line="269" w:lineRule="auto"/>
        <w:rPr>
          <w:rtl/>
        </w:rPr>
      </w:pPr>
    </w:p>
    <w:p w:rsidR="00253C38" w:rsidRPr="005649AA" w:rsidP="00982BC1" w14:paraId="0799EDA5" w14:textId="77777777">
      <w:pPr>
        <w:pStyle w:val="Heading3"/>
        <w:spacing w:before="0" w:line="269" w:lineRule="auto"/>
        <w:jc w:val="left"/>
        <w:rPr>
          <w:rtl/>
        </w:rPr>
      </w:pPr>
      <w:r w:rsidRPr="005649AA">
        <w:rPr>
          <w:rFonts w:hint="cs"/>
          <w:rtl/>
        </w:rPr>
        <w:t>סיכום</w:t>
      </w:r>
    </w:p>
    <w:p w:rsidR="00253C38" w:rsidRPr="005649AA" w:rsidP="00982BC1" w14:paraId="373E7FD3" w14:textId="67F8F9D7">
      <w:pPr>
        <w:pStyle w:val="a"/>
        <w:spacing w:line="269" w:lineRule="auto"/>
        <w:rPr>
          <w:rtl/>
        </w:rPr>
      </w:pPr>
      <w:r w:rsidRPr="005649AA">
        <w:rPr>
          <w:rtl/>
        </w:rPr>
        <w:fldChar w:fldCharType="begin"/>
      </w:r>
      <w:r w:rsidRPr="005649AA">
        <w:rPr>
          <w:rtl/>
        </w:rPr>
        <w:instrText xml:space="preserve"> </w:instrText>
      </w:r>
      <w:r w:rsidRPr="005649AA">
        <w:instrText>AUTONUMLGL \e  \* MERGEFORMAT</w:instrText>
      </w:r>
      <w:r w:rsidRPr="005649AA">
        <w:rPr>
          <w:rtl/>
        </w:rPr>
        <w:instrText xml:space="preserve"> </w:instrText>
      </w:r>
      <w:r w:rsidRPr="005649AA">
        <w:rPr>
          <w:rtl/>
        </w:rPr>
        <w:fldChar w:fldCharType="end"/>
      </w:r>
    </w:p>
    <w:p w:rsidR="008E6603" w:rsidRPr="00786470" w:rsidP="00982BC1" w14:paraId="73BA93EC" w14:textId="48085276">
      <w:pPr>
        <w:spacing w:line="269" w:lineRule="auto"/>
        <w:rPr>
          <w:rFonts w:ascii="Tahoma" w:hAnsi="Tahoma" w:hint="cs"/>
          <w:b/>
          <w:bCs/>
          <w:sz w:val="24"/>
          <w:highlight w:val="cyan"/>
          <w:rtl/>
        </w:rPr>
      </w:pPr>
      <w:bookmarkStart w:id="2" w:name="_Hlk70912977"/>
      <w:r w:rsidRPr="00566445">
        <w:rPr>
          <w:rFonts w:ascii="Tahoma" w:hAnsi="Tahoma" w:hint="cs"/>
          <w:b/>
          <w:bCs/>
          <w:sz w:val="24"/>
          <w:rtl/>
        </w:rPr>
        <w:t xml:space="preserve">הביקורת העלתה כי הרגולטורים הפיננסיים במדינת ישראל נערכו במהירות הן למתן סיוע למשק והן </w:t>
      </w:r>
      <w:r>
        <w:rPr>
          <w:rFonts w:ascii="Tahoma" w:hAnsi="Tahoma" w:hint="cs"/>
          <w:b/>
          <w:bCs/>
          <w:sz w:val="24"/>
          <w:rtl/>
        </w:rPr>
        <w:t>ל</w:t>
      </w:r>
      <w:r w:rsidRPr="00566445">
        <w:rPr>
          <w:rFonts w:ascii="Tahoma" w:hAnsi="Tahoma" w:hint="cs"/>
          <w:b/>
          <w:bCs/>
          <w:sz w:val="24"/>
          <w:rtl/>
        </w:rPr>
        <w:t>שמירה על חוסנו. בתוך כך, פעלו להתאמת השירותים הפיננס</w:t>
      </w:r>
      <w:r>
        <w:rPr>
          <w:rFonts w:ascii="Tahoma" w:hAnsi="Tahoma" w:hint="cs"/>
          <w:b/>
          <w:bCs/>
          <w:sz w:val="24"/>
          <w:rtl/>
        </w:rPr>
        <w:t>י</w:t>
      </w:r>
      <w:r w:rsidRPr="00566445">
        <w:rPr>
          <w:rFonts w:ascii="Tahoma" w:hAnsi="Tahoma" w:hint="cs"/>
          <w:b/>
          <w:bCs/>
          <w:sz w:val="24"/>
          <w:rtl/>
        </w:rPr>
        <w:t xml:space="preserve">ים הניתנים לציבור בעת המשבר, הרחיבו את היצע האשראי </w:t>
      </w:r>
      <w:r>
        <w:rPr>
          <w:rFonts w:ascii="Tahoma" w:hAnsi="Tahoma" w:hint="cs"/>
          <w:b/>
          <w:bCs/>
          <w:sz w:val="24"/>
          <w:rtl/>
        </w:rPr>
        <w:t>ו</w:t>
      </w:r>
      <w:r w:rsidR="00973610">
        <w:rPr>
          <w:rFonts w:ascii="Tahoma" w:hAnsi="Tahoma" w:hint="cs"/>
          <w:b/>
          <w:bCs/>
          <w:sz w:val="24"/>
          <w:rtl/>
        </w:rPr>
        <w:t>פעלו לניטור</w:t>
      </w:r>
      <w:r w:rsidRPr="00566445">
        <w:rPr>
          <w:rFonts w:ascii="Tahoma" w:hAnsi="Tahoma" w:hint="cs"/>
          <w:b/>
          <w:bCs/>
          <w:sz w:val="24"/>
          <w:rtl/>
        </w:rPr>
        <w:t xml:space="preserve"> הסיכונים הנשקפים לפעילות הפיננסית במשק. עם זאת נמצאו ליקויים</w:t>
      </w:r>
      <w:r>
        <w:rPr>
          <w:rFonts w:ascii="Tahoma" w:hAnsi="Tahoma" w:hint="cs"/>
          <w:b/>
          <w:bCs/>
          <w:sz w:val="24"/>
          <w:rtl/>
        </w:rPr>
        <w:t xml:space="preserve">, </w:t>
      </w:r>
      <w:r w:rsidRPr="00566445">
        <w:rPr>
          <w:rFonts w:ascii="Tahoma" w:hAnsi="Tahoma" w:hint="cs"/>
          <w:b/>
          <w:bCs/>
          <w:sz w:val="24"/>
          <w:rtl/>
        </w:rPr>
        <w:t>בין היתר, ב</w:t>
      </w:r>
      <w:r w:rsidRPr="00566445">
        <w:rPr>
          <w:rFonts w:ascii="Tahoma" w:hAnsi="Tahoma"/>
          <w:b/>
          <w:bCs/>
          <w:sz w:val="24"/>
          <w:rtl/>
        </w:rPr>
        <w:t>שיתו</w:t>
      </w:r>
      <w:r>
        <w:rPr>
          <w:rFonts w:ascii="Tahoma" w:hAnsi="Tahoma" w:hint="cs"/>
          <w:b/>
          <w:bCs/>
          <w:sz w:val="24"/>
          <w:rtl/>
        </w:rPr>
        <w:t>ף</w:t>
      </w:r>
      <w:r w:rsidRPr="00566445">
        <w:rPr>
          <w:rFonts w:ascii="Tahoma" w:hAnsi="Tahoma"/>
          <w:b/>
          <w:bCs/>
          <w:sz w:val="24"/>
          <w:rtl/>
        </w:rPr>
        <w:t xml:space="preserve"> </w:t>
      </w:r>
      <w:r>
        <w:rPr>
          <w:rFonts w:ascii="Tahoma" w:hAnsi="Tahoma" w:hint="cs"/>
          <w:b/>
          <w:bCs/>
          <w:sz w:val="24"/>
          <w:rtl/>
        </w:rPr>
        <w:t>ה</w:t>
      </w:r>
      <w:r w:rsidRPr="00566445">
        <w:rPr>
          <w:rFonts w:ascii="Tahoma" w:hAnsi="Tahoma"/>
          <w:b/>
          <w:bCs/>
          <w:sz w:val="24"/>
          <w:rtl/>
        </w:rPr>
        <w:t xml:space="preserve">פעולה בין </w:t>
      </w:r>
      <w:r>
        <w:rPr>
          <w:rFonts w:ascii="Tahoma" w:hAnsi="Tahoma" w:hint="cs"/>
          <w:b/>
          <w:bCs/>
          <w:sz w:val="24"/>
          <w:rtl/>
        </w:rPr>
        <w:t xml:space="preserve">כלל </w:t>
      </w:r>
      <w:r w:rsidRPr="00566445">
        <w:rPr>
          <w:rFonts w:ascii="Tahoma" w:hAnsi="Tahoma"/>
          <w:b/>
          <w:bCs/>
          <w:sz w:val="24"/>
          <w:rtl/>
        </w:rPr>
        <w:t>הגורמים הרלוונטיים</w:t>
      </w:r>
      <w:r w:rsidRPr="00566445">
        <w:rPr>
          <w:rFonts w:ascii="Tahoma" w:hAnsi="Tahoma" w:hint="cs"/>
          <w:b/>
          <w:bCs/>
          <w:sz w:val="24"/>
          <w:rtl/>
        </w:rPr>
        <w:t xml:space="preserve">, בהגדרת חיוניות פעילותם של </w:t>
      </w:r>
      <w:r w:rsidRPr="008E4374">
        <w:rPr>
          <w:rFonts w:ascii="Tahoma" w:hAnsi="Tahoma" w:hint="cs"/>
          <w:b/>
          <w:bCs/>
          <w:sz w:val="24"/>
          <w:rtl/>
        </w:rPr>
        <w:t>רגולטורים פיננסיים בחירום, בטיפול בחשיפה הגבוהה של הגופים המוסדיים לנגזרים בחו"ל, בהגדרת קריטריונים מדידים למתן הלוואות ובהגדרת זמני הטיפול בבקשות להעמדת הלוואות במסגרתן. נוסף על כך, נמצא פער</w:t>
      </w:r>
      <w:r w:rsidRPr="008E4374">
        <w:rPr>
          <w:rFonts w:ascii="Tahoma" w:hAnsi="Tahoma"/>
          <w:b/>
          <w:bCs/>
          <w:sz w:val="24"/>
          <w:rtl/>
        </w:rPr>
        <w:t xml:space="preserve"> </w:t>
      </w:r>
      <w:r w:rsidRPr="008E4374">
        <w:rPr>
          <w:rFonts w:ascii="Tahoma" w:hAnsi="Tahoma" w:hint="cs"/>
          <w:b/>
          <w:bCs/>
          <w:sz w:val="24"/>
          <w:rtl/>
        </w:rPr>
        <w:t xml:space="preserve">בגובה הערבות שהועמד על התיק בקרנות להעמדת הלוואות בערבות מדינה בהשוואה בין-לאומית. לפיכך </w:t>
      </w:r>
      <w:r w:rsidRPr="008E4374">
        <w:rPr>
          <w:rFonts w:ascii="Tahoma" w:hAnsi="Tahoma" w:hint="eastAsia"/>
          <w:b/>
          <w:bCs/>
          <w:sz w:val="24"/>
          <w:rtl/>
        </w:rPr>
        <w:t>מומלץ</w:t>
      </w:r>
      <w:r w:rsidRPr="008E4374">
        <w:rPr>
          <w:rFonts w:ascii="Tahoma" w:hAnsi="Tahoma"/>
          <w:b/>
          <w:bCs/>
          <w:sz w:val="24"/>
          <w:rtl/>
        </w:rPr>
        <w:t xml:space="preserve"> </w:t>
      </w:r>
      <w:r w:rsidRPr="008E4374">
        <w:rPr>
          <w:rFonts w:ascii="Tahoma" w:hAnsi="Tahoma" w:hint="eastAsia"/>
          <w:b/>
          <w:bCs/>
          <w:sz w:val="24"/>
          <w:rtl/>
        </w:rPr>
        <w:t>לבחון</w:t>
      </w:r>
      <w:r w:rsidRPr="008E4374">
        <w:rPr>
          <w:rFonts w:ascii="Tahoma" w:hAnsi="Tahoma"/>
          <w:b/>
          <w:bCs/>
          <w:sz w:val="24"/>
          <w:rtl/>
        </w:rPr>
        <w:t xml:space="preserve"> את מנגנוני הסיוע שהוצעו </w:t>
      </w:r>
      <w:r w:rsidRPr="008E4374">
        <w:rPr>
          <w:rFonts w:ascii="Tahoma" w:hAnsi="Tahoma" w:hint="cs"/>
          <w:b/>
          <w:bCs/>
          <w:sz w:val="24"/>
          <w:rtl/>
        </w:rPr>
        <w:t xml:space="preserve">כדי </w:t>
      </w:r>
      <w:r w:rsidRPr="008E4374">
        <w:rPr>
          <w:rFonts w:ascii="Tahoma" w:hAnsi="Tahoma" w:hint="eastAsia"/>
          <w:b/>
          <w:bCs/>
          <w:sz w:val="24"/>
          <w:rtl/>
        </w:rPr>
        <w:t>להגביר</w:t>
      </w:r>
      <w:r w:rsidRPr="008E4374">
        <w:rPr>
          <w:rFonts w:ascii="Tahoma" w:hAnsi="Tahoma"/>
          <w:b/>
          <w:bCs/>
          <w:sz w:val="24"/>
          <w:rtl/>
        </w:rPr>
        <w:t xml:space="preserve"> </w:t>
      </w:r>
      <w:r w:rsidRPr="008E4374">
        <w:rPr>
          <w:rFonts w:ascii="Tahoma" w:hAnsi="Tahoma" w:hint="eastAsia"/>
          <w:b/>
          <w:bCs/>
          <w:sz w:val="24"/>
          <w:rtl/>
        </w:rPr>
        <w:t>את</w:t>
      </w:r>
      <w:r w:rsidRPr="008E4374">
        <w:rPr>
          <w:rFonts w:ascii="Tahoma" w:hAnsi="Tahoma"/>
          <w:b/>
          <w:bCs/>
          <w:sz w:val="24"/>
          <w:rtl/>
        </w:rPr>
        <w:t xml:space="preserve"> </w:t>
      </w:r>
      <w:r w:rsidRPr="008E4374">
        <w:rPr>
          <w:rFonts w:ascii="Tahoma" w:hAnsi="Tahoma" w:hint="eastAsia"/>
          <w:b/>
          <w:bCs/>
          <w:sz w:val="24"/>
          <w:rtl/>
        </w:rPr>
        <w:t>ה</w:t>
      </w:r>
      <w:r w:rsidRPr="008E4374">
        <w:rPr>
          <w:rFonts w:ascii="Tahoma" w:hAnsi="Tahoma" w:hint="cs"/>
          <w:b/>
          <w:bCs/>
          <w:sz w:val="24"/>
          <w:rtl/>
        </w:rPr>
        <w:t>יעילות</w:t>
      </w:r>
      <w:r w:rsidRPr="00566445">
        <w:rPr>
          <w:rFonts w:ascii="Tahoma" w:hAnsi="Tahoma"/>
          <w:b/>
          <w:bCs/>
          <w:sz w:val="24"/>
          <w:rtl/>
        </w:rPr>
        <w:t xml:space="preserve"> </w:t>
      </w:r>
      <w:r w:rsidRPr="00566445">
        <w:rPr>
          <w:rFonts w:ascii="Tahoma" w:hAnsi="Tahoma" w:hint="eastAsia"/>
          <w:b/>
          <w:bCs/>
          <w:sz w:val="24"/>
          <w:rtl/>
        </w:rPr>
        <w:t>והמועילות</w:t>
      </w:r>
      <w:r w:rsidRPr="00566445">
        <w:rPr>
          <w:rFonts w:ascii="Tahoma" w:hAnsi="Tahoma"/>
          <w:b/>
          <w:bCs/>
          <w:sz w:val="24"/>
          <w:rtl/>
        </w:rPr>
        <w:t xml:space="preserve"> </w:t>
      </w:r>
      <w:r w:rsidRPr="00566445">
        <w:rPr>
          <w:rFonts w:ascii="Tahoma" w:hAnsi="Tahoma" w:hint="eastAsia"/>
          <w:b/>
          <w:bCs/>
          <w:sz w:val="24"/>
          <w:rtl/>
        </w:rPr>
        <w:t>של</w:t>
      </w:r>
      <w:r w:rsidRPr="00566445">
        <w:rPr>
          <w:rFonts w:ascii="Tahoma" w:hAnsi="Tahoma"/>
          <w:b/>
          <w:bCs/>
          <w:sz w:val="24"/>
          <w:rtl/>
        </w:rPr>
        <w:t xml:space="preserve"> </w:t>
      </w:r>
      <w:r w:rsidRPr="00566445">
        <w:rPr>
          <w:rFonts w:ascii="Tahoma" w:hAnsi="Tahoma" w:hint="eastAsia"/>
          <w:b/>
          <w:bCs/>
          <w:sz w:val="24"/>
          <w:rtl/>
        </w:rPr>
        <w:t>האשראי</w:t>
      </w:r>
      <w:r w:rsidRPr="00566445">
        <w:rPr>
          <w:rFonts w:ascii="Tahoma" w:hAnsi="Tahoma"/>
          <w:b/>
          <w:bCs/>
          <w:sz w:val="24"/>
          <w:rtl/>
        </w:rPr>
        <w:t xml:space="preserve"> </w:t>
      </w:r>
      <w:r w:rsidRPr="00566445">
        <w:rPr>
          <w:rFonts w:ascii="Tahoma" w:hAnsi="Tahoma" w:hint="eastAsia"/>
          <w:b/>
          <w:bCs/>
          <w:sz w:val="24"/>
          <w:rtl/>
        </w:rPr>
        <w:t>שניתן</w:t>
      </w:r>
      <w:r w:rsidRPr="00566445">
        <w:rPr>
          <w:rFonts w:ascii="Tahoma" w:hAnsi="Tahoma"/>
          <w:b/>
          <w:bCs/>
          <w:sz w:val="24"/>
          <w:rtl/>
        </w:rPr>
        <w:t xml:space="preserve"> </w:t>
      </w:r>
      <w:r w:rsidRPr="00566445">
        <w:rPr>
          <w:rFonts w:ascii="Tahoma" w:hAnsi="Tahoma" w:hint="eastAsia"/>
          <w:b/>
          <w:bCs/>
          <w:sz w:val="24"/>
          <w:rtl/>
        </w:rPr>
        <w:t>לעסקים</w:t>
      </w:r>
      <w:r>
        <w:rPr>
          <w:rFonts w:ascii="Tahoma" w:hAnsi="Tahoma" w:hint="cs"/>
          <w:b/>
          <w:bCs/>
          <w:sz w:val="24"/>
          <w:rtl/>
        </w:rPr>
        <w:t xml:space="preserve">, במטרה </w:t>
      </w:r>
      <w:r w:rsidRPr="00566445">
        <w:rPr>
          <w:rFonts w:ascii="Tahoma" w:hAnsi="Tahoma" w:hint="eastAsia"/>
          <w:b/>
          <w:bCs/>
          <w:sz w:val="24"/>
          <w:rtl/>
        </w:rPr>
        <w:t>לגשר</w:t>
      </w:r>
      <w:r w:rsidRPr="00566445">
        <w:rPr>
          <w:rFonts w:ascii="Tahoma" w:hAnsi="Tahoma"/>
          <w:b/>
          <w:bCs/>
          <w:sz w:val="24"/>
          <w:rtl/>
        </w:rPr>
        <w:t xml:space="preserve"> </w:t>
      </w:r>
      <w:r w:rsidRPr="00566445">
        <w:rPr>
          <w:rFonts w:ascii="Tahoma" w:hAnsi="Tahoma" w:hint="eastAsia"/>
          <w:b/>
          <w:bCs/>
          <w:sz w:val="24"/>
          <w:rtl/>
        </w:rPr>
        <w:t>על</w:t>
      </w:r>
      <w:r w:rsidRPr="00566445">
        <w:rPr>
          <w:rFonts w:ascii="Tahoma" w:hAnsi="Tahoma"/>
          <w:b/>
          <w:bCs/>
          <w:sz w:val="24"/>
          <w:rtl/>
        </w:rPr>
        <w:t xml:space="preserve"> </w:t>
      </w:r>
      <w:r w:rsidRPr="00566445">
        <w:rPr>
          <w:rFonts w:ascii="Tahoma" w:hAnsi="Tahoma" w:hint="eastAsia"/>
          <w:b/>
          <w:bCs/>
          <w:sz w:val="24"/>
          <w:rtl/>
        </w:rPr>
        <w:t>הפער</w:t>
      </w:r>
      <w:r w:rsidRPr="00566445">
        <w:rPr>
          <w:rFonts w:ascii="Tahoma" w:hAnsi="Tahoma"/>
          <w:b/>
          <w:bCs/>
          <w:sz w:val="24"/>
          <w:rtl/>
        </w:rPr>
        <w:t xml:space="preserve"> </w:t>
      </w:r>
      <w:r w:rsidRPr="00566445">
        <w:rPr>
          <w:rFonts w:ascii="Tahoma" w:hAnsi="Tahoma" w:hint="eastAsia"/>
          <w:b/>
          <w:bCs/>
          <w:sz w:val="24"/>
          <w:rtl/>
        </w:rPr>
        <w:t>התזרימי</w:t>
      </w:r>
      <w:r w:rsidRPr="00566445">
        <w:rPr>
          <w:rFonts w:ascii="Tahoma" w:hAnsi="Tahoma"/>
          <w:b/>
          <w:bCs/>
          <w:sz w:val="24"/>
          <w:rtl/>
        </w:rPr>
        <w:t xml:space="preserve"> </w:t>
      </w:r>
      <w:r w:rsidRPr="00566445">
        <w:rPr>
          <w:rFonts w:ascii="Tahoma" w:hAnsi="Tahoma" w:hint="eastAsia"/>
          <w:b/>
          <w:bCs/>
          <w:sz w:val="24"/>
          <w:rtl/>
        </w:rPr>
        <w:t>שנגרם</w:t>
      </w:r>
      <w:r w:rsidRPr="00566445">
        <w:rPr>
          <w:rFonts w:ascii="Tahoma" w:hAnsi="Tahoma"/>
          <w:b/>
          <w:bCs/>
          <w:sz w:val="24"/>
          <w:rtl/>
        </w:rPr>
        <w:t xml:space="preserve"> </w:t>
      </w:r>
      <w:r w:rsidRPr="00566445">
        <w:rPr>
          <w:rFonts w:ascii="Tahoma" w:hAnsi="Tahoma" w:hint="eastAsia"/>
          <w:b/>
          <w:bCs/>
          <w:sz w:val="24"/>
          <w:rtl/>
        </w:rPr>
        <w:t>בעקבות</w:t>
      </w:r>
      <w:r w:rsidRPr="00566445">
        <w:rPr>
          <w:rFonts w:ascii="Tahoma" w:hAnsi="Tahoma"/>
          <w:b/>
          <w:bCs/>
          <w:sz w:val="24"/>
          <w:rtl/>
        </w:rPr>
        <w:t xml:space="preserve"> </w:t>
      </w:r>
      <w:r w:rsidRPr="00566445">
        <w:rPr>
          <w:rFonts w:ascii="Tahoma" w:hAnsi="Tahoma" w:hint="eastAsia"/>
          <w:b/>
          <w:bCs/>
          <w:sz w:val="24"/>
          <w:rtl/>
        </w:rPr>
        <w:t>המשבר</w:t>
      </w:r>
      <w:r w:rsidRPr="00566445">
        <w:rPr>
          <w:rFonts w:ascii="Tahoma" w:hAnsi="Tahoma"/>
          <w:b/>
          <w:bCs/>
          <w:sz w:val="24"/>
          <w:rtl/>
        </w:rPr>
        <w:t xml:space="preserve"> </w:t>
      </w:r>
      <w:r w:rsidRPr="00566445">
        <w:rPr>
          <w:rFonts w:ascii="Tahoma" w:hAnsi="Tahoma" w:hint="eastAsia"/>
          <w:b/>
          <w:bCs/>
          <w:sz w:val="24"/>
          <w:rtl/>
        </w:rPr>
        <w:t>ולאפשר</w:t>
      </w:r>
      <w:r w:rsidRPr="00566445">
        <w:rPr>
          <w:rFonts w:ascii="Tahoma" w:hAnsi="Tahoma"/>
          <w:b/>
          <w:bCs/>
          <w:sz w:val="24"/>
          <w:rtl/>
        </w:rPr>
        <w:t xml:space="preserve"> </w:t>
      </w:r>
      <w:r w:rsidRPr="00566445">
        <w:rPr>
          <w:rFonts w:ascii="Tahoma" w:hAnsi="Tahoma" w:hint="eastAsia"/>
          <w:b/>
          <w:bCs/>
          <w:sz w:val="24"/>
          <w:rtl/>
        </w:rPr>
        <w:t>לעסקים</w:t>
      </w:r>
      <w:r w:rsidRPr="00566445">
        <w:rPr>
          <w:rFonts w:ascii="Tahoma" w:hAnsi="Tahoma"/>
          <w:b/>
          <w:bCs/>
          <w:sz w:val="24"/>
          <w:rtl/>
        </w:rPr>
        <w:t xml:space="preserve"> </w:t>
      </w:r>
      <w:r w:rsidRPr="00566445">
        <w:rPr>
          <w:rFonts w:ascii="Tahoma" w:hAnsi="Tahoma" w:hint="eastAsia"/>
          <w:b/>
          <w:bCs/>
          <w:sz w:val="24"/>
          <w:rtl/>
        </w:rPr>
        <w:t>לשוב</w:t>
      </w:r>
      <w:r w:rsidRPr="00566445">
        <w:rPr>
          <w:rFonts w:ascii="Tahoma" w:hAnsi="Tahoma"/>
          <w:b/>
          <w:bCs/>
          <w:sz w:val="24"/>
          <w:rtl/>
        </w:rPr>
        <w:t xml:space="preserve"> </w:t>
      </w:r>
      <w:r w:rsidRPr="00566445">
        <w:rPr>
          <w:rFonts w:ascii="Tahoma" w:hAnsi="Tahoma" w:hint="eastAsia"/>
          <w:b/>
          <w:bCs/>
          <w:sz w:val="24"/>
          <w:rtl/>
        </w:rPr>
        <w:t>לתפקוד</w:t>
      </w:r>
      <w:r w:rsidRPr="00566445">
        <w:rPr>
          <w:rFonts w:ascii="Tahoma" w:hAnsi="Tahoma"/>
          <w:b/>
          <w:bCs/>
          <w:sz w:val="24"/>
          <w:rtl/>
        </w:rPr>
        <w:t xml:space="preserve"> </w:t>
      </w:r>
      <w:r w:rsidRPr="00566445">
        <w:rPr>
          <w:rFonts w:ascii="Tahoma" w:hAnsi="Tahoma" w:hint="eastAsia"/>
          <w:b/>
          <w:bCs/>
          <w:sz w:val="24"/>
          <w:rtl/>
        </w:rPr>
        <w:t>ולצמוח</w:t>
      </w:r>
      <w:r w:rsidRPr="00566445">
        <w:rPr>
          <w:rFonts w:ascii="Tahoma" w:hAnsi="Tahoma"/>
          <w:b/>
          <w:bCs/>
          <w:sz w:val="24"/>
          <w:rtl/>
        </w:rPr>
        <w:t xml:space="preserve"> </w:t>
      </w:r>
      <w:r w:rsidRPr="00566445">
        <w:rPr>
          <w:rFonts w:ascii="Tahoma" w:hAnsi="Tahoma" w:hint="eastAsia"/>
          <w:b/>
          <w:bCs/>
          <w:sz w:val="24"/>
          <w:rtl/>
        </w:rPr>
        <w:t>בסיומו</w:t>
      </w:r>
      <w:r w:rsidRPr="00566445">
        <w:rPr>
          <w:rFonts w:ascii="Tahoma" w:hAnsi="Tahoma"/>
          <w:b/>
          <w:bCs/>
          <w:sz w:val="24"/>
          <w:rtl/>
        </w:rPr>
        <w:t>.</w:t>
      </w:r>
      <w:bookmarkStart w:id="3" w:name="_GoBack"/>
      <w:bookmarkEnd w:id="0"/>
      <w:bookmarkEnd w:id="2"/>
      <w:bookmarkEnd w:id="3"/>
    </w:p>
    <w:sectPr w:rsidSect="00B34261">
      <w:headerReference w:type="default" r:id="rId61"/>
      <w:footerReference w:type="default" r:id="rId62"/>
      <w:headerReference w:type="first" r:id="rId63"/>
      <w:footerReference w:type="first" r:id="rId64"/>
      <w:pgSz w:w="11906" w:h="16838"/>
      <w:pgMar w:top="1702" w:right="1841"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Narkisim">
    <w:altName w:val="Malgun Gothic Semilight"/>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BC1" w:rsidP="006B3750" w14:paraId="02E6E97A" w14:textId="77777777">
    <w:pPr>
      <w:jc w:val="right"/>
      <w:rPr>
        <w:rtl/>
      </w:rPr>
    </w:pPr>
    <w:r>
      <w:rPr>
        <w:rFonts w:hint="cs"/>
        <w:rtl/>
      </w:rPr>
      <w:t>שירותים פיננסיים, אשראי ויציבות של גופים פיננסיים במשבר הקורונה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BC1" w:rsidP="006B3750" w14:paraId="58C02D76" w14:textId="77777777">
    <w:pPr>
      <w:jc w:val="right"/>
      <w:rPr>
        <w:rtl/>
      </w:rPr>
    </w:pPr>
    <w:r>
      <w:rPr>
        <w:rFonts w:hint="cs"/>
        <w:rtl/>
      </w:rPr>
      <w:t>שירותים פיננסיים, אשראי ויציבות של גופים פיננסיים במשבר הקורונה</w:t>
    </w:r>
  </w:p>
  <w:p w:rsidR="00982BC1" w14:paraId="12053AFA" w14:textId="77777777">
    <w:pPr>
      <w:pStyle w:val="Footer"/>
    </w:pPr>
  </w:p>
  <w:p w:rsidR="00982BC1" w14:paraId="3228D5FB" w14:textId="07B3A789">
    <w:pPr>
      <w:pStyle w:val="Footer"/>
      <w:rPr>
        <w:rFonts w:hint="cs"/>
      </w:rPr>
    </w:pPr>
    <w:r>
      <w:rPr>
        <w:noProof/>
      </w:rPr>
      <mc:AlternateContent>
        <mc:Choice Requires="wps">
          <w:drawing>
            <wp:anchor distT="0" distB="0" distL="114300" distR="114300" simplePos="0" relativeHeight="251658240" behindDoc="0" locked="0" layoutInCell="1" allowOverlap="1">
              <wp:simplePos x="0" y="0"/>
              <wp:positionH relativeFrom="column">
                <wp:posOffset>875665</wp:posOffset>
              </wp:positionH>
              <wp:positionV relativeFrom="paragraph">
                <wp:posOffset>3810</wp:posOffset>
              </wp:positionV>
              <wp:extent cx="4445000" cy="457200"/>
              <wp:effectExtent l="0" t="0" r="12700" b="19050"/>
              <wp:wrapNone/>
              <wp:docPr id="86"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982BC1" w:rsidP="003B50D0"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982BC1" w:rsidRPr="009A3B5C" w:rsidP="003B50D0"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w:t>
                          </w:r>
                          <w:r>
                            <w:rPr>
                              <w:rFonts w:ascii="Narkisim" w:hAnsi="Narkisim" w:cs="Times New Roman"/>
                              <w:color w:val="0000FF"/>
                              <w:sz w:val="18"/>
                              <w:szCs w:val="18"/>
                              <w:rtl/>
                            </w:rPr>
                            <w:t xml:space="preserve"> 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0.3pt;margin-left:68.95pt;mso-wrap-distance-bottom:0;mso-wrap-distance-left:9pt;mso-wrap-distance-right:9pt;mso-wrap-distance-top:0;mso-wrap-style:square;position:absolute;visibility:visible;v-text-anchor:top;z-index:251659264" filled="f" strokecolor="blue" strokeweight="0.5pt">
              <v:textbox>
                <w:txbxContent>
                  <w:p w:rsidR="00982BC1" w:rsidP="003B50D0" w14:paraId="75E55D22"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982BC1" w:rsidRPr="009A3B5C" w:rsidP="003B50D0" w14:paraId="7B32E6F2"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w:t>
                    </w:r>
                    <w:r>
                      <w:rPr>
                        <w:rFonts w:ascii="Narkisim" w:hAnsi="Narkisim" w:cs="Times New Roman"/>
                        <w:color w:val="0000FF"/>
                        <w:sz w:val="18"/>
                        <w:szCs w:val="18"/>
                        <w:rtl/>
                      </w:rPr>
                      <w:t xml:space="preserve"> 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v:shape>
          </w:pict>
        </mc:Fallback>
      </mc:AlternateContent>
    </w:r>
  </w:p>
  <w:p w:rsidR="00982BC1" w14:paraId="0B6B3000" w14:textId="6E5D2D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A2234" w:rsidP="00C23CC9" w14:paraId="67BD171B" w14:textId="77777777">
      <w:pPr>
        <w:spacing w:line="240" w:lineRule="auto"/>
      </w:pPr>
      <w:r>
        <w:separator/>
      </w:r>
    </w:p>
  </w:footnote>
  <w:footnote w:type="continuationSeparator" w:id="1">
    <w:p w:rsidR="00AA2234" w:rsidP="00C23CC9" w14:paraId="2945CBA4" w14:textId="77777777">
      <w:pPr>
        <w:spacing w:line="240" w:lineRule="auto"/>
      </w:pPr>
      <w:r>
        <w:continuationSeparator/>
      </w:r>
    </w:p>
  </w:footnote>
  <w:footnote w:type="continuationNotice" w:id="2">
    <w:p w:rsidR="00AA2234" w14:paraId="67F988C7" w14:textId="77777777">
      <w:pPr>
        <w:spacing w:line="240" w:lineRule="auto"/>
      </w:pPr>
    </w:p>
  </w:footnote>
  <w:footnote w:id="3">
    <w:p w:rsidR="00982BC1" w:rsidP="00CB3C74" w14:paraId="774DA44B" w14:textId="77777777">
      <w:pPr>
        <w:pStyle w:val="FootnoteText"/>
        <w:spacing w:line="269" w:lineRule="auto"/>
      </w:pPr>
      <w:r>
        <w:rPr>
          <w:rStyle w:val="FootnoteReference"/>
        </w:rPr>
        <w:footnoteRef/>
      </w:r>
      <w:r>
        <w:rPr>
          <w:rtl/>
        </w:rPr>
        <w:t xml:space="preserve"> </w:t>
      </w:r>
      <w:r>
        <w:rPr>
          <w:rtl/>
        </w:rPr>
        <w:tab/>
      </w:r>
      <w:r>
        <w:rPr>
          <w:rFonts w:hint="cs"/>
          <w:rtl/>
        </w:rPr>
        <w:t>הודעה על מחלה מידבקת לפי פקודת בריאות העם, 1940, י"פ התש"ף 3378.</w:t>
      </w:r>
    </w:p>
  </w:footnote>
  <w:footnote w:id="4">
    <w:p w:rsidR="00982BC1" w:rsidP="00CB3C74" w14:paraId="78A4D125" w14:textId="77777777">
      <w:pPr>
        <w:pStyle w:val="FootnoteText"/>
        <w:spacing w:line="269" w:lineRule="auto"/>
        <w:rPr>
          <w:rtl/>
        </w:rPr>
      </w:pPr>
      <w:r>
        <w:rPr>
          <w:rStyle w:val="FootnoteReference"/>
        </w:rPr>
        <w:footnoteRef/>
      </w:r>
      <w:r>
        <w:rPr>
          <w:rtl/>
        </w:rPr>
        <w:t xml:space="preserve"> </w:t>
      </w:r>
      <w:r>
        <w:rPr>
          <w:rtl/>
        </w:rPr>
        <w:tab/>
      </w:r>
      <w:r>
        <w:rPr>
          <w:rFonts w:hint="cs"/>
          <w:rtl/>
        </w:rPr>
        <w:t xml:space="preserve">בנק ישראל, דוברות והסברה כלכלית - הודעה לעיתונות, "המערכת הבנקאית: הקלות רגולטוריות ושירותים לציבור על רקע התפשטות נגיף הקורונה" (15.3.20). </w:t>
      </w:r>
    </w:p>
  </w:footnote>
  <w:footnote w:id="5">
    <w:p w:rsidR="00982BC1" w:rsidP="00CB3C74" w14:paraId="65F87B0A" w14:textId="77777777">
      <w:pPr>
        <w:pStyle w:val="FootnoteText"/>
        <w:spacing w:line="269" w:lineRule="auto"/>
      </w:pPr>
      <w:r>
        <w:rPr>
          <w:rStyle w:val="FootnoteReference"/>
        </w:rPr>
        <w:footnoteRef/>
      </w:r>
      <w:r>
        <w:rPr>
          <w:rtl/>
        </w:rPr>
        <w:t xml:space="preserve"> </w:t>
      </w:r>
      <w:r>
        <w:rPr>
          <w:rtl/>
        </w:rPr>
        <w:tab/>
      </w:r>
      <w:r>
        <w:rPr>
          <w:rFonts w:hint="cs"/>
          <w:rtl/>
        </w:rPr>
        <w:t>המפקח על הבנקים, התאמות להוראות ניהול בנקאי תקין לצורך התמודדות עם משבר הקורונה (הוראת שעה), ניהול בנקאי תקין מספר 250.</w:t>
      </w:r>
    </w:p>
  </w:footnote>
  <w:footnote w:id="6">
    <w:p w:rsidR="00982BC1" w:rsidP="00CB3C74" w14:paraId="08951F8E" w14:textId="77777777">
      <w:pPr>
        <w:pStyle w:val="FootnoteText"/>
        <w:spacing w:line="269" w:lineRule="auto"/>
        <w:rPr>
          <w:rtl/>
        </w:rPr>
      </w:pPr>
      <w:r>
        <w:rPr>
          <w:rStyle w:val="FootnoteReference"/>
        </w:rPr>
        <w:footnoteRef/>
      </w:r>
      <w:r>
        <w:rPr>
          <w:rtl/>
        </w:rPr>
        <w:t xml:space="preserve"> </w:t>
      </w:r>
      <w:r>
        <w:rPr>
          <w:rtl/>
        </w:rPr>
        <w:tab/>
      </w:r>
      <w:r>
        <w:rPr>
          <w:rFonts w:hint="cs"/>
          <w:rtl/>
        </w:rPr>
        <w:t>ראו אתר בנק ישראל, הפיקוח על הבנקים, שאלות ותשובות ללקוחות הבנקים.</w:t>
      </w:r>
    </w:p>
    <w:p w:rsidR="00982BC1" w:rsidP="00CB3C74" w14:paraId="5BE833CC" w14:textId="77777777">
      <w:pPr>
        <w:pStyle w:val="FootnoteText"/>
        <w:spacing w:line="269" w:lineRule="auto"/>
        <w:ind w:firstLine="0"/>
      </w:pPr>
      <w:r w:rsidRPr="002A1653">
        <w:rPr>
          <w:sz w:val="18"/>
          <w:szCs w:val="18"/>
        </w:rPr>
        <w:t>https://www.boi.org.il/he/BankingSupervision/Pages/SupervisionQandACOVID19VIRUS.aspx</w:t>
      </w:r>
      <w:r>
        <w:tab/>
      </w:r>
      <w:r>
        <w:rPr>
          <w:rFonts w:hint="cs"/>
          <w:rtl/>
        </w:rPr>
        <w:t xml:space="preserve"> </w:t>
      </w:r>
    </w:p>
  </w:footnote>
  <w:footnote w:id="7">
    <w:p w:rsidR="00982BC1" w:rsidP="00CB3C74" w14:paraId="7617EF33"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המפקחת על הבנקים, "משבר נגיף הקורונה - הנחיות בנוגע למתן שירות פרונטאלי ללקוחות הבנקים" (15.3.20).</w:t>
      </w:r>
    </w:p>
  </w:footnote>
  <w:footnote w:id="8">
    <w:p w:rsidR="00982BC1" w:rsidP="00CB3C74" w14:paraId="0F406C6B"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דוברות והסברה כלכלית - הודעה לעיתונות, "הפיקוח על הבנקים מודיע: החל ממחר השירות הבנקאי הפרונטלי לציבור ירוכז בסניפים ייעודיים בפריסה ארצית. הכספומטים הבנקאים למשיכת מזומנים, המכשירים האוטומטיים ושאר השירותים הבנקאיים הישירים ימשיכו לעבוד כסדרם" (16.3.20).</w:t>
      </w:r>
    </w:p>
  </w:footnote>
  <w:footnote w:id="9">
    <w:p w:rsidR="00982BC1" w:rsidP="00CB3C74" w14:paraId="358C0622" w14:textId="77777777">
      <w:pPr>
        <w:pStyle w:val="FootnoteText"/>
        <w:spacing w:line="269" w:lineRule="auto"/>
      </w:pPr>
      <w:r>
        <w:rPr>
          <w:rStyle w:val="FootnoteReference"/>
        </w:rPr>
        <w:footnoteRef/>
      </w:r>
      <w:r>
        <w:rPr>
          <w:rtl/>
        </w:rPr>
        <w:t xml:space="preserve"> </w:t>
      </w:r>
      <w:r>
        <w:rPr>
          <w:rtl/>
        </w:rPr>
        <w:tab/>
      </w:r>
      <w:r>
        <w:rPr>
          <w:rFonts w:hint="cs"/>
          <w:rtl/>
        </w:rPr>
        <w:t>בנק ישראל, דוברות והסברה כלכלית - "הודעה לעיתונות, הפיקוח על הבנקים מודיע על סיוע ללקוחות במשיכת קצבאות הביטוח הלאומי", (22.3.20).</w:t>
      </w:r>
    </w:p>
  </w:footnote>
  <w:footnote w:id="10">
    <w:p w:rsidR="00982BC1" w:rsidP="00CB3C74" w14:paraId="57D42835"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דוברת והסברה כלכלית - "הודעה לעיתונות, על רקע משבר הקורונה תושהה הגבלת חשבונות בנק בשל שיקים ללא כיסוי החל מה-4 במרץ", (23.3.20).</w:t>
      </w:r>
    </w:p>
  </w:footnote>
  <w:footnote w:id="11">
    <w:p w:rsidR="00982BC1" w:rsidP="00CB3C74" w14:paraId="01175BA4" w14:textId="77777777">
      <w:pPr>
        <w:pStyle w:val="FootnoteText"/>
        <w:spacing w:line="269" w:lineRule="auto"/>
        <w:rPr>
          <w:rtl/>
        </w:rPr>
      </w:pPr>
      <w:r>
        <w:rPr>
          <w:rStyle w:val="FootnoteReference"/>
        </w:rPr>
        <w:footnoteRef/>
      </w:r>
      <w:r>
        <w:rPr>
          <w:rtl/>
        </w:rPr>
        <w:t xml:space="preserve"> </w:t>
      </w:r>
      <w:r>
        <w:rPr>
          <w:rtl/>
        </w:rPr>
        <w:tab/>
      </w:r>
      <w:r>
        <w:rPr>
          <w:rFonts w:hint="cs"/>
          <w:rtl/>
        </w:rPr>
        <w:t>רשות שוק ההון, עדכונים בנוגע להתנהלות בעקבות התפשטות הקורונה (23.3.20):</w:t>
      </w:r>
    </w:p>
    <w:p w:rsidR="00982BC1" w:rsidRPr="00242525" w:rsidP="00CB3C74" w14:paraId="782342A5" w14:textId="62803EE3">
      <w:pPr>
        <w:pStyle w:val="FootnoteText"/>
        <w:spacing w:line="269" w:lineRule="auto"/>
        <w:ind w:firstLine="0"/>
      </w:pPr>
      <w:hyperlink r:id="rId1" w:history="1">
        <w:r w:rsidRPr="00242525">
          <w:rPr>
            <w:rStyle w:val="Hyperlink"/>
          </w:rPr>
          <w:t>https://www.gov.il/he/departments/news/corona_updates</w:t>
        </w:r>
      </w:hyperlink>
      <w:r w:rsidRPr="00242525">
        <w:tab/>
      </w:r>
    </w:p>
  </w:footnote>
  <w:footnote w:id="12">
    <w:p w:rsidR="00982BC1" w:rsidP="00CB3C74" w14:paraId="7BC0AA40" w14:textId="77777777">
      <w:pPr>
        <w:pStyle w:val="FootnoteText"/>
        <w:spacing w:line="269" w:lineRule="auto"/>
        <w:rPr>
          <w:rtl/>
        </w:rPr>
      </w:pPr>
      <w:r>
        <w:rPr>
          <w:rStyle w:val="FootnoteReference"/>
        </w:rPr>
        <w:footnoteRef/>
      </w:r>
      <w:r>
        <w:rPr>
          <w:rtl/>
        </w:rPr>
        <w:t xml:space="preserve"> </w:t>
      </w:r>
      <w:r>
        <w:rPr>
          <w:rtl/>
        </w:rPr>
        <w:tab/>
      </w:r>
      <w:r>
        <w:rPr>
          <w:rFonts w:hint="cs"/>
          <w:rtl/>
        </w:rPr>
        <w:t>הנתונים לא מתייחסים ל"שוק האפור".</w:t>
      </w:r>
    </w:p>
  </w:footnote>
  <w:footnote w:id="13">
    <w:p w:rsidR="00982BC1" w:rsidP="00CB3C74" w14:paraId="29505DCD" w14:textId="77777777">
      <w:pPr>
        <w:pStyle w:val="FootnoteText"/>
        <w:spacing w:line="269" w:lineRule="auto"/>
        <w:rPr>
          <w:rtl/>
        </w:rPr>
      </w:pPr>
      <w:r>
        <w:rPr>
          <w:rStyle w:val="FootnoteReference"/>
        </w:rPr>
        <w:footnoteRef/>
      </w:r>
      <w:r>
        <w:rPr>
          <w:rtl/>
        </w:rPr>
        <w:t xml:space="preserve"> </w:t>
      </w:r>
      <w:r>
        <w:rPr>
          <w:rtl/>
        </w:rPr>
        <w:tab/>
      </w:r>
      <w:r>
        <w:rPr>
          <w:rFonts w:hint="cs"/>
          <w:rtl/>
        </w:rPr>
        <w:t>שיעור השינוי באחוזי התוצר המקומי הגולמי: 2016 - 4.0%, 2017 - 3.6%, 2018 - 3.4%, 2019 - 3.5%. ראו: בנק ישראל, דין וחשבון 2019 (מרץ 2020), עמ' 5.</w:t>
      </w:r>
    </w:p>
  </w:footnote>
  <w:footnote w:id="14">
    <w:p w:rsidR="00982BC1" w:rsidP="00CB3C74" w14:paraId="0B2B4164" w14:textId="77777777">
      <w:pPr>
        <w:pStyle w:val="FootnoteText"/>
        <w:spacing w:line="269" w:lineRule="auto"/>
      </w:pPr>
      <w:r>
        <w:rPr>
          <w:rStyle w:val="FootnoteReference"/>
        </w:rPr>
        <w:footnoteRef/>
      </w:r>
      <w:r>
        <w:rPr>
          <w:rtl/>
        </w:rPr>
        <w:t xml:space="preserve"> </w:t>
      </w:r>
      <w:r>
        <w:rPr>
          <w:rtl/>
        </w:rPr>
        <w:tab/>
      </w:r>
      <w:r>
        <w:rPr>
          <w:rFonts w:hint="cs"/>
          <w:rtl/>
        </w:rPr>
        <w:t>בנק ישראל, הפיקוח על הבנקים, "סקירת המערכת הבנקאית - מחצית ראשונה 2020" (16.11.20), עמ' 7.</w:t>
      </w:r>
    </w:p>
  </w:footnote>
  <w:footnote w:id="15">
    <w:p w:rsidR="00982BC1" w:rsidP="00CB3C74" w14:paraId="15784A7C" w14:textId="77777777">
      <w:pPr>
        <w:pStyle w:val="FootnoteText"/>
        <w:spacing w:line="269" w:lineRule="auto"/>
        <w:rPr>
          <w:rtl/>
        </w:rPr>
      </w:pPr>
      <w:r>
        <w:rPr>
          <w:rStyle w:val="FootnoteReference"/>
        </w:rPr>
        <w:footnoteRef/>
      </w:r>
      <w:r>
        <w:rPr>
          <w:rtl/>
        </w:rPr>
        <w:t xml:space="preserve"> </w:t>
      </w:r>
      <w:r>
        <w:rPr>
          <w:rtl/>
        </w:rPr>
        <w:tab/>
      </w:r>
      <w:r>
        <w:rPr>
          <w:rFonts w:hint="cs"/>
          <w:rtl/>
        </w:rPr>
        <w:t>ראו מבקר המדינה, התמודדות מדינת ישראל עם משבר הקורונה - דוח ביניים מיוחד, "היבטים בפעילות רשות המיסים בתקופת משבר הקורונה" (2020), עמ' 42 - 43 (להלן - דוח הביניים).</w:t>
      </w:r>
    </w:p>
  </w:footnote>
  <w:footnote w:id="16">
    <w:p w:rsidR="00982BC1" w:rsidP="00CB3C74" w14:paraId="42CE3084" w14:textId="77777777">
      <w:pPr>
        <w:pStyle w:val="FootnoteText"/>
        <w:spacing w:line="269" w:lineRule="auto"/>
      </w:pPr>
      <w:r>
        <w:rPr>
          <w:rStyle w:val="FootnoteReference"/>
        </w:rPr>
        <w:footnoteRef/>
      </w:r>
      <w:r>
        <w:rPr>
          <w:rtl/>
        </w:rPr>
        <w:t xml:space="preserve"> </w:t>
      </w:r>
      <w:r>
        <w:rPr>
          <w:rtl/>
        </w:rPr>
        <w:tab/>
      </w:r>
      <w:r>
        <w:rPr>
          <w:rFonts w:hint="cs"/>
          <w:rtl/>
        </w:rPr>
        <w:t>בנק ישראל, הפיקוח על הבנקים, "סקירת המערכת הבנקאית - מחצית ראשונה 2020" (16.11.20), עמ' 7.</w:t>
      </w:r>
    </w:p>
  </w:footnote>
  <w:footnote w:id="17">
    <w:p w:rsidR="00982BC1" w:rsidP="00CB3C74" w14:paraId="7B281E01" w14:textId="77777777">
      <w:pPr>
        <w:pStyle w:val="FootnoteText"/>
        <w:spacing w:line="269" w:lineRule="auto"/>
      </w:pPr>
      <w:r>
        <w:rPr>
          <w:rStyle w:val="FootnoteReference"/>
        </w:rPr>
        <w:footnoteRef/>
      </w:r>
      <w:r>
        <w:rPr>
          <w:rtl/>
        </w:rPr>
        <w:t xml:space="preserve"> </w:t>
      </w:r>
      <w:r>
        <w:rPr>
          <w:rtl/>
        </w:rPr>
        <w:tab/>
      </w:r>
      <w:r>
        <w:rPr>
          <w:rFonts w:hint="cs"/>
          <w:rtl/>
        </w:rPr>
        <w:t>בנק ישראל, הפיקוח על הבנקים - אגף מדיניות והסדרה, "התאמות להוראות ניהול בנקאי תקין לצורך התמודדות עם משבר הקורונה (הוראת שעה)", ניהול בנקאי תקין הוראה 250 (18.3.20).</w:t>
      </w:r>
    </w:p>
  </w:footnote>
  <w:footnote w:id="18">
    <w:p w:rsidR="00982BC1" w:rsidP="00CB3C74" w14:paraId="4D13F556" w14:textId="77777777">
      <w:pPr>
        <w:pStyle w:val="FootnoteText"/>
        <w:spacing w:line="269" w:lineRule="auto"/>
      </w:pPr>
      <w:r>
        <w:rPr>
          <w:rStyle w:val="FootnoteReference"/>
        </w:rPr>
        <w:footnoteRef/>
      </w:r>
      <w:r>
        <w:rPr>
          <w:rtl/>
        </w:rPr>
        <w:t xml:space="preserve"> </w:t>
      </w:r>
      <w:r>
        <w:rPr>
          <w:rtl/>
        </w:rPr>
        <w:tab/>
      </w:r>
      <w:r>
        <w:rPr>
          <w:rFonts w:hint="cs"/>
          <w:rtl/>
        </w:rPr>
        <w:t>בנק ישראל, דוברות והסברה - הודעה לעיתונות, "הקלות במתן הלוואות לדיור לנוכח משבר הקורונה" (21.4.20).</w:t>
      </w:r>
    </w:p>
  </w:footnote>
  <w:footnote w:id="19">
    <w:p w:rsidR="00982BC1" w:rsidP="00CB3C74" w14:paraId="11B7D084" w14:textId="77777777">
      <w:pPr>
        <w:pStyle w:val="FootnoteText"/>
        <w:spacing w:line="269" w:lineRule="auto"/>
        <w:rPr>
          <w:rtl/>
        </w:rPr>
      </w:pPr>
      <w:r>
        <w:rPr>
          <w:rStyle w:val="FootnoteReference"/>
        </w:rPr>
        <w:footnoteRef/>
      </w:r>
      <w:r>
        <w:rPr>
          <w:rtl/>
        </w:rPr>
        <w:t xml:space="preserve"> </w:t>
      </w:r>
      <w:r>
        <w:rPr>
          <w:rtl/>
        </w:rPr>
        <w:tab/>
      </w:r>
      <w:r>
        <w:rPr>
          <w:rFonts w:hint="cs"/>
          <w:rtl/>
        </w:rPr>
        <w:t>חברים בקרן שהפרישו או מפרישים כספים בצורה שוטפת.</w:t>
      </w:r>
    </w:p>
  </w:footnote>
  <w:footnote w:id="20">
    <w:p w:rsidR="00982BC1" w:rsidP="00CB3C74" w14:paraId="53C71D7C" w14:textId="77777777">
      <w:pPr>
        <w:pStyle w:val="FootnoteText"/>
        <w:spacing w:line="269" w:lineRule="auto"/>
      </w:pPr>
      <w:r>
        <w:rPr>
          <w:rStyle w:val="FootnoteReference"/>
        </w:rPr>
        <w:footnoteRef/>
      </w:r>
      <w:r>
        <w:rPr>
          <w:rtl/>
        </w:rPr>
        <w:t xml:space="preserve"> </w:t>
      </w:r>
      <w:r>
        <w:rPr>
          <w:rtl/>
        </w:rPr>
        <w:tab/>
      </w:r>
      <w:r>
        <w:rPr>
          <w:rFonts w:hint="cs"/>
          <w:rtl/>
        </w:rPr>
        <w:t xml:space="preserve">פוטנציאל העמדת האשראי מתייחס לקרנות ההשתלמות ולקופות הגמל שאינן פנסיוניות ביחס לחסכונות הצבורים בהן, בהתקיים שתי מגבלות: (א) מגבלה ברמת המסלול - שיעור ההלוואות לעמיתים לא יעלה על 10% מסך נכסי המסלול; (ב) מגבלה ברמת ההלוואה שחוסך מבקש ליטול </w:t>
      </w:r>
      <w:r>
        <w:rPr>
          <w:rtl/>
        </w:rPr>
        <w:t>–</w:t>
      </w:r>
      <w:r>
        <w:rPr>
          <w:rFonts w:hint="cs"/>
          <w:rtl/>
        </w:rPr>
        <w:t xml:space="preserve"> אם מדובר בכספים נזילים (קרן השתלמות או קופת גמל להשקעה) - לא תעלה על 80% מהסכום העומד לזכות העמית, ואם מדובר בכספים שאינם נזילים בקרן השתלמות, לא תעלה על 50% מהסכום העומד לזכות העמית. פוטנציאל העמדת האשראי לפי חישוב רשות שוק ההון מתייחס למגבלה ברמת המסלול בלבד.</w:t>
      </w:r>
    </w:p>
  </w:footnote>
  <w:footnote w:id="21">
    <w:p w:rsidR="00982BC1" w:rsidP="00CB3C74" w14:paraId="18C30D78" w14:textId="77777777">
      <w:pPr>
        <w:pStyle w:val="FootnoteText"/>
        <w:spacing w:line="269" w:lineRule="auto"/>
      </w:pPr>
      <w:r>
        <w:rPr>
          <w:rStyle w:val="FootnoteReference"/>
        </w:rPr>
        <w:footnoteRef/>
      </w:r>
      <w:r>
        <w:rPr>
          <w:rtl/>
        </w:rPr>
        <w:t xml:space="preserve"> </w:t>
      </w:r>
      <w:r>
        <w:rPr>
          <w:rtl/>
        </w:rPr>
        <w:tab/>
      </w:r>
      <w:r>
        <w:rPr>
          <w:rFonts w:hint="cs"/>
          <w:rtl/>
        </w:rPr>
        <w:t>בנק ישראל, דוברות והסברה - הודעה לעיתונות, "נגיד בנק ישראל והמפקחת על הבנקים קיימו דיון מיוחד עם ראשי הבנקים על משבר הקורונה" (9.3.20).</w:t>
      </w:r>
    </w:p>
  </w:footnote>
  <w:footnote w:id="22">
    <w:p w:rsidR="00982BC1" w:rsidP="00CB3C74" w14:paraId="0DE86BE5" w14:textId="38D94404">
      <w:pPr>
        <w:pStyle w:val="FootnoteText"/>
        <w:spacing w:line="269" w:lineRule="auto"/>
        <w:rPr>
          <w:rtl/>
        </w:rPr>
      </w:pPr>
      <w:r>
        <w:rPr>
          <w:rStyle w:val="FootnoteReference"/>
        </w:rPr>
        <w:footnoteRef/>
      </w:r>
      <w:r>
        <w:rPr>
          <w:rtl/>
        </w:rPr>
        <w:t xml:space="preserve"> </w:t>
      </w:r>
      <w:r>
        <w:rPr>
          <w:rtl/>
        </w:rPr>
        <w:tab/>
      </w:r>
      <w:r>
        <w:rPr>
          <w:rFonts w:hint="cs"/>
          <w:rtl/>
        </w:rPr>
        <w:t>דוח הביניים, עמ' 29.</w:t>
      </w:r>
    </w:p>
  </w:footnote>
  <w:footnote w:id="23">
    <w:p w:rsidR="00982BC1" w:rsidP="00CB3C74" w14:paraId="287FE59E" w14:textId="77777777">
      <w:pPr>
        <w:pStyle w:val="FootnoteText"/>
        <w:spacing w:line="269" w:lineRule="auto"/>
      </w:pPr>
      <w:r>
        <w:rPr>
          <w:rStyle w:val="FootnoteReference"/>
        </w:rPr>
        <w:footnoteRef/>
      </w:r>
      <w:r>
        <w:rPr>
          <w:rtl/>
        </w:rPr>
        <w:t xml:space="preserve"> </w:t>
      </w:r>
      <w:r>
        <w:rPr>
          <w:rtl/>
        </w:rPr>
        <w:tab/>
      </w:r>
      <w:r>
        <w:rPr>
          <w:rFonts w:hint="cs"/>
          <w:rtl/>
        </w:rPr>
        <w:t>שם, עמ' 52 - 58.</w:t>
      </w:r>
    </w:p>
  </w:footnote>
  <w:footnote w:id="24">
    <w:p w:rsidR="00982BC1" w:rsidP="00CB3C74" w14:paraId="4D98A56E"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דין וחשבון 2020 (מרץ 2021), עמ' 111.</w:t>
      </w:r>
    </w:p>
  </w:footnote>
  <w:footnote w:id="25">
    <w:p w:rsidR="00982BC1" w:rsidP="00CB3C74" w14:paraId="740F4E4A" w14:textId="77777777">
      <w:pPr>
        <w:pStyle w:val="FootnoteText"/>
        <w:spacing w:line="269" w:lineRule="auto"/>
      </w:pPr>
      <w:r>
        <w:rPr>
          <w:rStyle w:val="FootnoteReference"/>
        </w:rPr>
        <w:footnoteRef/>
      </w:r>
      <w:r>
        <w:rPr>
          <w:rtl/>
        </w:rPr>
        <w:t xml:space="preserve"> </w:t>
      </w:r>
      <w:r>
        <w:rPr>
          <w:rtl/>
        </w:rPr>
        <w:tab/>
      </w:r>
      <w:r w:rsidRPr="007E703B">
        <w:rPr>
          <w:rFonts w:hint="eastAsia"/>
          <w:rtl/>
        </w:rPr>
        <w:t>רשות</w:t>
      </w:r>
      <w:r w:rsidRPr="007E703B">
        <w:rPr>
          <w:rtl/>
        </w:rPr>
        <w:t xml:space="preserve"> </w:t>
      </w:r>
      <w:r w:rsidRPr="007E703B">
        <w:rPr>
          <w:rFonts w:hint="eastAsia"/>
          <w:rtl/>
        </w:rPr>
        <w:t>ה</w:t>
      </w:r>
      <w:r>
        <w:rPr>
          <w:rFonts w:hint="eastAsia"/>
          <w:rtl/>
        </w:rPr>
        <w:t>מיסים</w:t>
      </w:r>
      <w:r w:rsidRPr="007E703B">
        <w:rPr>
          <w:rtl/>
        </w:rPr>
        <w:t xml:space="preserve">, </w:t>
      </w:r>
      <w:r w:rsidRPr="007E703B">
        <w:rPr>
          <w:rFonts w:hint="eastAsia"/>
          <w:rtl/>
        </w:rPr>
        <w:t>החטיבה</w:t>
      </w:r>
      <w:r w:rsidRPr="007E703B">
        <w:rPr>
          <w:rtl/>
        </w:rPr>
        <w:t xml:space="preserve"> </w:t>
      </w:r>
      <w:r w:rsidRPr="007E703B">
        <w:rPr>
          <w:rFonts w:hint="eastAsia"/>
          <w:rtl/>
        </w:rPr>
        <w:t>לתכנון</w:t>
      </w:r>
      <w:r w:rsidRPr="007E703B">
        <w:rPr>
          <w:rtl/>
        </w:rPr>
        <w:t xml:space="preserve"> </w:t>
      </w:r>
      <w:r w:rsidRPr="007E703B">
        <w:rPr>
          <w:rFonts w:hint="eastAsia"/>
          <w:rtl/>
        </w:rPr>
        <w:t>ולכלכלה</w:t>
      </w:r>
      <w:r w:rsidRPr="007E703B">
        <w:rPr>
          <w:rtl/>
        </w:rPr>
        <w:t xml:space="preserve">, "ניתוח </w:t>
      </w:r>
      <w:r w:rsidRPr="007E703B">
        <w:rPr>
          <w:rFonts w:hint="eastAsia"/>
          <w:rtl/>
        </w:rPr>
        <w:t>נתוני</w:t>
      </w:r>
      <w:r w:rsidRPr="007E703B">
        <w:rPr>
          <w:rtl/>
        </w:rPr>
        <w:t xml:space="preserve"> </w:t>
      </w:r>
      <w:r w:rsidRPr="007E703B">
        <w:rPr>
          <w:rFonts w:hint="eastAsia"/>
          <w:rtl/>
        </w:rPr>
        <w:t>מע</w:t>
      </w:r>
      <w:r w:rsidRPr="007E703B">
        <w:rPr>
          <w:rtl/>
        </w:rPr>
        <w:t xml:space="preserve">"מ </w:t>
      </w:r>
      <w:r w:rsidRPr="007E703B">
        <w:rPr>
          <w:rFonts w:hint="eastAsia"/>
          <w:rtl/>
        </w:rPr>
        <w:t>על</w:t>
      </w:r>
      <w:r w:rsidRPr="007E703B">
        <w:rPr>
          <w:rtl/>
        </w:rPr>
        <w:t xml:space="preserve"> </w:t>
      </w:r>
      <w:r w:rsidRPr="007E703B">
        <w:rPr>
          <w:rFonts w:hint="eastAsia"/>
          <w:rtl/>
        </w:rPr>
        <w:t>סמך</w:t>
      </w:r>
      <w:r w:rsidRPr="007E703B">
        <w:rPr>
          <w:rtl/>
        </w:rPr>
        <w:t xml:space="preserve"> </w:t>
      </w:r>
      <w:r w:rsidRPr="007E703B">
        <w:rPr>
          <w:rFonts w:hint="eastAsia"/>
          <w:rtl/>
        </w:rPr>
        <w:t>דיווחי</w:t>
      </w:r>
      <w:r w:rsidRPr="007E703B">
        <w:rPr>
          <w:rtl/>
        </w:rPr>
        <w:t xml:space="preserve"> </w:t>
      </w:r>
      <w:r w:rsidRPr="007E703B">
        <w:rPr>
          <w:rFonts w:hint="eastAsia"/>
          <w:rtl/>
        </w:rPr>
        <w:t>העוסקים</w:t>
      </w:r>
      <w:r w:rsidRPr="007E703B">
        <w:rPr>
          <w:rtl/>
        </w:rPr>
        <w:t xml:space="preserve"> </w:t>
      </w:r>
      <w:r w:rsidRPr="007E703B">
        <w:rPr>
          <w:rFonts w:hint="eastAsia"/>
          <w:rtl/>
        </w:rPr>
        <w:t>לחודשים</w:t>
      </w:r>
      <w:r w:rsidRPr="007E703B">
        <w:rPr>
          <w:rtl/>
        </w:rPr>
        <w:t xml:space="preserve"> </w:t>
      </w:r>
      <w:r w:rsidRPr="007E703B">
        <w:rPr>
          <w:rFonts w:hint="eastAsia"/>
          <w:rtl/>
        </w:rPr>
        <w:t>מאי</w:t>
      </w:r>
      <w:r w:rsidRPr="007E703B">
        <w:rPr>
          <w:rtl/>
        </w:rPr>
        <w:t>-יוני"</w:t>
      </w:r>
      <w:r>
        <w:rPr>
          <w:rFonts w:hint="cs"/>
          <w:rtl/>
        </w:rPr>
        <w:t xml:space="preserve"> (9.8.20).</w:t>
      </w:r>
    </w:p>
  </w:footnote>
  <w:footnote w:id="26">
    <w:p w:rsidR="00982BC1" w:rsidP="00CB3C74" w14:paraId="0A3B6B37" w14:textId="77777777">
      <w:pPr>
        <w:pStyle w:val="FootnoteText"/>
        <w:spacing w:line="269" w:lineRule="auto"/>
      </w:pPr>
      <w:r>
        <w:rPr>
          <w:rStyle w:val="FootnoteReference"/>
        </w:rPr>
        <w:footnoteRef/>
      </w:r>
      <w:r>
        <w:rPr>
          <w:rtl/>
        </w:rPr>
        <w:t xml:space="preserve"> </w:t>
      </w:r>
      <w:r>
        <w:rPr>
          <w:rtl/>
        </w:rPr>
        <w:tab/>
      </w:r>
      <w:r>
        <w:rPr>
          <w:rFonts w:hint="cs"/>
          <w:rtl/>
        </w:rPr>
        <w:t>דוח הביניים, עמ' 58.</w:t>
      </w:r>
    </w:p>
  </w:footnote>
  <w:footnote w:id="27">
    <w:p w:rsidR="00982BC1" w:rsidP="00CB3C74" w14:paraId="248CDA0D" w14:textId="77777777">
      <w:pPr>
        <w:pStyle w:val="FootnoteText"/>
        <w:spacing w:line="269" w:lineRule="auto"/>
        <w:rPr>
          <w:rtl/>
        </w:rPr>
      </w:pPr>
      <w:r>
        <w:rPr>
          <w:rStyle w:val="FootnoteReference"/>
        </w:rPr>
        <w:footnoteRef/>
      </w:r>
      <w:r>
        <w:rPr>
          <w:rtl/>
        </w:rPr>
        <w:t xml:space="preserve"> </w:t>
      </w:r>
      <w:r>
        <w:rPr>
          <w:rtl/>
        </w:rPr>
        <w:tab/>
      </w:r>
      <w:r>
        <w:rPr>
          <w:rFonts w:hint="cs"/>
          <w:rtl/>
        </w:rPr>
        <w:t>ראו הרחבה בתת-פרק: קרנות להלוואות בערבות המדינה.</w:t>
      </w:r>
    </w:p>
  </w:footnote>
  <w:footnote w:id="28">
    <w:p w:rsidR="00982BC1" w:rsidP="00CB3C74" w14:paraId="4A95D99F" w14:textId="77777777">
      <w:pPr>
        <w:pStyle w:val="FootnoteText"/>
        <w:spacing w:line="269" w:lineRule="auto"/>
        <w:rPr>
          <w:rtl/>
        </w:rPr>
      </w:pPr>
      <w:r>
        <w:rPr>
          <w:rStyle w:val="FootnoteReference"/>
        </w:rPr>
        <w:footnoteRef/>
      </w:r>
      <w:r>
        <w:rPr>
          <w:rtl/>
        </w:rPr>
        <w:t xml:space="preserve"> </w:t>
      </w:r>
      <w:r>
        <w:rPr>
          <w:rtl/>
        </w:rPr>
        <w:tab/>
      </w:r>
      <w:r>
        <w:rPr>
          <w:rFonts w:hint="cs"/>
          <w:rtl/>
        </w:rPr>
        <w:t>הכוונה לרמת הסיכון המצטברת ולסוגי הסיכון שהמוסד הפיננסי מוכן ליטול כדי לממש את תוכניותיו ואת יעדיו והעסקיים.</w:t>
      </w:r>
    </w:p>
  </w:footnote>
  <w:footnote w:id="29">
    <w:p w:rsidR="00982BC1" w:rsidP="00CB3C74" w14:paraId="71CA8BBD" w14:textId="77777777">
      <w:pPr>
        <w:pStyle w:val="FootnoteText"/>
        <w:spacing w:line="269" w:lineRule="auto"/>
      </w:pPr>
      <w:r>
        <w:rPr>
          <w:rStyle w:val="FootnoteReference"/>
        </w:rPr>
        <w:footnoteRef/>
      </w:r>
      <w:r>
        <w:rPr>
          <w:rtl/>
        </w:rPr>
        <w:t xml:space="preserve"> </w:t>
      </w:r>
      <w:r>
        <w:rPr>
          <w:rtl/>
        </w:rPr>
        <w:tab/>
      </w:r>
      <w:r>
        <w:rPr>
          <w:rFonts w:hint="cs"/>
          <w:rtl/>
        </w:rPr>
        <w:t>מענקים הנכללים בנדבך "המשכיות עסקים" ללא מענקי עידוד תעסוקה ומענקים לשימור עובדים בעקבות סגר החגים.</w:t>
      </w:r>
    </w:p>
  </w:footnote>
  <w:footnote w:id="30">
    <w:p w:rsidR="00982BC1" w:rsidP="00CB3C74" w14:paraId="025FCFD8" w14:textId="77777777">
      <w:pPr>
        <w:pStyle w:val="FootnoteText"/>
        <w:spacing w:line="269" w:lineRule="auto"/>
      </w:pPr>
      <w:r>
        <w:rPr>
          <w:rStyle w:val="FootnoteReference"/>
        </w:rPr>
        <w:footnoteRef/>
      </w:r>
      <w:r>
        <w:rPr>
          <w:rtl/>
        </w:rPr>
        <w:t xml:space="preserve"> </w:t>
      </w:r>
      <w:r>
        <w:rPr>
          <w:rtl/>
        </w:rPr>
        <w:tab/>
      </w:r>
      <w:r>
        <w:rPr>
          <w:rFonts w:hint="cs"/>
          <w:rtl/>
        </w:rPr>
        <w:t>מענקים הנכללים בנדבך "המשכיות עסקים" ללא מענקי עידוד תעסוקה ומענקים לשימור עובדים בעקבות סגר החגים.</w:t>
      </w:r>
    </w:p>
  </w:footnote>
  <w:footnote w:id="31">
    <w:p w:rsidR="00982BC1" w:rsidP="00CB3C74" w14:paraId="30B54073" w14:textId="77777777">
      <w:pPr>
        <w:pStyle w:val="FootnoteText"/>
        <w:spacing w:line="269" w:lineRule="auto"/>
      </w:pPr>
      <w:r>
        <w:rPr>
          <w:rStyle w:val="FootnoteReference"/>
        </w:rPr>
        <w:footnoteRef/>
      </w:r>
      <w:r>
        <w:rPr>
          <w:rtl/>
        </w:rPr>
        <w:t xml:space="preserve"> </w:t>
      </w:r>
      <w:r>
        <w:rPr>
          <w:rtl/>
        </w:rPr>
        <w:tab/>
      </w:r>
      <w:r>
        <w:rPr>
          <w:rFonts w:hint="cs"/>
          <w:rtl/>
        </w:rPr>
        <w:t xml:space="preserve">קרן למתן הלוואות בערבות המדינה, לעסקים בעלי יכולת החזר ופוטנציאל רווחיות שמתקשים להעמיד ערבויות להלוואה בהתאם לדרישות הגופים </w:t>
      </w:r>
      <w:r w:rsidRPr="00917DE0">
        <w:rPr>
          <w:rFonts w:hint="cs"/>
          <w:rtl/>
        </w:rPr>
        <w:t xml:space="preserve">המממנים. </w:t>
      </w:r>
      <w:r w:rsidRPr="00917DE0">
        <w:rPr>
          <w:rFonts w:hint="eastAsia"/>
          <w:rtl/>
        </w:rPr>
        <w:t>האשראי</w:t>
      </w:r>
      <w:r w:rsidRPr="00917DE0">
        <w:rPr>
          <w:rtl/>
        </w:rPr>
        <w:t xml:space="preserve"> בקרן ניתן </w:t>
      </w:r>
      <w:r w:rsidRPr="00917DE0">
        <w:rPr>
          <w:rFonts w:hint="cs"/>
          <w:rtl/>
        </w:rPr>
        <w:t>ב</w:t>
      </w:r>
      <w:r w:rsidRPr="00917DE0">
        <w:rPr>
          <w:rFonts w:hint="eastAsia"/>
          <w:rtl/>
        </w:rPr>
        <w:t>ידי</w:t>
      </w:r>
      <w:r w:rsidRPr="00917DE0">
        <w:rPr>
          <w:rtl/>
        </w:rPr>
        <w:t xml:space="preserve"> </w:t>
      </w:r>
      <w:r w:rsidRPr="00917DE0">
        <w:rPr>
          <w:rFonts w:hint="eastAsia"/>
          <w:rtl/>
        </w:rPr>
        <w:t>ארבע</w:t>
      </w:r>
      <w:r w:rsidRPr="00917DE0">
        <w:rPr>
          <w:rtl/>
        </w:rPr>
        <w:t xml:space="preserve"> </w:t>
      </w:r>
      <w:r w:rsidRPr="00917DE0">
        <w:rPr>
          <w:rFonts w:hint="eastAsia"/>
          <w:rtl/>
        </w:rPr>
        <w:t>שותפויות</w:t>
      </w:r>
      <w:r w:rsidRPr="00917DE0">
        <w:rPr>
          <w:rtl/>
        </w:rPr>
        <w:t xml:space="preserve"> </w:t>
      </w:r>
      <w:r w:rsidRPr="00917DE0">
        <w:rPr>
          <w:rFonts w:hint="eastAsia"/>
          <w:rtl/>
        </w:rPr>
        <w:t>של</w:t>
      </w:r>
      <w:r w:rsidRPr="00917DE0">
        <w:rPr>
          <w:rtl/>
        </w:rPr>
        <w:t xml:space="preserve"> </w:t>
      </w:r>
      <w:r w:rsidRPr="00917DE0">
        <w:rPr>
          <w:rFonts w:hint="eastAsia"/>
          <w:rtl/>
        </w:rPr>
        <w:t>בנקים</w:t>
      </w:r>
      <w:r w:rsidRPr="00917DE0">
        <w:rPr>
          <w:rtl/>
        </w:rPr>
        <w:t xml:space="preserve"> </w:t>
      </w:r>
      <w:r w:rsidRPr="00917DE0">
        <w:rPr>
          <w:rFonts w:hint="eastAsia"/>
          <w:rtl/>
        </w:rPr>
        <w:t>וגופים</w:t>
      </w:r>
      <w:r w:rsidRPr="00917DE0">
        <w:rPr>
          <w:rtl/>
        </w:rPr>
        <w:t xml:space="preserve"> </w:t>
      </w:r>
      <w:r w:rsidRPr="00917DE0">
        <w:rPr>
          <w:rFonts w:hint="eastAsia"/>
          <w:rtl/>
        </w:rPr>
        <w:t>מוסדיים</w:t>
      </w:r>
      <w:r w:rsidRPr="00917DE0">
        <w:rPr>
          <w:rFonts w:hint="cs"/>
          <w:rtl/>
        </w:rPr>
        <w:t>. בשנת</w:t>
      </w:r>
      <w:r>
        <w:rPr>
          <w:rFonts w:hint="cs"/>
          <w:rtl/>
        </w:rPr>
        <w:t xml:space="preserve"> 2018 אושרו הלוואות בקרן ל-4,157 עסקים בסכום כולל של 1.8 מיליארד ש"ח ובשנת 2019 אושרו הלוואות בקרן ל-4,179 עסקים בסכום כולל של 2.1 מיליארד ש"ח.</w:t>
      </w:r>
    </w:p>
  </w:footnote>
  <w:footnote w:id="32">
    <w:p w:rsidR="00982BC1" w:rsidP="00CB3C74" w14:paraId="34765159" w14:textId="77777777">
      <w:pPr>
        <w:pStyle w:val="FootnoteText"/>
        <w:spacing w:line="269" w:lineRule="auto"/>
        <w:rPr>
          <w:rtl/>
        </w:rPr>
      </w:pPr>
      <w:r>
        <w:rPr>
          <w:rStyle w:val="FootnoteReference"/>
        </w:rPr>
        <w:footnoteRef/>
      </w:r>
      <w:r>
        <w:rPr>
          <w:rtl/>
        </w:rPr>
        <w:t xml:space="preserve"> </w:t>
      </w:r>
      <w:r>
        <w:rPr>
          <w:rtl/>
        </w:rPr>
        <w:tab/>
      </w:r>
      <w:r>
        <w:rPr>
          <w:rFonts w:hint="cs"/>
          <w:rtl/>
        </w:rPr>
        <w:t>משבר הסאב-פריים (</w:t>
      </w:r>
      <w:r>
        <w:rPr>
          <w:rFonts w:hint="cs"/>
        </w:rPr>
        <w:t>S</w:t>
      </w:r>
      <w:r>
        <w:t>ubprime crisis</w:t>
      </w:r>
      <w:r>
        <w:rPr>
          <w:rFonts w:hint="cs"/>
          <w:rtl/>
        </w:rPr>
        <w:t>) שהתגלגל לידי משבר עולמי בספטמבר 2008.</w:t>
      </w:r>
    </w:p>
  </w:footnote>
  <w:footnote w:id="33">
    <w:p w:rsidR="00982BC1" w:rsidP="00CB3C74" w14:paraId="3A1B9E72" w14:textId="77777777">
      <w:pPr>
        <w:pStyle w:val="FootnoteText"/>
        <w:spacing w:line="269" w:lineRule="auto"/>
      </w:pPr>
      <w:r>
        <w:rPr>
          <w:rStyle w:val="FootnoteReference"/>
        </w:rPr>
        <w:footnoteRef/>
      </w:r>
      <w:r>
        <w:rPr>
          <w:rtl/>
        </w:rPr>
        <w:t xml:space="preserve"> </w:t>
      </w:r>
      <w:r>
        <w:rPr>
          <w:rtl/>
        </w:rPr>
        <w:tab/>
      </w:r>
      <w:r>
        <w:rPr>
          <w:rFonts w:hint="cs"/>
          <w:rtl/>
        </w:rPr>
        <w:t>רשות המיסים, החטיבה לתכנון ולכלכלה, "ניתוח נתוני מע"מ על סמך דיווחי העוסקים לחודשים מאי-יוני" (9.8.20).</w:t>
      </w:r>
    </w:p>
  </w:footnote>
  <w:footnote w:id="34">
    <w:p w:rsidR="00982BC1" w:rsidP="00CB3C74" w14:paraId="509A5075" w14:textId="77777777">
      <w:pPr>
        <w:pStyle w:val="FootnoteText"/>
        <w:spacing w:line="269" w:lineRule="auto"/>
        <w:rPr>
          <w:rtl/>
        </w:rPr>
      </w:pPr>
      <w:r>
        <w:rPr>
          <w:rStyle w:val="FootnoteReference"/>
        </w:rPr>
        <w:footnoteRef/>
      </w:r>
      <w:r>
        <w:rPr>
          <w:rtl/>
        </w:rPr>
        <w:t xml:space="preserve"> </w:t>
      </w:r>
      <w:r>
        <w:rPr>
          <w:rtl/>
        </w:rPr>
        <w:tab/>
      </w:r>
      <w:r>
        <w:rPr>
          <w:rFonts w:hint="cs"/>
          <w:rtl/>
        </w:rPr>
        <w:t>בקשות סווגו למסלול זה טרם הקמתו.</w:t>
      </w:r>
    </w:p>
  </w:footnote>
  <w:footnote w:id="35">
    <w:p w:rsidR="00982BC1" w:rsidP="00CB3C74" w14:paraId="4B0D7890" w14:textId="77777777">
      <w:pPr>
        <w:pStyle w:val="FootnoteText"/>
        <w:spacing w:line="269" w:lineRule="auto"/>
        <w:rPr>
          <w:rtl/>
        </w:rPr>
      </w:pPr>
      <w:r>
        <w:rPr>
          <w:rStyle w:val="FootnoteReference"/>
        </w:rPr>
        <w:footnoteRef/>
      </w:r>
      <w:r>
        <w:rPr>
          <w:rtl/>
        </w:rPr>
        <w:t xml:space="preserve"> </w:t>
      </w:r>
      <w:r>
        <w:rPr>
          <w:rtl/>
        </w:rPr>
        <w:tab/>
      </w:r>
      <w:r>
        <w:rPr>
          <w:rFonts w:hint="cs"/>
          <w:rtl/>
        </w:rPr>
        <w:t>הכנסת, מרכז המחקר והמידע, הגדרת עסקים קטנים ובינוניים, 2011.</w:t>
      </w:r>
    </w:p>
  </w:footnote>
  <w:footnote w:id="36">
    <w:p w:rsidR="00982BC1" w:rsidP="00CB3C74" w14:paraId="5ED700E8" w14:textId="77777777">
      <w:pPr>
        <w:pStyle w:val="FootnoteText"/>
        <w:spacing w:line="269" w:lineRule="auto"/>
      </w:pPr>
      <w:r>
        <w:rPr>
          <w:rStyle w:val="FootnoteReference"/>
        </w:rPr>
        <w:footnoteRef/>
      </w:r>
      <w:r>
        <w:rPr>
          <w:rtl/>
        </w:rPr>
        <w:t xml:space="preserve"> </w:t>
      </w:r>
      <w:r>
        <w:rPr>
          <w:rtl/>
        </w:rPr>
        <w:tab/>
      </w:r>
      <w:r>
        <w:rPr>
          <w:rFonts w:hint="cs"/>
          <w:rtl/>
        </w:rPr>
        <w:t xml:space="preserve">החלטת ממשלה 2190 של הממשלה ה-31 "ייעול ומיקוד הסיוע לעסקים קטנים" (12.8.07). הוחלט לקבוע כי לצורך סיוע ממשלתי לתמיכה בעסקים, ההגדרות בנוגע לגודל עסקים בישראל יהיו: (א) עסק זעיר - חברה או עוסק, המעסיקים עד 5 עובדים ומחזור מכירותיו קטן מ-10 מיליוני ש"ח בשנה; (ב) עסק קטן - חברה או עוסק, המעסיקים עד 50 עובדים ומחזור מכירותיו קטן מ-25 מיליוני ש"ח בשנה; (ג) עסק בינוני - חברה או עוסק, המעסיקים עד 100 עובדים ומחזור מכירותיו קטן מ-100 מיליוני ש"ח בשנה. </w:t>
      </w:r>
    </w:p>
  </w:footnote>
  <w:footnote w:id="37">
    <w:p w:rsidR="00982BC1" w:rsidP="00CB3C74" w14:paraId="794AA0E4" w14:textId="77777777">
      <w:pPr>
        <w:pStyle w:val="FootnoteText"/>
        <w:spacing w:line="269" w:lineRule="auto"/>
        <w:rPr>
          <w:rtl/>
        </w:rPr>
      </w:pPr>
      <w:r>
        <w:rPr>
          <w:rStyle w:val="FootnoteReference"/>
        </w:rPr>
        <w:footnoteRef/>
      </w:r>
      <w:r>
        <w:rPr>
          <w:rtl/>
        </w:rPr>
        <w:t xml:space="preserve"> </w:t>
      </w:r>
      <w:r>
        <w:rPr>
          <w:rtl/>
        </w:rPr>
        <w:tab/>
      </w:r>
      <w:r w:rsidRPr="000D68F5">
        <w:rPr>
          <w:rFonts w:hint="cs"/>
          <w:rtl/>
        </w:rPr>
        <w:t>משרד הכלכלה והתעשייה - הסוכנות לעסקים קטנים ובינוניים,</w:t>
      </w:r>
      <w:r>
        <w:rPr>
          <w:rFonts w:hint="cs"/>
          <w:rtl/>
        </w:rPr>
        <w:t xml:space="preserve"> דו"ח תקופתי מצב העסקים הקטנים והבינוניים בישראל 2020 (תמונת מצב לפני משבר הקורו</w:t>
      </w:r>
      <w:r w:rsidRPr="000D68F5">
        <w:rPr>
          <w:rFonts w:hint="cs"/>
          <w:rtl/>
        </w:rPr>
        <w:t xml:space="preserve">נה): </w:t>
      </w:r>
      <w:r>
        <w:rPr>
          <w:rFonts w:hint="cs"/>
          <w:rtl/>
        </w:rPr>
        <w:t xml:space="preserve">א. </w:t>
      </w:r>
      <w:r w:rsidRPr="000D68F5">
        <w:rPr>
          <w:rFonts w:hint="cs"/>
          <w:rtl/>
        </w:rPr>
        <w:t>עסק זעיר</w:t>
      </w:r>
      <w:r>
        <w:rPr>
          <w:rFonts w:hint="cs"/>
          <w:rtl/>
        </w:rPr>
        <w:t xml:space="preserve"> - עסק שגודלו עד 5 שכירים או שמחזור מכירותיו עד 2 מיליון ש"ח בשנה; ב. </w:t>
      </w:r>
      <w:r w:rsidRPr="000D68F5">
        <w:rPr>
          <w:rFonts w:hint="cs"/>
          <w:rtl/>
        </w:rPr>
        <w:t>עסק קטן</w:t>
      </w:r>
      <w:r>
        <w:rPr>
          <w:rFonts w:hint="cs"/>
          <w:rtl/>
        </w:rPr>
        <w:t xml:space="preserve"> -</w:t>
      </w:r>
      <w:r w:rsidRPr="000D68F5">
        <w:rPr>
          <w:rFonts w:hint="cs"/>
          <w:rtl/>
        </w:rPr>
        <w:t xml:space="preserve"> עסק שגודלו עד 20 שכירים או שמחזור מכירותיו מגיע עד 20 מיליון ש"ח בשנה</w:t>
      </w:r>
      <w:r>
        <w:rPr>
          <w:rFonts w:hint="cs"/>
          <w:rtl/>
        </w:rPr>
        <w:t xml:space="preserve">; ג. </w:t>
      </w:r>
      <w:r w:rsidRPr="000D68F5">
        <w:rPr>
          <w:rFonts w:hint="cs"/>
          <w:rtl/>
        </w:rPr>
        <w:t>עסק בינוני</w:t>
      </w:r>
      <w:r>
        <w:rPr>
          <w:rFonts w:hint="cs"/>
          <w:rtl/>
        </w:rPr>
        <w:t xml:space="preserve"> -</w:t>
      </w:r>
      <w:r w:rsidRPr="000D68F5">
        <w:rPr>
          <w:rFonts w:hint="cs"/>
          <w:rtl/>
        </w:rPr>
        <w:t xml:space="preserve"> עסק שגודלו נע בין 20 ל-100 שכירים או שמחזור מכירותיו עו</w:t>
      </w:r>
      <w:r>
        <w:rPr>
          <w:rFonts w:hint="cs"/>
          <w:rtl/>
        </w:rPr>
        <w:t>מד על 20 עד 100 מיליון ש"ח בשנה.</w:t>
      </w:r>
    </w:p>
  </w:footnote>
  <w:footnote w:id="38">
    <w:p w:rsidR="00982BC1" w:rsidP="00CB3C74" w14:paraId="3F0B3826" w14:textId="77777777">
      <w:pPr>
        <w:pStyle w:val="FootnoteText"/>
        <w:spacing w:line="269" w:lineRule="auto"/>
        <w:rPr>
          <w:rtl/>
        </w:rPr>
      </w:pPr>
      <w:r>
        <w:rPr>
          <w:rStyle w:val="FootnoteReference"/>
        </w:rPr>
        <w:footnoteRef/>
      </w:r>
      <w:r>
        <w:rPr>
          <w:rtl/>
        </w:rPr>
        <w:t xml:space="preserve"> </w:t>
      </w:r>
      <w:r>
        <w:rPr>
          <w:rtl/>
        </w:rPr>
        <w:tab/>
      </w:r>
      <w:r>
        <w:rPr>
          <w:rFonts w:hint="cs"/>
          <w:rtl/>
        </w:rPr>
        <w:t>דוח הביניים, עמ' 51.</w:t>
      </w:r>
    </w:p>
  </w:footnote>
  <w:footnote w:id="39">
    <w:p w:rsidR="00982BC1" w:rsidP="00CB3C74" w14:paraId="2C75E43F" w14:textId="77777777">
      <w:pPr>
        <w:pStyle w:val="FootnoteText"/>
        <w:spacing w:line="269" w:lineRule="auto"/>
      </w:pPr>
      <w:r>
        <w:rPr>
          <w:rStyle w:val="FootnoteReference"/>
        </w:rPr>
        <w:footnoteRef/>
      </w:r>
      <w:r>
        <w:rPr>
          <w:rtl/>
        </w:rPr>
        <w:t xml:space="preserve"> </w:t>
      </w:r>
      <w:r>
        <w:rPr>
          <w:rtl/>
        </w:rPr>
        <w:tab/>
      </w:r>
      <w:r>
        <w:rPr>
          <w:rFonts w:hint="cs"/>
          <w:rtl/>
        </w:rPr>
        <w:t>הגדרת העסקים בהתאם להחלטת הממשלה 2190 (12.8.2007).</w:t>
      </w:r>
    </w:p>
  </w:footnote>
  <w:footnote w:id="40">
    <w:p w:rsidR="00982BC1" w:rsidP="00CB3C74" w14:paraId="41C20194" w14:textId="77777777">
      <w:pPr>
        <w:pStyle w:val="FootnoteText"/>
        <w:spacing w:line="269" w:lineRule="auto"/>
      </w:pPr>
      <w:r>
        <w:rPr>
          <w:rStyle w:val="FootnoteReference"/>
        </w:rPr>
        <w:footnoteRef/>
      </w:r>
      <w:r>
        <w:rPr>
          <w:rtl/>
        </w:rPr>
        <w:t xml:space="preserve"> </w:t>
      </w:r>
      <w:r>
        <w:rPr>
          <w:rtl/>
        </w:rPr>
        <w:tab/>
      </w:r>
      <w:r>
        <w:rPr>
          <w:rFonts w:hint="cs"/>
          <w:rtl/>
        </w:rPr>
        <w:t>ההסתברות לכך שהתוצאות שהתקבלו מקריות.</w:t>
      </w:r>
    </w:p>
  </w:footnote>
  <w:footnote w:id="41">
    <w:p w:rsidR="00982BC1" w:rsidP="00CB3C74" w14:paraId="4AC3698D" w14:textId="77777777">
      <w:pPr>
        <w:pStyle w:val="FootnoteText"/>
        <w:spacing w:line="269" w:lineRule="auto"/>
        <w:rPr>
          <w:rtl/>
        </w:rPr>
      </w:pPr>
      <w:r>
        <w:rPr>
          <w:rStyle w:val="FootnoteReference"/>
        </w:rPr>
        <w:footnoteRef/>
      </w:r>
      <w:r>
        <w:rPr>
          <w:rtl/>
        </w:rPr>
        <w:t xml:space="preserve"> </w:t>
      </w:r>
      <w:r>
        <w:rPr>
          <w:rtl/>
        </w:rPr>
        <w:tab/>
      </w:r>
      <w:r>
        <w:rPr>
          <w:rFonts w:hint="cs"/>
          <w:rtl/>
        </w:rPr>
        <w:t>רשות המיסים, החטיבה לתכנון ולכלכלה, "ניתוח נתוני מע"מ על סמך דיווחי העוסקים לחודשים מאי-יוני", 9.8.20.</w:t>
      </w:r>
    </w:p>
  </w:footnote>
  <w:footnote w:id="42">
    <w:p w:rsidR="00982BC1" w:rsidP="00CB3C74" w14:paraId="45B51772" w14:textId="77777777">
      <w:pPr>
        <w:pStyle w:val="FootnoteText"/>
        <w:spacing w:line="269" w:lineRule="auto"/>
      </w:pPr>
      <w:r>
        <w:rPr>
          <w:rStyle w:val="FootnoteReference"/>
        </w:rPr>
        <w:footnoteRef/>
      </w:r>
      <w:r>
        <w:rPr>
          <w:rtl/>
        </w:rPr>
        <w:t xml:space="preserve"> </w:t>
      </w:r>
      <w:r>
        <w:rPr>
          <w:rtl/>
        </w:rPr>
        <w:tab/>
      </w:r>
      <w:r w:rsidRPr="00F536DD">
        <w:rPr>
          <w:rFonts w:hint="cs"/>
          <w:rtl/>
        </w:rPr>
        <w:t>הלשכה המרכזית לסטטיסטיקה, הסיווג</w:t>
      </w:r>
      <w:r>
        <w:rPr>
          <w:rFonts w:hint="cs"/>
          <w:rtl/>
        </w:rPr>
        <w:t xml:space="preserve"> האחיד של ענפי הכלכלה, 2011.</w:t>
      </w:r>
    </w:p>
  </w:footnote>
  <w:footnote w:id="43">
    <w:p w:rsidR="00982BC1" w:rsidP="00CB3C74" w14:paraId="4F51465B" w14:textId="77777777">
      <w:pPr>
        <w:pStyle w:val="FootnoteText"/>
        <w:spacing w:line="269" w:lineRule="auto"/>
        <w:rPr>
          <w:rtl/>
        </w:rPr>
      </w:pPr>
      <w:r>
        <w:rPr>
          <w:rStyle w:val="FootnoteReference"/>
        </w:rPr>
        <w:footnoteRef/>
      </w:r>
      <w:r>
        <w:rPr>
          <w:rtl/>
        </w:rPr>
        <w:t xml:space="preserve"> </w:t>
      </w:r>
      <w:r>
        <w:rPr>
          <w:rtl/>
        </w:rPr>
        <w:tab/>
        <w:t xml:space="preserve">המונח מייצג </w:t>
      </w:r>
      <w:r w:rsidRPr="00250D7A">
        <w:rPr>
          <w:rtl/>
        </w:rPr>
        <w:t>תחו</w:t>
      </w:r>
      <w:r>
        <w:rPr>
          <w:rtl/>
        </w:rPr>
        <w:t>ם חדש</w:t>
      </w:r>
      <w:r>
        <w:rPr>
          <w:rFonts w:hint="cs"/>
          <w:rtl/>
        </w:rPr>
        <w:t xml:space="preserve"> </w:t>
      </w:r>
      <w:r w:rsidRPr="00250D7A">
        <w:rPr>
          <w:rtl/>
        </w:rPr>
        <w:t>המשלב בין טכנולוגיה לפיננס</w:t>
      </w:r>
      <w:r>
        <w:rPr>
          <w:rFonts w:hint="cs"/>
          <w:rtl/>
        </w:rPr>
        <w:t>י</w:t>
      </w:r>
      <w:r w:rsidRPr="00250D7A">
        <w:rPr>
          <w:rtl/>
        </w:rPr>
        <w:t>ים ומציע שיפור פעילויות פיננסיות או מתן שירות פיננסים באמצעים טכנולוגיי</w:t>
      </w:r>
      <w:r>
        <w:rPr>
          <w:rtl/>
        </w:rPr>
        <w:t>ם</w:t>
      </w:r>
      <w:r>
        <w:rPr>
          <w:rFonts w:hint="cs"/>
          <w:rtl/>
        </w:rPr>
        <w:t>.</w:t>
      </w:r>
    </w:p>
  </w:footnote>
  <w:footnote w:id="44">
    <w:p w:rsidR="00982BC1" w:rsidP="00CB3C74" w14:paraId="7C04F802" w14:textId="77777777">
      <w:pPr>
        <w:pStyle w:val="FootnoteText"/>
        <w:spacing w:line="269" w:lineRule="auto"/>
      </w:pPr>
      <w:r>
        <w:rPr>
          <w:rStyle w:val="FootnoteReference"/>
        </w:rPr>
        <w:footnoteRef/>
      </w:r>
      <w:r>
        <w:rPr>
          <w:rtl/>
        </w:rPr>
        <w:t xml:space="preserve"> </w:t>
      </w:r>
      <w:r>
        <w:rPr>
          <w:rtl/>
        </w:rPr>
        <w:tab/>
      </w:r>
      <w:r>
        <w:rPr>
          <w:rFonts w:hint="cs"/>
          <w:rtl/>
        </w:rPr>
        <w:t>הפסדים הנובעים מהיעדר יכולת הלווה לפרוע את חובותיו.</w:t>
      </w:r>
    </w:p>
  </w:footnote>
  <w:footnote w:id="45">
    <w:p w:rsidR="00982BC1" w:rsidP="00CB3C74" w14:paraId="65AB5498" w14:textId="77777777">
      <w:pPr>
        <w:pStyle w:val="FootnoteText"/>
        <w:spacing w:line="269" w:lineRule="auto"/>
      </w:pPr>
      <w:r>
        <w:rPr>
          <w:rStyle w:val="FootnoteReference"/>
        </w:rPr>
        <w:footnoteRef/>
      </w:r>
      <w:r>
        <w:rPr>
          <w:rtl/>
        </w:rPr>
        <w:t xml:space="preserve"> </w:t>
      </w:r>
      <w:r>
        <w:rPr>
          <w:rtl/>
        </w:rPr>
        <w:tab/>
      </w:r>
      <w:r>
        <w:rPr>
          <w:rFonts w:hint="cs"/>
          <w:rtl/>
        </w:rPr>
        <w:t>עבור הלוואה מקורית ועבור הלוואה משלימה.</w:t>
      </w:r>
    </w:p>
  </w:footnote>
  <w:footnote w:id="46">
    <w:p w:rsidR="00982BC1" w:rsidP="00CB3C74" w14:paraId="78D92C66" w14:textId="77777777">
      <w:pPr>
        <w:pStyle w:val="FootnoteText"/>
        <w:spacing w:line="269" w:lineRule="auto"/>
      </w:pPr>
      <w:r>
        <w:rPr>
          <w:rStyle w:val="FootnoteReference"/>
        </w:rPr>
        <w:footnoteRef/>
      </w:r>
      <w:r>
        <w:rPr>
          <w:rtl/>
        </w:rPr>
        <w:t xml:space="preserve"> </w:t>
      </w:r>
      <w:r>
        <w:rPr>
          <w:rtl/>
        </w:rPr>
        <w:tab/>
      </w:r>
      <w:r>
        <w:rPr>
          <w:rFonts w:hint="cs"/>
          <w:rtl/>
        </w:rPr>
        <w:t>כל סכום שהועמד על ידי המערכת הבנקאית כאשראי חדש לעסקים קטנים וזעירים הוכר למימון במסגרת התוכנית.</w:t>
      </w:r>
    </w:p>
  </w:footnote>
  <w:footnote w:id="47">
    <w:p w:rsidR="00982BC1" w:rsidP="00CB3C74" w14:paraId="3E893573" w14:textId="77777777">
      <w:pPr>
        <w:pStyle w:val="FootnoteText"/>
        <w:spacing w:line="269" w:lineRule="auto"/>
      </w:pPr>
      <w:r>
        <w:rPr>
          <w:rStyle w:val="FootnoteReference"/>
        </w:rPr>
        <w:footnoteRef/>
      </w:r>
      <w:r>
        <w:rPr>
          <w:rtl/>
        </w:rPr>
        <w:t xml:space="preserve"> </w:t>
      </w:r>
      <w:r>
        <w:rPr>
          <w:rtl/>
        </w:rPr>
        <w:tab/>
      </w:r>
      <w:r>
        <w:rPr>
          <w:rFonts w:hint="cs"/>
          <w:rtl/>
        </w:rPr>
        <w:t xml:space="preserve">בנק ישראל, חטיבת </w:t>
      </w:r>
      <w:r w:rsidRPr="009B1C28">
        <w:rPr>
          <w:rFonts w:hint="cs"/>
          <w:rtl/>
        </w:rPr>
        <w:t xml:space="preserve">השווקים - יחידת שוק כספים ונזילות, </w:t>
      </w:r>
      <w:r w:rsidRPr="009B1C28">
        <w:rPr>
          <w:rtl/>
        </w:rPr>
        <w:t>"</w:t>
      </w:r>
      <w:r w:rsidRPr="009B1C28">
        <w:rPr>
          <w:rFonts w:hint="cs"/>
          <w:rtl/>
        </w:rPr>
        <w:t>מתן הלוואות לטווח ארוך במטרה להגדיל את היצע האשראי לעסקים קטנים וזעירים</w:t>
      </w:r>
      <w:r w:rsidRPr="009B1C28">
        <w:rPr>
          <w:rtl/>
        </w:rPr>
        <w:t>"</w:t>
      </w:r>
      <w:r w:rsidRPr="009B1C28">
        <w:rPr>
          <w:rFonts w:hint="cs"/>
          <w:rtl/>
        </w:rPr>
        <w:t xml:space="preserve"> (7.4.20).</w:t>
      </w:r>
      <w:r>
        <w:rPr>
          <w:rFonts w:hint="cs"/>
          <w:rtl/>
        </w:rPr>
        <w:t xml:space="preserve"> </w:t>
      </w:r>
    </w:p>
  </w:footnote>
  <w:footnote w:id="48">
    <w:p w:rsidR="00982BC1" w:rsidP="00CB3C74" w14:paraId="30D441F0" w14:textId="77777777">
      <w:pPr>
        <w:pStyle w:val="FootnoteText"/>
        <w:spacing w:line="269" w:lineRule="auto"/>
      </w:pPr>
      <w:r>
        <w:rPr>
          <w:rStyle w:val="FootnoteReference"/>
        </w:rPr>
        <w:footnoteRef/>
      </w:r>
      <w:r>
        <w:rPr>
          <w:rtl/>
        </w:rPr>
        <w:t xml:space="preserve"> </w:t>
      </w:r>
      <w:r>
        <w:rPr>
          <w:rtl/>
        </w:rPr>
        <w:tab/>
      </w:r>
      <w:r>
        <w:rPr>
          <w:rFonts w:hint="cs"/>
          <w:rtl/>
        </w:rPr>
        <w:t xml:space="preserve">בנק ישראל, דוברות </w:t>
      </w:r>
      <w:r w:rsidRPr="009B1C28">
        <w:rPr>
          <w:rFonts w:hint="cs"/>
          <w:rtl/>
        </w:rPr>
        <w:t>והסברה כלכלית - הודעה לעיתונות, "בנק ישראל מכריז על סט צעדים נוסף להרחבת המענה המוניטרי למשבר הקורונה", (6.7.20).</w:t>
      </w:r>
    </w:p>
  </w:footnote>
  <w:footnote w:id="49">
    <w:p w:rsidR="00982BC1" w:rsidP="00CB3C74" w14:paraId="59F260C3" w14:textId="08631F20">
      <w:pPr>
        <w:pStyle w:val="FootnoteText"/>
        <w:spacing w:line="269" w:lineRule="auto"/>
        <w:rPr>
          <w:rtl/>
        </w:rPr>
      </w:pPr>
      <w:r>
        <w:rPr>
          <w:rStyle w:val="FootnoteReference"/>
        </w:rPr>
        <w:footnoteRef/>
      </w:r>
      <w:r>
        <w:rPr>
          <w:rtl/>
        </w:rPr>
        <w:t xml:space="preserve"> </w:t>
      </w:r>
      <w:r>
        <w:rPr>
          <w:rtl/>
        </w:rPr>
        <w:tab/>
      </w:r>
      <w:r>
        <w:rPr>
          <w:rFonts w:hint="cs"/>
          <w:rtl/>
        </w:rPr>
        <w:t>בנק ישראל, דוברות והסברה כלכלית - הודעה לעיתונות, "בנק ישראל משיק נדבך חדש בתוכנית להקלת תנאי האשראי לעסקים קטנים וזעירים" (22.10.20).</w:t>
      </w:r>
    </w:p>
  </w:footnote>
  <w:footnote w:id="50">
    <w:p w:rsidR="00982BC1" w:rsidP="00CB3C74" w14:paraId="3B61CD0C" w14:textId="77777777">
      <w:pPr>
        <w:pStyle w:val="FootnoteText"/>
        <w:spacing w:line="269" w:lineRule="auto"/>
      </w:pPr>
      <w:r>
        <w:rPr>
          <w:rStyle w:val="FootnoteReference"/>
        </w:rPr>
        <w:footnoteRef/>
      </w:r>
      <w:r>
        <w:rPr>
          <w:rtl/>
        </w:rPr>
        <w:t xml:space="preserve"> </w:t>
      </w:r>
      <w:r>
        <w:rPr>
          <w:rtl/>
        </w:rPr>
        <w:tab/>
      </w:r>
      <w:r w:rsidRPr="00965CA6">
        <w:rPr>
          <w:rFonts w:hint="cs"/>
          <w:rtl/>
        </w:rPr>
        <w:t>בנק ישראל ציין בפני צוות הביקורת כי ברשותו נתונים המפרטים את התפלגות שיעור ההלוואות שניתנו בערבות ממשלתית במסגרת התוכנית רק החל מחודש דצמבר 2020, עת הבנקים התבקשו לדווח דיווח ברמת פירוט גבוהה יותר.</w:t>
      </w:r>
    </w:p>
  </w:footnote>
  <w:footnote w:id="51">
    <w:p w:rsidR="00982BC1" w:rsidP="00CB3C74" w14:paraId="42770B1B" w14:textId="77777777">
      <w:pPr>
        <w:pStyle w:val="FootnoteText"/>
        <w:spacing w:line="269" w:lineRule="auto"/>
        <w:rPr>
          <w:rtl/>
        </w:rPr>
      </w:pPr>
      <w:r>
        <w:rPr>
          <w:rStyle w:val="FootnoteReference"/>
        </w:rPr>
        <w:footnoteRef/>
      </w:r>
      <w:r>
        <w:rPr>
          <w:rtl/>
        </w:rPr>
        <w:t xml:space="preserve"> </w:t>
      </w:r>
      <w:r>
        <w:rPr>
          <w:rtl/>
        </w:rPr>
        <w:tab/>
      </w:r>
      <w:r>
        <w:rPr>
          <w:rFonts w:hint="cs"/>
          <w:rtl/>
        </w:rPr>
        <w:t>ראו דוח הביניים, עמ' 57.</w:t>
      </w:r>
    </w:p>
  </w:footnote>
  <w:footnote w:id="52">
    <w:p w:rsidR="00982BC1" w:rsidRPr="000D41C8" w:rsidP="00CB3C74" w14:paraId="6BF1E4B8" w14:textId="77777777">
      <w:pPr>
        <w:pStyle w:val="FootnoteText"/>
        <w:spacing w:line="269" w:lineRule="auto"/>
        <w:rPr>
          <w:color w:val="FF0000"/>
        </w:rPr>
      </w:pPr>
      <w:r>
        <w:rPr>
          <w:rStyle w:val="FootnoteReference"/>
        </w:rPr>
        <w:footnoteRef/>
      </w:r>
      <w:r>
        <w:rPr>
          <w:rtl/>
        </w:rPr>
        <w:t xml:space="preserve"> </w:t>
      </w:r>
      <w:r>
        <w:rPr>
          <w:rtl/>
        </w:rPr>
        <w:tab/>
      </w:r>
      <w:r>
        <w:rPr>
          <w:rFonts w:hint="cs"/>
          <w:rtl/>
        </w:rPr>
        <w:t xml:space="preserve">בנק ישראל, הפיקוח על הבנקים, </w:t>
      </w:r>
      <w:r w:rsidRPr="002A1653">
        <w:rPr>
          <w:rFonts w:hint="cs"/>
          <w:rtl/>
        </w:rPr>
        <w:t xml:space="preserve">הגידול בביקוש </w:t>
      </w:r>
      <w:r w:rsidRPr="00A31934">
        <w:rPr>
          <w:rFonts w:hint="cs"/>
          <w:rtl/>
        </w:rPr>
        <w:t xml:space="preserve">לאשראי, </w:t>
      </w:r>
      <w:r w:rsidRPr="00A31934">
        <w:rPr>
          <w:rtl/>
        </w:rPr>
        <w:t>"</w:t>
      </w:r>
      <w:r w:rsidRPr="00A31934">
        <w:rPr>
          <w:rFonts w:hint="cs"/>
          <w:rtl/>
        </w:rPr>
        <w:t>אופן הסיוע של הבנקים ללקוחות במשבר נגיף הקורונה והגורמים המרכזיים לעליית הריביות על אשראי בנקאי מתחילת המשבר</w:t>
      </w:r>
      <w:r w:rsidRPr="00A31934">
        <w:rPr>
          <w:rtl/>
        </w:rPr>
        <w:t>"</w:t>
      </w:r>
      <w:r w:rsidRPr="00A31934">
        <w:rPr>
          <w:rFonts w:hint="cs"/>
          <w:rtl/>
        </w:rPr>
        <w:t xml:space="preserve"> (30</w:t>
      </w:r>
      <w:r>
        <w:rPr>
          <w:rFonts w:hint="cs"/>
          <w:rtl/>
        </w:rPr>
        <w:t>.3.20).</w:t>
      </w:r>
    </w:p>
  </w:footnote>
  <w:footnote w:id="53">
    <w:p w:rsidR="00982BC1" w:rsidP="00CB3C74" w14:paraId="39E065D9" w14:textId="77777777">
      <w:pPr>
        <w:pStyle w:val="FootnoteText"/>
        <w:spacing w:line="269" w:lineRule="auto"/>
      </w:pPr>
      <w:r>
        <w:rPr>
          <w:rStyle w:val="FootnoteReference"/>
        </w:rPr>
        <w:footnoteRef/>
      </w:r>
      <w:r>
        <w:rPr>
          <w:rtl/>
        </w:rPr>
        <w:t xml:space="preserve"> </w:t>
      </w:r>
      <w:r>
        <w:rPr>
          <w:rtl/>
        </w:rPr>
        <w:tab/>
      </w:r>
      <w:r>
        <w:rPr>
          <w:rFonts w:hint="cs"/>
          <w:rtl/>
        </w:rPr>
        <w:t>תשואות אג"ח קונצרניות, ובהן הבנקאיות, נשענות על מחירי אג"ח ממשלתיות, בתוספת מרווח סיכון.</w:t>
      </w:r>
    </w:p>
  </w:footnote>
  <w:footnote w:id="54">
    <w:p w:rsidR="00982BC1" w:rsidP="00CB3C74" w14:paraId="70B00B2C" w14:textId="77777777">
      <w:pPr>
        <w:pStyle w:val="FootnoteText"/>
        <w:spacing w:line="269" w:lineRule="auto"/>
      </w:pPr>
      <w:r>
        <w:rPr>
          <w:rStyle w:val="FootnoteReference"/>
        </w:rPr>
        <w:footnoteRef/>
      </w:r>
      <w:r>
        <w:rPr>
          <w:rtl/>
        </w:rPr>
        <w:t xml:space="preserve"> </w:t>
      </w:r>
      <w:r>
        <w:rPr>
          <w:rtl/>
        </w:rPr>
        <w:tab/>
      </w:r>
      <w:r>
        <w:rPr>
          <w:rFonts w:hint="cs"/>
          <w:rtl/>
        </w:rPr>
        <w:t>ההודעה פורסמה ב-15.3.20 בלי שצוין היקף הרכישה. בהודעה שפורסמה כעבור שבוע צוין היקף תוכנית הרכישה.</w:t>
      </w:r>
    </w:p>
  </w:footnote>
  <w:footnote w:id="55">
    <w:p w:rsidR="00982BC1" w:rsidP="00CB3C74" w14:paraId="2CA992EB" w14:textId="77777777">
      <w:pPr>
        <w:pStyle w:val="FootnoteText"/>
        <w:spacing w:line="269" w:lineRule="auto"/>
        <w:rPr>
          <w:rtl/>
        </w:rPr>
      </w:pPr>
      <w:r>
        <w:rPr>
          <w:rStyle w:val="FootnoteReference"/>
        </w:rPr>
        <w:footnoteRef/>
      </w:r>
      <w:r>
        <w:rPr>
          <w:rtl/>
        </w:rPr>
        <w:t xml:space="preserve"> </w:t>
      </w:r>
      <w:r>
        <w:rPr>
          <w:rtl/>
        </w:rPr>
        <w:tab/>
      </w:r>
      <w:r>
        <w:rPr>
          <w:rFonts w:hint="cs"/>
          <w:rtl/>
        </w:rPr>
        <w:t xml:space="preserve">יתכן שהירידה במחיר האשראי נגרמה גם בעקבות גידול בחלקם של הלווים האיתנים, בעלי רמת סיכון נמוכה, מתוך סך הלווים במהלך המשבר. </w:t>
      </w:r>
    </w:p>
  </w:footnote>
  <w:footnote w:id="56">
    <w:p w:rsidR="00982BC1" w:rsidP="00CB3C74" w14:paraId="007605A3" w14:textId="77777777">
      <w:pPr>
        <w:pStyle w:val="FootnoteText"/>
        <w:spacing w:line="269" w:lineRule="auto"/>
        <w:rPr>
          <w:rtl/>
        </w:rPr>
      </w:pPr>
      <w:r>
        <w:rPr>
          <w:rStyle w:val="FootnoteReference"/>
        </w:rPr>
        <w:footnoteRef/>
      </w:r>
      <w:r>
        <w:rPr>
          <w:rtl/>
        </w:rPr>
        <w:t xml:space="preserve"> </w:t>
      </w:r>
      <w:r>
        <w:rPr>
          <w:rtl/>
        </w:rPr>
        <w:tab/>
      </w:r>
      <w:r>
        <w:rPr>
          <w:rFonts w:hint="cs"/>
          <w:rtl/>
        </w:rPr>
        <w:t>ראו בנק ישראל, הודעות לעיתונות, "משלחת קרן המטבע הבינלאומית הגישה היום סיכום ראשוני של הדו"ח על כלכלת ישראל לשנת 2020" (11.11.20).</w:t>
      </w:r>
    </w:p>
    <w:p w:rsidR="00982BC1" w:rsidP="00CB3C74" w14:paraId="4AC2DD89" w14:textId="77777777">
      <w:pPr>
        <w:pStyle w:val="FootnoteText"/>
        <w:spacing w:line="269" w:lineRule="auto"/>
        <w:rPr>
          <w:rtl/>
        </w:rPr>
      </w:pPr>
      <w:r>
        <w:rPr>
          <w:rtl/>
        </w:rPr>
        <w:tab/>
      </w:r>
      <w:r>
        <w:rPr>
          <w:rFonts w:hint="cs"/>
        </w:rPr>
        <w:t>IM</w:t>
      </w:r>
      <w:r>
        <w:t>F (International Monetary Fund), Concluding Statement - Israel: Staff Concluding Statement of the 2020 Article IV Mission, 19/11/2020.</w:t>
      </w:r>
    </w:p>
  </w:footnote>
  <w:footnote w:id="57">
    <w:p w:rsidR="00982BC1" w:rsidP="00CB3C74" w14:paraId="30B9A7C4" w14:textId="77777777">
      <w:pPr>
        <w:pStyle w:val="FootnoteText"/>
        <w:spacing w:line="269" w:lineRule="auto"/>
      </w:pPr>
      <w:r>
        <w:rPr>
          <w:rStyle w:val="FootnoteReference"/>
        </w:rPr>
        <w:footnoteRef/>
      </w:r>
      <w:r>
        <w:rPr>
          <w:rtl/>
        </w:rPr>
        <w:t xml:space="preserve"> </w:t>
      </w:r>
      <w:r>
        <w:rPr>
          <w:rtl/>
        </w:rPr>
        <w:tab/>
      </w:r>
      <w:r>
        <w:rPr>
          <w:rFonts w:hint="cs"/>
          <w:rtl/>
        </w:rPr>
        <w:t>בנק ישראל, הפיקוח על הבנקים, "הפיקוח על הבנקים מודיע על מתווה מקיף שאומץ על ידי המערכת הבנקאית לדחיית תשלומי הלוואות כסיוע ללקוחות הבנקים בהתמודדות עם השלכות משבר הקורונה" (7.5.20).</w:t>
      </w:r>
    </w:p>
  </w:footnote>
  <w:footnote w:id="58">
    <w:p w:rsidR="00982BC1" w:rsidP="00CB3C74" w14:paraId="5D65C4B8" w14:textId="77777777">
      <w:pPr>
        <w:pStyle w:val="FootnoteText"/>
        <w:spacing w:line="269" w:lineRule="auto"/>
        <w:rPr>
          <w:rtl/>
        </w:rPr>
      </w:pPr>
      <w:r>
        <w:rPr>
          <w:rStyle w:val="FootnoteReference"/>
        </w:rPr>
        <w:footnoteRef/>
      </w:r>
      <w:r>
        <w:rPr>
          <w:rtl/>
        </w:rPr>
        <w:t xml:space="preserve"> </w:t>
      </w:r>
      <w:r>
        <w:rPr>
          <w:rtl/>
        </w:rPr>
        <w:tab/>
      </w:r>
      <w:r w:rsidRPr="0048773B">
        <w:rPr>
          <w:rFonts w:hint="cs"/>
          <w:rtl/>
        </w:rPr>
        <w:t>המתווה שגובש הציג תנאים מינימליים בדחיית ההלוואות ותאגידים בנקאיים שונים הורשו להרחיבו לטובת ולבקשת לקוחותיהם.</w:t>
      </w:r>
    </w:p>
  </w:footnote>
  <w:footnote w:id="59">
    <w:p w:rsidR="00982BC1" w:rsidP="00CB3C74" w14:paraId="2438C1BA" w14:textId="77777777">
      <w:pPr>
        <w:pStyle w:val="FootnoteText"/>
        <w:spacing w:line="269" w:lineRule="auto"/>
        <w:rPr>
          <w:rtl/>
        </w:rPr>
      </w:pPr>
      <w:r>
        <w:rPr>
          <w:rStyle w:val="FootnoteReference"/>
        </w:rPr>
        <w:footnoteRef/>
      </w:r>
      <w:r>
        <w:rPr>
          <w:rtl/>
        </w:rPr>
        <w:t xml:space="preserve"> </w:t>
      </w:r>
      <w:r>
        <w:rPr>
          <w:rtl/>
        </w:rPr>
        <w:tab/>
      </w:r>
      <w:r>
        <w:rPr>
          <w:rFonts w:hint="cs"/>
          <w:rtl/>
        </w:rPr>
        <w:t>בהתאם להתפתחות המשבר הורחב המתווה פעמיים, ביום 13.7.20 וביום 29.9.20, לדחיית תשלומי המשכנתאות ותשלומי האשראי הצרכני עד 100,000 ש"ח בתאגידים הבנקאיים: (א) דחייה של התשלומים עד לסוף השנה בדחיות הקיימות; (ב) דחייה של 6 חודשים ללקוחות שטרם דחו את התשלומים בהגשת בקשה עד לסוף השנה.</w:t>
      </w:r>
    </w:p>
  </w:footnote>
  <w:footnote w:id="60">
    <w:p w:rsidR="00982BC1" w:rsidP="00CB3C74" w14:paraId="306CD237" w14:textId="77777777">
      <w:pPr>
        <w:pStyle w:val="FootnoteText"/>
        <w:spacing w:line="269" w:lineRule="auto"/>
      </w:pPr>
      <w:r>
        <w:rPr>
          <w:rStyle w:val="FootnoteReference"/>
        </w:rPr>
        <w:footnoteRef/>
      </w:r>
      <w:r>
        <w:rPr>
          <w:rtl/>
        </w:rPr>
        <w:t xml:space="preserve"> </w:t>
      </w:r>
      <w:r>
        <w:rPr>
          <w:rtl/>
        </w:rPr>
        <w:tab/>
      </w:r>
      <w:r>
        <w:rPr>
          <w:rFonts w:hint="cs"/>
          <w:rtl/>
        </w:rPr>
        <w:t>בנק ישראל, הפיקוח על הבנקים, הפיקוח על הבנקים מודיע על מתווה מקיף שאומץ על ידי המערכת הבנקאית לדחיית תשלומי הלוואות כסיוע ללקוחות הבנקים בהתמודדות עם השלכות משבר הקורונה (7.5.20).</w:t>
      </w:r>
    </w:p>
  </w:footnote>
  <w:footnote w:id="61">
    <w:p w:rsidR="00982BC1" w:rsidRPr="00633BC9" w:rsidP="00CB3C74" w14:paraId="59C9530F" w14:textId="77777777">
      <w:pPr>
        <w:pStyle w:val="FootnoteText"/>
        <w:spacing w:line="269" w:lineRule="auto"/>
        <w:rPr>
          <w:u w:val="single"/>
          <w:rtl/>
        </w:rPr>
      </w:pPr>
      <w:r>
        <w:rPr>
          <w:rStyle w:val="FootnoteReference"/>
        </w:rPr>
        <w:footnoteRef/>
      </w:r>
      <w:r>
        <w:rPr>
          <w:rtl/>
        </w:rPr>
        <w:t xml:space="preserve"> </w:t>
      </w:r>
      <w:r>
        <w:rPr>
          <w:rtl/>
        </w:rPr>
        <w:tab/>
      </w:r>
      <w:r>
        <w:rPr>
          <w:rFonts w:hint="cs"/>
          <w:rtl/>
        </w:rPr>
        <w:t>ביניהן: בלגיה, צרפת, קנדה, ניו-זילנד, אוסטרליה, בריטניה, סינגפור, אירלנד והולנד.</w:t>
      </w:r>
    </w:p>
  </w:footnote>
  <w:footnote w:id="62">
    <w:p w:rsidR="00982BC1" w:rsidP="00CB3C74" w14:paraId="1B844071"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הפיקוח על הבנקים, פרסום נתונים חודשיים על אשראי ופיקדונות לפי מגזרי פעילות, 10/08/2017: עסק זעיר - עסק שמחזור פעילותו קטן מ-10 מיליוני ש"ח; עסק קטן - עסק שמחזור פעילותו גדול או שווה ל-100 מיליוני ש"ח וקטן מ-50 מיליוני ש"ח; עסק בינוני - עסק שמחזור פעילותו גדול או שווה ל-50 מיליוני ש"ח וקטן מ-250 מיליוני ש"ח; עסק גדול - עסק שמחזור פעילותו גדול או שווה ל-250 מיליוני ש"ח.</w:t>
      </w:r>
    </w:p>
  </w:footnote>
  <w:footnote w:id="63">
    <w:p w:rsidR="00982BC1" w:rsidP="00CB3C74" w14:paraId="3BA8E84C" w14:textId="550AAC0A">
      <w:pPr>
        <w:pStyle w:val="FootnoteText"/>
        <w:spacing w:line="269" w:lineRule="auto"/>
      </w:pPr>
      <w:r>
        <w:rPr>
          <w:rStyle w:val="FootnoteReference"/>
        </w:rPr>
        <w:footnoteRef/>
      </w:r>
      <w:r>
        <w:rPr>
          <w:rtl/>
        </w:rPr>
        <w:t xml:space="preserve"> </w:t>
      </w:r>
      <w:r>
        <w:rPr>
          <w:rtl/>
        </w:rPr>
        <w:tab/>
      </w:r>
      <w:r>
        <w:rPr>
          <w:rFonts w:hint="cs"/>
          <w:rtl/>
        </w:rPr>
        <w:t xml:space="preserve">מבקר המדינה, </w:t>
      </w:r>
      <w:r w:rsidRPr="00EB18A1">
        <w:rPr>
          <w:rFonts w:hint="eastAsia"/>
          <w:b/>
          <w:bCs/>
          <w:rtl/>
        </w:rPr>
        <w:t>דוח</w:t>
      </w:r>
      <w:r w:rsidRPr="00786470">
        <w:rPr>
          <w:b/>
          <w:bCs/>
          <w:rtl/>
        </w:rPr>
        <w:t xml:space="preserve"> שנתי 71א</w:t>
      </w:r>
      <w:r>
        <w:rPr>
          <w:rFonts w:hint="cs"/>
          <w:rtl/>
        </w:rPr>
        <w:t xml:space="preserve"> (2020), "משרדי הממשלה - משרד האוצר, אסדרת שוק ביטוחי הבריאות המסחריים", עמוד 560.</w:t>
      </w:r>
    </w:p>
  </w:footnote>
  <w:footnote w:id="64">
    <w:p w:rsidR="00982BC1" w:rsidP="00CB3C74" w14:paraId="59E47CC1" w14:textId="77777777">
      <w:pPr>
        <w:pStyle w:val="FootnoteText"/>
        <w:spacing w:line="269" w:lineRule="auto"/>
      </w:pPr>
      <w:r>
        <w:rPr>
          <w:rStyle w:val="FootnoteReference"/>
        </w:rPr>
        <w:footnoteRef/>
      </w:r>
      <w:r>
        <w:rPr>
          <w:rtl/>
        </w:rPr>
        <w:t xml:space="preserve"> </w:t>
      </w:r>
      <w:r>
        <w:rPr>
          <w:rtl/>
        </w:rPr>
        <w:tab/>
      </w:r>
      <w:r>
        <w:rPr>
          <w:rFonts w:hint="cs"/>
          <w:rtl/>
        </w:rPr>
        <w:t>בנק ישראל, דוברות והסברה כלכלית - הודעה לעיתונות, "בנק ישראל מודיע על גיבוש מתווה נוסף לדחיית תשלומי משכנתאות והלוואות צרכניות, שאומץ על ידי המערכת הבנקאית" (22.12.20).</w:t>
      </w:r>
    </w:p>
  </w:footnote>
  <w:footnote w:id="65">
    <w:p w:rsidR="00982BC1" w:rsidP="00CB3C74" w14:paraId="2D92ED74" w14:textId="77777777">
      <w:pPr>
        <w:pStyle w:val="FootnoteText"/>
        <w:spacing w:line="269" w:lineRule="auto"/>
      </w:pPr>
      <w:r>
        <w:rPr>
          <w:rStyle w:val="FootnoteReference"/>
        </w:rPr>
        <w:footnoteRef/>
      </w:r>
      <w:r>
        <w:rPr>
          <w:rtl/>
        </w:rPr>
        <w:t xml:space="preserve"> </w:t>
      </w:r>
      <w:r>
        <w:rPr>
          <w:rtl/>
        </w:rPr>
        <w:tab/>
      </w:r>
      <w:r>
        <w:rPr>
          <w:rFonts w:hint="cs"/>
          <w:rtl/>
        </w:rPr>
        <w:t>בנק ישראל, דוברות והסברה כלכלית - הודעה לעיתונות, "בנק ישראל מודיע על גיבוש מתווה נוסף, שאומץ על ידי המערכת הבנקאית למתן סיוע לעסקים קטנים וזעירים בפירעון הלוואות", (10.12.20).</w:t>
      </w:r>
    </w:p>
  </w:footnote>
  <w:footnote w:id="66">
    <w:p w:rsidR="00982BC1" w:rsidP="00CB3C74" w14:paraId="78AC3FD9" w14:textId="77777777">
      <w:pPr>
        <w:pStyle w:val="FootnoteText"/>
        <w:spacing w:line="269" w:lineRule="auto"/>
        <w:rPr>
          <w:rtl/>
        </w:rPr>
      </w:pPr>
      <w:r w:rsidRPr="00B00229">
        <w:rPr>
          <w:rStyle w:val="FootnoteReference"/>
        </w:rPr>
        <w:footnoteRef/>
      </w:r>
      <w:r w:rsidRPr="00B00229">
        <w:rPr>
          <w:rtl/>
        </w:rPr>
        <w:t xml:space="preserve"> </w:t>
      </w:r>
      <w:r w:rsidRPr="00B00229">
        <w:rPr>
          <w:rtl/>
        </w:rPr>
        <w:tab/>
      </w:r>
      <w:r>
        <w:rPr>
          <w:rFonts w:hint="cs"/>
        </w:rPr>
        <w:t>BIS</w:t>
      </w:r>
      <w:r>
        <w:t xml:space="preserve"> (Bank for International Settlements)</w:t>
      </w:r>
      <w:r>
        <w:rPr>
          <w:rFonts w:hint="cs"/>
        </w:rPr>
        <w:t>, B</w:t>
      </w:r>
      <w:r>
        <w:t xml:space="preserve">asel Committee on Banking Supervision reforms - Basel </w:t>
      </w:r>
      <w:r>
        <w:rPr>
          <w:rFonts w:cs="Times New Roman"/>
        </w:rPr>
        <w:t>Ⅲ</w:t>
      </w:r>
      <w:r>
        <w:t>.</w:t>
      </w:r>
    </w:p>
  </w:footnote>
  <w:footnote w:id="67">
    <w:p w:rsidR="00982BC1" w:rsidP="00CB3C74" w14:paraId="031A5754" w14:textId="77777777">
      <w:pPr>
        <w:pStyle w:val="FootnoteText"/>
        <w:spacing w:line="269" w:lineRule="auto"/>
      </w:pPr>
      <w:r w:rsidRPr="00F97AB2">
        <w:rPr>
          <w:rStyle w:val="FootnoteReference"/>
        </w:rPr>
        <w:footnoteRef/>
      </w:r>
      <w:r w:rsidRPr="00F97AB2">
        <w:rPr>
          <w:rtl/>
        </w:rPr>
        <w:t xml:space="preserve"> </w:t>
      </w:r>
      <w:r w:rsidRPr="00F97AB2">
        <w:rPr>
          <w:rtl/>
        </w:rPr>
        <w:tab/>
      </w:r>
      <w:r>
        <w:rPr>
          <w:rFonts w:hint="cs"/>
          <w:rtl/>
        </w:rPr>
        <w:t>הון הליבה של התאגידים הבנקאיים המורכב, בין היתר, מהון מניות, מעודפים בניכוי דיבידנדים וממכשירי הון מורכבים, ראו בנק ישראל, הפיקוח על הבנקים, ניהול בנקאי תקין מספר 202 - ההון הפיקוחי, עמ' 3 - 7.</w:t>
      </w:r>
    </w:p>
  </w:footnote>
  <w:footnote w:id="68">
    <w:p w:rsidR="00982BC1" w:rsidP="00CB3C74" w14:paraId="2494EFC8" w14:textId="77777777">
      <w:pPr>
        <w:pStyle w:val="FootnoteText"/>
        <w:spacing w:line="269" w:lineRule="auto"/>
        <w:rPr>
          <w:rtl/>
        </w:rPr>
      </w:pPr>
      <w:r>
        <w:rPr>
          <w:rStyle w:val="FootnoteReference"/>
        </w:rPr>
        <w:footnoteRef/>
      </w:r>
      <w:r>
        <w:rPr>
          <w:rtl/>
        </w:rPr>
        <w:t xml:space="preserve"> </w:t>
      </w:r>
      <w:r>
        <w:rPr>
          <w:rtl/>
        </w:rPr>
        <w:tab/>
      </w:r>
      <w:r>
        <w:rPr>
          <w:rFonts w:hint="cs"/>
          <w:rtl/>
        </w:rPr>
        <w:t xml:space="preserve">בנק ישראל, הפיקוח על הבנקים, "הפיקוח על הבנקים מודיע על הפחתת דרישות ההון מהבנקים ומנחה אותם לבחון את חלוקת הדיבידנדים על מנת להגדיל את היצע האשראי למשק" (29.3.20). שיעור ההקלה ביחס ההון: גרמניה (0.25%), אירלנד, בריטניה, הונג קונג ודנמרק (1%), קנדה (1.25%), נורבגיה (1.5%), איסלנד (2%), שוודיה (2.5%). </w:t>
      </w:r>
    </w:p>
  </w:footnote>
  <w:footnote w:id="69">
    <w:p w:rsidR="00982BC1" w:rsidP="00CB3C74" w14:paraId="00BFA354" w14:textId="77777777">
      <w:pPr>
        <w:pStyle w:val="FootnoteText"/>
        <w:spacing w:line="269" w:lineRule="auto"/>
        <w:rPr>
          <w:rtl/>
        </w:rPr>
      </w:pPr>
      <w:r w:rsidRPr="00F067A4">
        <w:rPr>
          <w:rStyle w:val="FootnoteReference"/>
        </w:rPr>
        <w:footnoteRef/>
      </w:r>
      <w:r w:rsidRPr="00F067A4">
        <w:rPr>
          <w:rtl/>
        </w:rPr>
        <w:t xml:space="preserve"> </w:t>
      </w:r>
      <w:r w:rsidRPr="00F067A4">
        <w:rPr>
          <w:rtl/>
        </w:rPr>
        <w:tab/>
      </w:r>
      <w:r w:rsidRPr="00F067A4">
        <w:rPr>
          <w:rFonts w:hint="cs"/>
          <w:rtl/>
        </w:rPr>
        <w:t>בנק ישראל, הפיקוח על הבנקים - אגף מדיניות והסדרה, "התאמות להוראות ניהול בנקאי תקין לצורך התמודדות עם וירוס הקורונה (הוראת שעה)"</w:t>
      </w:r>
      <w:r>
        <w:rPr>
          <w:rFonts w:hint="cs"/>
          <w:rtl/>
        </w:rPr>
        <w:t>, ניהול בנקאי תקין הוראה 250</w:t>
      </w:r>
      <w:r w:rsidRPr="00F067A4">
        <w:rPr>
          <w:rFonts w:hint="cs"/>
          <w:rtl/>
        </w:rPr>
        <w:t xml:space="preserve"> (</w:t>
      </w:r>
      <w:r>
        <w:rPr>
          <w:rFonts w:hint="cs"/>
          <w:rtl/>
        </w:rPr>
        <w:t>15.11.20).</w:t>
      </w:r>
    </w:p>
  </w:footnote>
  <w:footnote w:id="70">
    <w:p w:rsidR="00982BC1" w:rsidP="00CB3C74" w14:paraId="52E98590"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הפיקוח על הבנקים, "סקירת המערכת הבנקאית - מחצית ראשונה 2020" (16.11.20), עמ' 19 - 20.</w:t>
      </w:r>
    </w:p>
  </w:footnote>
  <w:footnote w:id="71">
    <w:p w:rsidR="00982BC1" w:rsidP="00CB3C74" w14:paraId="63B5BA0E" w14:textId="77777777">
      <w:pPr>
        <w:pStyle w:val="FootnoteText"/>
        <w:spacing w:line="269" w:lineRule="auto"/>
      </w:pPr>
      <w:r>
        <w:rPr>
          <w:rStyle w:val="FootnoteReference"/>
        </w:rPr>
        <w:footnoteRef/>
      </w:r>
      <w:r>
        <w:rPr>
          <w:rtl/>
        </w:rPr>
        <w:t xml:space="preserve"> </w:t>
      </w:r>
      <w:r>
        <w:rPr>
          <w:rtl/>
        </w:rPr>
        <w:tab/>
      </w:r>
      <w:r>
        <w:rPr>
          <w:rFonts w:hint="cs"/>
          <w:rtl/>
        </w:rPr>
        <w:t>על פי סעיף 2(ג) להוראה, היא חלה על חבויות במשרדי התאגיד הבנקאי בישראל בלבד (על בסיס לא מאוחד).</w:t>
      </w:r>
    </w:p>
  </w:footnote>
  <w:footnote w:id="72">
    <w:p w:rsidR="00982BC1" w:rsidP="00CB3C74" w14:paraId="4DAFA119" w14:textId="77777777">
      <w:pPr>
        <w:pStyle w:val="FootnoteText"/>
        <w:spacing w:line="269" w:lineRule="auto"/>
        <w:rPr>
          <w:rtl/>
        </w:rPr>
      </w:pPr>
      <w:r>
        <w:rPr>
          <w:rStyle w:val="FootnoteReference"/>
        </w:rPr>
        <w:footnoteRef/>
      </w:r>
      <w:r>
        <w:rPr>
          <w:rtl/>
        </w:rPr>
        <w:t xml:space="preserve"> </w:t>
      </w:r>
      <w:r>
        <w:rPr>
          <w:rtl/>
        </w:rPr>
        <w:tab/>
      </w:r>
      <w:r w:rsidRPr="00E57FAB">
        <w:rPr>
          <w:rtl/>
        </w:rPr>
        <w:t xml:space="preserve">אשראי לציבור באחריות התאגיד הבנקאי בניכוי הפרשה ספציפית לחובות מסופקים ובתוספת השקעות </w:t>
      </w:r>
      <w:r>
        <w:rPr>
          <w:rFonts w:hint="cs"/>
          <w:rtl/>
        </w:rPr>
        <w:t>באג"ח</w:t>
      </w:r>
      <w:r w:rsidRPr="00E57FAB">
        <w:rPr>
          <w:rtl/>
        </w:rPr>
        <w:t xml:space="preserve"> של הציבור ונכסים אחרים</w:t>
      </w:r>
      <w:r>
        <w:rPr>
          <w:rtl/>
        </w:rPr>
        <w:t xml:space="preserve"> בגין מכשירים נגזרים</w:t>
      </w:r>
      <w:r>
        <w:rPr>
          <w:rFonts w:hint="cs"/>
          <w:rtl/>
        </w:rPr>
        <w:t>.</w:t>
      </w:r>
    </w:p>
  </w:footnote>
  <w:footnote w:id="73">
    <w:p w:rsidR="00982BC1" w:rsidP="00CB3C74" w14:paraId="65C41924" w14:textId="77777777">
      <w:pPr>
        <w:pStyle w:val="FootnoteText"/>
        <w:spacing w:line="269" w:lineRule="auto"/>
      </w:pPr>
      <w:r>
        <w:rPr>
          <w:rStyle w:val="FootnoteReference"/>
        </w:rPr>
        <w:footnoteRef/>
      </w:r>
      <w:r>
        <w:rPr>
          <w:rtl/>
        </w:rPr>
        <w:t xml:space="preserve"> </w:t>
      </w:r>
      <w:r>
        <w:rPr>
          <w:rtl/>
        </w:rPr>
        <w:tab/>
      </w:r>
      <w:r>
        <w:rPr>
          <w:rFonts w:hint="cs"/>
          <w:rtl/>
        </w:rPr>
        <w:t xml:space="preserve">מנתונים שמסר הפיקוח על הבנקים למשרד מבקר המדינה עולה כי בסוף שנת 2019 נאמד שיעור חבות ענף הבינוי בניכוי חבויות </w:t>
      </w:r>
      <w:r w:rsidRPr="00A73CB0">
        <w:rPr>
          <w:rFonts w:hint="cs"/>
          <w:rtl/>
        </w:rPr>
        <w:t>לתשתיות לאומיות מתוך סך כל חבויות הציבור על בסיס מצרפי בקרב חמש הקבוצות הבנקאיות הגדולות ב-17.4%</w:t>
      </w:r>
      <w:r>
        <w:rPr>
          <w:rFonts w:hint="cs"/>
          <w:rtl/>
        </w:rPr>
        <w:t xml:space="preserve">, </w:t>
      </w:r>
      <w:r w:rsidRPr="00A73CB0">
        <w:rPr>
          <w:rFonts w:hint="cs"/>
          <w:rtl/>
        </w:rPr>
        <w:t>ואילו בעקבות עדכון ההוראה נאמד שיעור החבות בסוף הרבעון הראשון</w:t>
      </w:r>
      <w:r>
        <w:rPr>
          <w:rFonts w:hint="cs"/>
          <w:rtl/>
        </w:rPr>
        <w:t xml:space="preserve"> של שנת 2020 ב-17.2%,</w:t>
      </w:r>
      <w:r w:rsidRPr="00A73CB0">
        <w:rPr>
          <w:rFonts w:hint="cs"/>
          <w:rtl/>
        </w:rPr>
        <w:t xml:space="preserve"> ובסוף הרבעון השני של ש</w:t>
      </w:r>
      <w:r>
        <w:rPr>
          <w:rFonts w:hint="cs"/>
          <w:rtl/>
        </w:rPr>
        <w:t>נה זו ב</w:t>
      </w:r>
      <w:r w:rsidRPr="00A73CB0">
        <w:rPr>
          <w:rFonts w:hint="cs"/>
          <w:rtl/>
        </w:rPr>
        <w:t>-17.5%</w:t>
      </w:r>
      <w:r>
        <w:rPr>
          <w:rFonts w:hint="cs"/>
          <w:rtl/>
        </w:rPr>
        <w:t>. חלק מהקבוצות הבנקאיות היו קרובות למגבלה, בעוד המדיניות שנוקטות קבוצות אחרות נמוכה מהמגבלה שנקבעה בהוראה. בעקבות שינוי ההוראה, חלק מהקבוצות הבנקאיות הגדילו את החשיפה וחלק הקטינו את החשיפה, ואולם בבחינה מצרפית גדל היקף האשראי בענף הבינוי.</w:t>
      </w:r>
    </w:p>
  </w:footnote>
  <w:footnote w:id="74">
    <w:p w:rsidR="00982BC1" w:rsidP="00CB3C74" w14:paraId="2F056AD9" w14:textId="77777777">
      <w:pPr>
        <w:pStyle w:val="FootnoteText"/>
        <w:spacing w:line="269" w:lineRule="auto"/>
        <w:rPr>
          <w:rtl/>
        </w:rPr>
      </w:pPr>
      <w:r>
        <w:rPr>
          <w:rStyle w:val="FootnoteReference"/>
        </w:rPr>
        <w:footnoteRef/>
      </w:r>
      <w:r>
        <w:rPr>
          <w:rtl/>
        </w:rPr>
        <w:t xml:space="preserve"> </w:t>
      </w:r>
      <w:r>
        <w:rPr>
          <w:rtl/>
        </w:rPr>
        <w:tab/>
      </w:r>
      <w:r>
        <w:rPr>
          <w:rFonts w:hint="cs"/>
          <w:rtl/>
        </w:rPr>
        <w:t>ההקלה נקבעה עד תום 24 חודשים מתום תוקפה, ובלבד ששיעור החבות לא יעלה על השיעור במועד תום תוקף ההוראה.</w:t>
      </w:r>
    </w:p>
  </w:footnote>
  <w:footnote w:id="75">
    <w:p w:rsidR="00982BC1" w:rsidP="00CB3C74" w14:paraId="7DE0C877" w14:textId="77777777">
      <w:pPr>
        <w:pStyle w:val="FootnoteText"/>
        <w:spacing w:line="269" w:lineRule="auto"/>
        <w:rPr>
          <w:rtl/>
        </w:rPr>
      </w:pPr>
      <w:r>
        <w:rPr>
          <w:rStyle w:val="FootnoteReference"/>
        </w:rPr>
        <w:footnoteRef/>
      </w:r>
      <w:r>
        <w:rPr>
          <w:rtl/>
        </w:rPr>
        <w:t xml:space="preserve"> </w:t>
      </w:r>
      <w:r>
        <w:rPr>
          <w:rtl/>
        </w:rPr>
        <w:tab/>
      </w:r>
      <w:r>
        <w:rPr>
          <w:rFonts w:hint="cs"/>
          <w:rtl/>
        </w:rPr>
        <w:t xml:space="preserve">בנק ישראל, המפקח על הבנקים, הוראות הדיווח לציבור [1] (04/15), דוח שנתי של תאגיד בנקאי, </w:t>
      </w:r>
      <w:r w:rsidRPr="005E1FE1">
        <w:rPr>
          <w:rFonts w:hint="eastAsia"/>
          <w:rtl/>
        </w:rPr>
        <w:t>עמ</w:t>
      </w:r>
      <w:r>
        <w:rPr>
          <w:rFonts w:hint="cs"/>
          <w:rtl/>
        </w:rPr>
        <w:t>'</w:t>
      </w:r>
      <w:r w:rsidRPr="005E1FE1">
        <w:rPr>
          <w:rtl/>
        </w:rPr>
        <w:t xml:space="preserve"> 1</w:t>
      </w:r>
      <w:r>
        <w:rPr>
          <w:rFonts w:hint="cs"/>
          <w:rtl/>
        </w:rPr>
        <w:t xml:space="preserve">. </w:t>
      </w:r>
    </w:p>
  </w:footnote>
  <w:footnote w:id="76">
    <w:p w:rsidR="00982BC1" w:rsidP="00CB3C74" w14:paraId="337781EE" w14:textId="77777777">
      <w:pPr>
        <w:pStyle w:val="FootnoteText"/>
        <w:spacing w:line="269" w:lineRule="auto"/>
        <w:rPr>
          <w:rtl/>
        </w:rPr>
      </w:pPr>
      <w:r>
        <w:rPr>
          <w:rStyle w:val="FootnoteReference"/>
        </w:rPr>
        <w:footnoteRef/>
      </w:r>
      <w:r>
        <w:rPr>
          <w:rtl/>
        </w:rPr>
        <w:t xml:space="preserve"> </w:t>
      </w:r>
      <w:r>
        <w:rPr>
          <w:rtl/>
        </w:rPr>
        <w:tab/>
      </w:r>
      <w:r>
        <w:rPr>
          <w:rFonts w:hint="cs"/>
          <w:rtl/>
        </w:rPr>
        <w:t>בנק ישראל, דוברות והסברה כלכלית - הודעה לעיתונות, "דגשים פיקוחיים לגבי טיפול חשבונאי ודיווח לציבור לאור משבר נגיף הקורונה" (25.3.20).</w:t>
      </w:r>
    </w:p>
  </w:footnote>
  <w:footnote w:id="77">
    <w:p w:rsidR="00982BC1" w:rsidP="00CB3C74" w14:paraId="0AC05551" w14:textId="77777777">
      <w:pPr>
        <w:pStyle w:val="FootnoteText"/>
        <w:spacing w:line="269" w:lineRule="auto"/>
      </w:pPr>
      <w:r>
        <w:rPr>
          <w:rStyle w:val="FootnoteReference"/>
        </w:rPr>
        <w:footnoteRef/>
      </w:r>
      <w:r>
        <w:rPr>
          <w:rtl/>
        </w:rPr>
        <w:t xml:space="preserve"> </w:t>
      </w:r>
      <w:r>
        <w:rPr>
          <w:rtl/>
        </w:rPr>
        <w:tab/>
      </w:r>
      <w:r>
        <w:rPr>
          <w:rFonts w:hint="cs"/>
          <w:rtl/>
        </w:rPr>
        <w:t>טיוטת מכתב מקדים הועברה לתאגידים הבנקאיים ולחברות כרטיסי האשראי ביום 25.3.20.</w:t>
      </w:r>
    </w:p>
  </w:footnote>
  <w:footnote w:id="78">
    <w:p w:rsidR="00982BC1" w:rsidP="00CB3C74" w14:paraId="0F95AD57" w14:textId="77777777">
      <w:pPr>
        <w:pStyle w:val="FootnoteText"/>
        <w:spacing w:line="269" w:lineRule="auto"/>
        <w:rPr>
          <w:rtl/>
        </w:rPr>
      </w:pPr>
      <w:r>
        <w:rPr>
          <w:rStyle w:val="FootnoteReference"/>
        </w:rPr>
        <w:footnoteRef/>
      </w:r>
      <w:r>
        <w:rPr>
          <w:rtl/>
        </w:rPr>
        <w:t xml:space="preserve"> </w:t>
      </w:r>
      <w:r>
        <w:rPr>
          <w:rtl/>
        </w:rPr>
        <w:tab/>
      </w:r>
      <w:r>
        <w:rPr>
          <w:rFonts w:hint="cs"/>
          <w:rtl/>
        </w:rPr>
        <w:t xml:space="preserve">בנק ישראל, הפיקוח על הבנקים, "אירוע נגיף הקורונה - דגשים פיקוחיים לגבי טיפול בחובות ודיווח לציבור" (21.4.20). </w:t>
      </w:r>
    </w:p>
  </w:footnote>
  <w:footnote w:id="79">
    <w:p w:rsidR="00982BC1" w:rsidP="00CB3C74" w14:paraId="7C279CD2" w14:textId="77777777">
      <w:pPr>
        <w:pStyle w:val="FootnoteText"/>
        <w:spacing w:line="269" w:lineRule="auto"/>
        <w:rPr>
          <w:rtl/>
        </w:rPr>
      </w:pPr>
      <w:r>
        <w:rPr>
          <w:rStyle w:val="FootnoteReference"/>
        </w:rPr>
        <w:footnoteRef/>
      </w:r>
      <w:r>
        <w:rPr>
          <w:rFonts w:hint="cs"/>
          <w:rtl/>
        </w:rPr>
        <w:t xml:space="preserve"> </w:t>
      </w:r>
      <w:r>
        <w:rPr>
          <w:rFonts w:hint="cs"/>
          <w:rtl/>
        </w:rPr>
        <w:tab/>
        <w:t>מכשיר פיננסי המאגד משקיעים לצורך השקעה משותפת בניירות ערך והפקת רווחים מהחזקתם.</w:t>
      </w:r>
    </w:p>
  </w:footnote>
  <w:footnote w:id="80">
    <w:p w:rsidR="00982BC1" w:rsidP="00CB3C74" w14:paraId="16B829AA" w14:textId="77777777">
      <w:pPr>
        <w:pStyle w:val="FootnoteText"/>
        <w:spacing w:line="269" w:lineRule="auto"/>
      </w:pPr>
      <w:r>
        <w:rPr>
          <w:rStyle w:val="FootnoteReference"/>
        </w:rPr>
        <w:footnoteRef/>
      </w:r>
      <w:r>
        <w:rPr>
          <w:rFonts w:hint="cs"/>
          <w:rtl/>
        </w:rPr>
        <w:t xml:space="preserve"> </w:t>
      </w:r>
      <w:r>
        <w:rPr>
          <w:rFonts w:hint="cs"/>
          <w:rtl/>
        </w:rPr>
        <w:tab/>
        <w:t>יתרון מרכזי הגלום בהשקעה בקרנות הנאמנות הוא נזילותן הגבוהה המאפשרת לרכוש או לפדות יחידות בכל יום בו מתנהל המסחר.</w:t>
      </w:r>
    </w:p>
  </w:footnote>
  <w:footnote w:id="81">
    <w:p w:rsidR="00982BC1" w:rsidP="00CB3C74" w14:paraId="32231E86" w14:textId="77777777">
      <w:pPr>
        <w:pStyle w:val="FootnoteText"/>
        <w:spacing w:line="269" w:lineRule="auto"/>
      </w:pPr>
      <w:r>
        <w:rPr>
          <w:rStyle w:val="FootnoteReference"/>
        </w:rPr>
        <w:footnoteRef/>
      </w:r>
      <w:r>
        <w:rPr>
          <w:rFonts w:hint="cs"/>
          <w:rtl/>
        </w:rPr>
        <w:t xml:space="preserve"> </w:t>
      </w:r>
      <w:r>
        <w:rPr>
          <w:rFonts w:hint="cs"/>
          <w:rtl/>
        </w:rPr>
        <w:tab/>
        <w:t>רשות ני"ע, המחלקה הכלכלית, "משבר הקורונה - אוגדן נתונים" (יולי 2020), עמ' 29.</w:t>
      </w:r>
    </w:p>
  </w:footnote>
  <w:footnote w:id="82">
    <w:p w:rsidR="00982BC1" w:rsidP="00CB3C74" w14:paraId="0856C443" w14:textId="77777777">
      <w:pPr>
        <w:pStyle w:val="FootnoteText"/>
        <w:spacing w:line="269" w:lineRule="auto"/>
      </w:pPr>
      <w:r>
        <w:rPr>
          <w:rStyle w:val="FootnoteReference"/>
        </w:rPr>
        <w:footnoteRef/>
      </w:r>
      <w:r>
        <w:rPr>
          <w:rFonts w:hint="cs"/>
          <w:rtl/>
        </w:rPr>
        <w:t xml:space="preserve"> </w:t>
      </w:r>
      <w:r>
        <w:rPr>
          <w:rFonts w:hint="cs"/>
          <w:rtl/>
        </w:rPr>
        <w:tab/>
        <w:t>דרישה להגדיל את המזומן בחשבון הביטחון הנובעת משינוי מחיר לכיוון מנוגד לפוזיציה של הסוחר.</w:t>
      </w:r>
    </w:p>
  </w:footnote>
  <w:footnote w:id="83">
    <w:p w:rsidR="00982BC1" w:rsidP="00CB3C74" w14:paraId="03B4000E" w14:textId="77777777">
      <w:pPr>
        <w:pStyle w:val="FootnoteText"/>
        <w:spacing w:line="269" w:lineRule="auto"/>
        <w:rPr>
          <w:rtl/>
        </w:rPr>
      </w:pPr>
      <w:r>
        <w:rPr>
          <w:rStyle w:val="FootnoteReference"/>
        </w:rPr>
        <w:footnoteRef/>
      </w:r>
      <w:r>
        <w:rPr>
          <w:rFonts w:hint="cs"/>
          <w:rtl/>
        </w:rPr>
        <w:t xml:space="preserve"> </w:t>
      </w:r>
      <w:r>
        <w:rPr>
          <w:rFonts w:hint="cs"/>
          <w:rtl/>
        </w:rPr>
        <w:tab/>
        <w:t>לפי נתוני בנק ישראל, החטיבה למידע ולסטטיסטיקה - יחידת שוק ההון, בנקאות וביטוח: ערב המשבר החזיקו הגופים המוסדיים וקרנות הנאמנות כמחצית מסך אג"ח הממשלתיות הסחירות.</w:t>
      </w:r>
    </w:p>
  </w:footnote>
  <w:footnote w:id="84">
    <w:p w:rsidR="00982BC1" w:rsidP="00CB3C74" w14:paraId="2B72D807" w14:textId="77777777">
      <w:pPr>
        <w:pStyle w:val="FootnoteText"/>
        <w:spacing w:line="269" w:lineRule="auto"/>
        <w:rPr>
          <w:rtl/>
        </w:rPr>
      </w:pPr>
      <w:r>
        <w:rPr>
          <w:rStyle w:val="FootnoteReference"/>
        </w:rPr>
        <w:footnoteRef/>
      </w:r>
      <w:r>
        <w:rPr>
          <w:rFonts w:hint="cs"/>
          <w:rtl/>
        </w:rPr>
        <w:t xml:space="preserve"> </w:t>
      </w:r>
      <w:r>
        <w:rPr>
          <w:rFonts w:hint="cs"/>
          <w:rtl/>
        </w:rPr>
        <w:tab/>
        <w:t xml:space="preserve">שוק שבו ניתן ללוות לתקופה קצרה דולרים בתמורה לשקלים בלי לבצע קנייה ישירה. </w:t>
      </w:r>
    </w:p>
  </w:footnote>
  <w:footnote w:id="85">
    <w:p w:rsidR="00982BC1" w:rsidP="00CB3C74" w14:paraId="6FD64E32" w14:textId="77777777">
      <w:pPr>
        <w:pStyle w:val="FootnoteText"/>
        <w:spacing w:line="269" w:lineRule="auto"/>
      </w:pPr>
      <w:r>
        <w:rPr>
          <w:rStyle w:val="FootnoteReference"/>
        </w:rPr>
        <w:footnoteRef/>
      </w:r>
      <w:r>
        <w:rPr>
          <w:rFonts w:hint="cs"/>
          <w:rtl/>
        </w:rPr>
        <w:t xml:space="preserve"> </w:t>
      </w:r>
      <w:r>
        <w:rPr>
          <w:rFonts w:hint="cs"/>
          <w:rtl/>
        </w:rPr>
        <w:tab/>
        <w:t>שוק שבו ניתן לבצע עסקת חליפין של מטבעות בתוך שני ימי עסקים לפי שער החליפין בתוספת הפרשי ריבית.</w:t>
      </w:r>
    </w:p>
  </w:footnote>
  <w:footnote w:id="86">
    <w:p w:rsidR="00982BC1" w:rsidP="00CB3C74" w14:paraId="0B82C336" w14:textId="77777777">
      <w:pPr>
        <w:pStyle w:val="FootnoteText"/>
        <w:spacing w:line="269" w:lineRule="auto"/>
        <w:rPr>
          <w:rtl/>
        </w:rPr>
      </w:pPr>
      <w:r>
        <w:rPr>
          <w:rStyle w:val="FootnoteReference"/>
        </w:rPr>
        <w:footnoteRef/>
      </w:r>
      <w:r>
        <w:rPr>
          <w:rFonts w:hint="cs"/>
          <w:rtl/>
        </w:rPr>
        <w:t xml:space="preserve"> </w:t>
      </w:r>
      <w:r>
        <w:rPr>
          <w:rFonts w:hint="cs"/>
          <w:rtl/>
        </w:rPr>
        <w:tab/>
        <w:t>בנק ישראל, תחום היציבות הפיננסית, "נזילות השווקים מבחינת היציבות הפיננסית - מדידה ויישום לישראל" (אוגוסט 2006), עמ' 3.</w:t>
      </w:r>
    </w:p>
  </w:footnote>
  <w:footnote w:id="87">
    <w:p w:rsidR="00982BC1" w:rsidP="00CB3C74" w14:paraId="3287A996" w14:textId="77777777">
      <w:pPr>
        <w:pStyle w:val="FootnoteText"/>
        <w:spacing w:line="269" w:lineRule="auto"/>
        <w:rPr>
          <w:rtl/>
        </w:rPr>
      </w:pPr>
      <w:r>
        <w:rPr>
          <w:rStyle w:val="FootnoteReference"/>
        </w:rPr>
        <w:footnoteRef/>
      </w:r>
      <w:r>
        <w:rPr>
          <w:rFonts w:hint="cs"/>
          <w:rtl/>
        </w:rPr>
        <w:t xml:space="preserve"> </w:t>
      </w:r>
      <w:r>
        <w:rPr>
          <w:rFonts w:hint="cs"/>
          <w:rtl/>
        </w:rPr>
        <w:tab/>
        <w:t>עסקת מכר חוזר קצובה בזמן, לפיה הציע בנק ישראל לרכוש אג"ח ממשלתיות סחירות ומק"מ במחיר שהוגדר מבעוד מועד ומכירתן בחזרה בתוספת ריבית בנק ישראל בסוף התקופה.</w:t>
      </w:r>
    </w:p>
  </w:footnote>
  <w:footnote w:id="88">
    <w:p w:rsidR="00982BC1" w:rsidP="00CB3C74" w14:paraId="1981B776" w14:textId="77777777">
      <w:pPr>
        <w:pStyle w:val="FootnoteText"/>
        <w:spacing w:line="269" w:lineRule="auto"/>
        <w:rPr>
          <w:rtl/>
        </w:rPr>
      </w:pPr>
      <w:r>
        <w:rPr>
          <w:rStyle w:val="FootnoteReference"/>
        </w:rPr>
        <w:footnoteRef/>
      </w:r>
      <w:r>
        <w:rPr>
          <w:rFonts w:hint="cs"/>
          <w:rtl/>
        </w:rPr>
        <w:t xml:space="preserve"> </w:t>
      </w:r>
      <w:r>
        <w:rPr>
          <w:rFonts w:hint="cs"/>
          <w:rtl/>
        </w:rPr>
        <w:tab/>
        <w:t xml:space="preserve">בנק ישראל, דוברות והסברה כלכלית - הודעה לעיתונות, "בנק ישראל יפעיל החל מהיום כלים מוניטריים נוספים - רכישת אג"ח ממשלתי וביצוע עסקאות ריפו מול מוסדות פיננסיים", (15.3.20). </w:t>
      </w:r>
    </w:p>
  </w:footnote>
  <w:footnote w:id="89">
    <w:p w:rsidR="00982BC1" w:rsidP="00CB3C74" w14:paraId="2067E6C9" w14:textId="77777777">
      <w:pPr>
        <w:pStyle w:val="FootnoteText"/>
        <w:spacing w:line="269" w:lineRule="auto"/>
        <w:rPr>
          <w:rtl/>
        </w:rPr>
      </w:pPr>
      <w:r>
        <w:rPr>
          <w:rStyle w:val="FootnoteReference"/>
        </w:rPr>
        <w:footnoteRef/>
      </w:r>
      <w:r>
        <w:rPr>
          <w:rFonts w:hint="cs"/>
          <w:rtl/>
        </w:rPr>
        <w:t xml:space="preserve"> </w:t>
      </w:r>
      <w:r>
        <w:rPr>
          <w:rFonts w:hint="cs"/>
          <w:rtl/>
        </w:rPr>
        <w:tab/>
        <w:t xml:space="preserve">עסקה לקניית נכס פיננסי תמורת אחר, תוך כדי השלמת עסקה עתידית הפוכה לפי מחיר ותאריך הנקבעים מבעוד מועד. </w:t>
      </w:r>
    </w:p>
  </w:footnote>
  <w:footnote w:id="90">
    <w:p w:rsidR="00982BC1" w:rsidRPr="0073731D" w:rsidP="00CB3C74" w14:paraId="4D0D7A58" w14:textId="77777777">
      <w:pPr>
        <w:pStyle w:val="FootnoteText"/>
        <w:spacing w:line="269" w:lineRule="auto"/>
      </w:pPr>
      <w:r>
        <w:rPr>
          <w:rStyle w:val="FootnoteReference"/>
        </w:rPr>
        <w:footnoteRef/>
      </w:r>
      <w:r>
        <w:rPr>
          <w:rtl/>
        </w:rPr>
        <w:t xml:space="preserve"> </w:t>
      </w:r>
      <w:r>
        <w:rPr>
          <w:rtl/>
        </w:rPr>
        <w:tab/>
      </w:r>
      <w:r>
        <w:rPr>
          <w:rFonts w:hint="cs"/>
          <w:rtl/>
        </w:rPr>
        <w:t xml:space="preserve">יתרת עסקאות ריפו והחלף דולר/שקל בבנק ישראל הם 5.5 מיליארד ש"ח ו-7.5 מיליארד דולר בהתאמה, נכון </w:t>
      </w:r>
      <w:r w:rsidRPr="0073731D">
        <w:rPr>
          <w:rFonts w:hint="cs"/>
          <w:rtl/>
        </w:rPr>
        <w:t xml:space="preserve">ליום 31.320 ו-1.8 מיליארד ש"ח ו-7.5 מיליארד דולר, בהתאמה, נכון ליום 30.4.20. </w:t>
      </w:r>
    </w:p>
  </w:footnote>
  <w:footnote w:id="91">
    <w:p w:rsidR="00982BC1" w:rsidP="00CB3C74" w14:paraId="7015F17C" w14:textId="63B1AF04">
      <w:pPr>
        <w:pStyle w:val="FootnoteText"/>
        <w:spacing w:line="269" w:lineRule="auto"/>
        <w:rPr>
          <w:rtl/>
        </w:rPr>
      </w:pPr>
      <w:r>
        <w:rPr>
          <w:rStyle w:val="FootnoteReference"/>
        </w:rPr>
        <w:footnoteRef/>
      </w:r>
      <w:r>
        <w:rPr>
          <w:rtl/>
        </w:rPr>
        <w:t xml:space="preserve"> </w:t>
      </w:r>
      <w:r>
        <w:rPr>
          <w:rtl/>
        </w:rPr>
        <w:tab/>
      </w:r>
      <w:r w:rsidRPr="0073731D">
        <w:rPr>
          <w:rFonts w:hint="eastAsia"/>
          <w:rtl/>
        </w:rPr>
        <w:t>ראו</w:t>
      </w:r>
      <w:r w:rsidRPr="0073731D">
        <w:rPr>
          <w:rtl/>
        </w:rPr>
        <w:t xml:space="preserve"> </w:t>
      </w:r>
      <w:r w:rsidRPr="0073731D">
        <w:rPr>
          <w:rFonts w:hint="eastAsia"/>
          <w:rtl/>
        </w:rPr>
        <w:t>הרצאת</w:t>
      </w:r>
      <w:r w:rsidRPr="0073731D">
        <w:rPr>
          <w:rtl/>
        </w:rPr>
        <w:t xml:space="preserve"> </w:t>
      </w:r>
      <w:r w:rsidRPr="0073731D">
        <w:rPr>
          <w:rFonts w:hint="eastAsia"/>
          <w:rtl/>
        </w:rPr>
        <w:t>נגיד</w:t>
      </w:r>
      <w:r w:rsidRPr="0073731D">
        <w:rPr>
          <w:rtl/>
        </w:rPr>
        <w:t xml:space="preserve"> </w:t>
      </w:r>
      <w:r w:rsidRPr="0073731D">
        <w:rPr>
          <w:rFonts w:hint="eastAsia"/>
          <w:rtl/>
        </w:rPr>
        <w:t>בנק</w:t>
      </w:r>
      <w:r w:rsidRPr="0073731D">
        <w:rPr>
          <w:rtl/>
        </w:rPr>
        <w:t xml:space="preserve"> </w:t>
      </w:r>
      <w:r w:rsidRPr="0073731D">
        <w:rPr>
          <w:rFonts w:hint="eastAsia"/>
          <w:rtl/>
        </w:rPr>
        <w:t>ישראל</w:t>
      </w:r>
      <w:r w:rsidRPr="0073731D">
        <w:rPr>
          <w:rtl/>
        </w:rPr>
        <w:t xml:space="preserve"> </w:t>
      </w:r>
      <w:r w:rsidRPr="0073731D">
        <w:rPr>
          <w:rFonts w:hint="eastAsia"/>
          <w:rtl/>
        </w:rPr>
        <w:t>לכנס</w:t>
      </w:r>
      <w:r w:rsidRPr="0073731D">
        <w:rPr>
          <w:rtl/>
        </w:rPr>
        <w:t xml:space="preserve"> </w:t>
      </w:r>
      <w:r w:rsidRPr="0073731D">
        <w:rPr>
          <w:rFonts w:hint="eastAsia"/>
          <w:rtl/>
        </w:rPr>
        <w:t>האגודה</w:t>
      </w:r>
      <w:r w:rsidRPr="0073731D">
        <w:rPr>
          <w:rtl/>
        </w:rPr>
        <w:t xml:space="preserve"> </w:t>
      </w:r>
      <w:r w:rsidRPr="0073731D">
        <w:rPr>
          <w:rFonts w:hint="eastAsia"/>
          <w:rtl/>
        </w:rPr>
        <w:t>הישראלית</w:t>
      </w:r>
      <w:r w:rsidRPr="0073731D">
        <w:rPr>
          <w:rtl/>
        </w:rPr>
        <w:t xml:space="preserve"> </w:t>
      </w:r>
      <w:r w:rsidRPr="0073731D">
        <w:rPr>
          <w:rFonts w:hint="eastAsia"/>
          <w:rtl/>
        </w:rPr>
        <w:t>לכלכלה</w:t>
      </w:r>
      <w:r w:rsidRPr="0073731D">
        <w:rPr>
          <w:rtl/>
        </w:rPr>
        <w:t xml:space="preserve"> </w:t>
      </w:r>
      <w:r w:rsidRPr="0073731D">
        <w:rPr>
          <w:rFonts w:hint="eastAsia"/>
          <w:rtl/>
        </w:rPr>
        <w:t>מיום</w:t>
      </w:r>
      <w:r w:rsidRPr="0073731D">
        <w:rPr>
          <w:rtl/>
        </w:rPr>
        <w:t xml:space="preserve"> 14.6.20.</w:t>
      </w:r>
    </w:p>
  </w:footnote>
  <w:footnote w:id="92">
    <w:p w:rsidR="00982BC1" w:rsidP="00CB3C74" w14:paraId="4C38C7DE" w14:textId="77777777">
      <w:pPr>
        <w:pStyle w:val="FootnoteText"/>
        <w:spacing w:line="269" w:lineRule="auto"/>
      </w:pPr>
      <w:r>
        <w:rPr>
          <w:rStyle w:val="FootnoteReference"/>
        </w:rPr>
        <w:footnoteRef/>
      </w:r>
      <w:r>
        <w:rPr>
          <w:rFonts w:hint="cs"/>
          <w:rtl/>
        </w:rPr>
        <w:t xml:space="preserve"> </w:t>
      </w:r>
      <w:r>
        <w:rPr>
          <w:rFonts w:hint="cs"/>
          <w:rtl/>
        </w:rPr>
        <w:tab/>
        <w:t>בנק ישראל, חטיבת הפיקוח על הבנקים - היחידה הכלכלית, "סקירת המערכת הבנקאית - מחצית ראשונה 2020" (15.11.20), עמ' 3.</w:t>
      </w:r>
    </w:p>
  </w:footnote>
  <w:footnote w:id="93">
    <w:p w:rsidR="00982BC1" w:rsidP="00CB3C74" w14:paraId="39586C09" w14:textId="77777777">
      <w:pPr>
        <w:pStyle w:val="FootnoteText"/>
        <w:spacing w:line="269" w:lineRule="auto"/>
      </w:pPr>
      <w:r>
        <w:rPr>
          <w:rStyle w:val="FootnoteReference"/>
        </w:rPr>
        <w:footnoteRef/>
      </w:r>
      <w:r>
        <w:rPr>
          <w:rFonts w:hint="cs"/>
          <w:rtl/>
        </w:rPr>
        <w:t xml:space="preserve"> </w:t>
      </w:r>
      <w:r>
        <w:rPr>
          <w:rFonts w:hint="cs"/>
          <w:rtl/>
        </w:rPr>
        <w:tab/>
        <w:t>בהובלת ירידה בהכנסות ממניות ומהפרשי שער.</w:t>
      </w:r>
    </w:p>
  </w:footnote>
  <w:footnote w:id="94">
    <w:p w:rsidR="00982BC1" w:rsidP="00CB3C74" w14:paraId="10356DB0" w14:textId="77777777">
      <w:pPr>
        <w:pStyle w:val="FootnoteText"/>
        <w:spacing w:line="269" w:lineRule="auto"/>
        <w:rPr>
          <w:rtl/>
        </w:rPr>
      </w:pPr>
      <w:r>
        <w:rPr>
          <w:rStyle w:val="FootnoteReference"/>
        </w:rPr>
        <w:footnoteRef/>
      </w:r>
      <w:r>
        <w:rPr>
          <w:rFonts w:hint="cs"/>
          <w:rtl/>
        </w:rPr>
        <w:t xml:space="preserve"> </w:t>
      </w:r>
      <w:r>
        <w:rPr>
          <w:rFonts w:hint="cs"/>
          <w:rtl/>
        </w:rPr>
        <w:tab/>
        <w:t xml:space="preserve">הנחת יסוד מרכזית: צמיחה שנתית בשיעור של 2.5% לפחות בהיקף האשראי, בניגוד להתכווצות התוצר ובמטרה לבחון את יכולת המערכת הבנקאית לתמוך במשק במהלך המשבר. </w:t>
      </w:r>
    </w:p>
  </w:footnote>
  <w:footnote w:id="95">
    <w:p w:rsidR="00982BC1" w:rsidP="00CB3C74" w14:paraId="6CBDB94C" w14:textId="77777777">
      <w:pPr>
        <w:pStyle w:val="FootnoteText"/>
        <w:spacing w:line="269" w:lineRule="auto"/>
      </w:pPr>
      <w:r>
        <w:rPr>
          <w:rStyle w:val="FootnoteReference"/>
        </w:rPr>
        <w:footnoteRef/>
      </w:r>
      <w:r>
        <w:rPr>
          <w:rFonts w:hint="cs"/>
          <w:rtl/>
        </w:rPr>
        <w:t xml:space="preserve"> </w:t>
      </w:r>
      <w:r>
        <w:rPr>
          <w:rFonts w:hint="cs"/>
          <w:rtl/>
        </w:rPr>
        <w:tab/>
        <w:t>נקודות הפתיחה לתרחישים היא דצמבר 2019 ועד לדצמבר 2021, ונעשה שימוש בנתוני האמת שדיווחה המערכת הבנקאית בחודש מרץ 2020.</w:t>
      </w:r>
    </w:p>
  </w:footnote>
  <w:footnote w:id="96">
    <w:p w:rsidR="00982BC1" w:rsidP="00CB3C74" w14:paraId="457A99F0" w14:textId="77777777">
      <w:pPr>
        <w:pStyle w:val="FootnoteText"/>
        <w:spacing w:line="269" w:lineRule="auto"/>
        <w:rPr>
          <w:rtl/>
        </w:rPr>
      </w:pPr>
      <w:r>
        <w:rPr>
          <w:rStyle w:val="FootnoteReference"/>
        </w:rPr>
        <w:footnoteRef/>
      </w:r>
      <w:r>
        <w:rPr>
          <w:rFonts w:hint="cs"/>
          <w:rtl/>
        </w:rPr>
        <w:t xml:space="preserve"> </w:t>
      </w:r>
      <w:r>
        <w:rPr>
          <w:rFonts w:hint="cs"/>
          <w:rtl/>
        </w:rPr>
        <w:tab/>
        <w:t>תרחיש המשקף את הנתיב הצפוי של הכלכלה בשגרת קורונה: התאוששות הדרגתית החל במחצית השנייה של שנת 2020 ו-2021 תחת מגבלות של ריחוק חברתי שממשיכות ליצור חיכוך בפעילות הכלכלית וביקושים נמוכים, בדומה למדינות אחרות.</w:t>
      </w:r>
    </w:p>
  </w:footnote>
  <w:footnote w:id="97">
    <w:p w:rsidR="00982BC1" w:rsidP="00CB3C74" w14:paraId="0B705373" w14:textId="77777777">
      <w:pPr>
        <w:pStyle w:val="FootnoteText"/>
        <w:spacing w:line="269" w:lineRule="auto"/>
      </w:pPr>
      <w:r>
        <w:rPr>
          <w:rStyle w:val="FootnoteReference"/>
        </w:rPr>
        <w:footnoteRef/>
      </w:r>
      <w:r>
        <w:rPr>
          <w:rFonts w:hint="cs"/>
          <w:rtl/>
        </w:rPr>
        <w:t xml:space="preserve"> </w:t>
      </w:r>
      <w:r>
        <w:rPr>
          <w:rFonts w:hint="cs"/>
          <w:rtl/>
        </w:rPr>
        <w:tab/>
        <w:t xml:space="preserve">התפרצות מחודשת של נגיף הקורונה ברבעון האחרון של 2020 שיביא להשבתת המשק בשנית, אולם השפעתו הכלכלית בעוצמה פחותה. תרחיש זה כלל התכווצות נוספת של התוצר, בצד עלייה באבטלה ופגיעה במחירי הדיור וכן זעזוע בשוק ההון. </w:t>
      </w:r>
    </w:p>
  </w:footnote>
  <w:footnote w:id="98">
    <w:p w:rsidR="00982BC1" w:rsidP="00CB3C74" w14:paraId="6F3E0C49" w14:textId="77777777">
      <w:pPr>
        <w:pStyle w:val="FootnoteText"/>
        <w:spacing w:line="269" w:lineRule="auto"/>
        <w:rPr>
          <w:rtl/>
        </w:rPr>
      </w:pPr>
      <w:r>
        <w:rPr>
          <w:rStyle w:val="FootnoteReference"/>
        </w:rPr>
        <w:footnoteRef/>
      </w:r>
      <w:r>
        <w:rPr>
          <w:rFonts w:hint="cs"/>
          <w:rtl/>
        </w:rPr>
        <w:t xml:space="preserve"> </w:t>
      </w:r>
      <w:r>
        <w:rPr>
          <w:rFonts w:hint="cs"/>
          <w:rtl/>
        </w:rPr>
        <w:tab/>
        <w:t>רשות ני"ע, הודעת סגל, "גילוי בדבר השלכות התפשטות נגיף הקורונה על הפעילות העסקית של תאגידים מדווחים" (8.3.20).</w:t>
      </w:r>
    </w:p>
  </w:footnote>
  <w:footnote w:id="99">
    <w:p w:rsidR="00982BC1" w:rsidP="00CB3C74" w14:paraId="3A6A3E7C" w14:textId="77777777">
      <w:pPr>
        <w:pStyle w:val="FootnoteText"/>
        <w:spacing w:line="269" w:lineRule="auto"/>
        <w:rPr>
          <w:rtl/>
        </w:rPr>
      </w:pPr>
      <w:r>
        <w:rPr>
          <w:rStyle w:val="FootnoteReference"/>
        </w:rPr>
        <w:footnoteRef/>
      </w:r>
      <w:r>
        <w:rPr>
          <w:rFonts w:hint="cs"/>
          <w:rtl/>
        </w:rPr>
        <w:t xml:space="preserve"> </w:t>
      </w:r>
      <w:r>
        <w:rPr>
          <w:rFonts w:hint="cs"/>
          <w:rtl/>
        </w:rPr>
        <w:tab/>
        <w:t>בהתאם להוראות תקנה 36 לתקנות ניירות ערך (דוחות תקופתיים ומיידיים), התש"ל-1970.</w:t>
      </w:r>
    </w:p>
  </w:footnote>
  <w:footnote w:id="100">
    <w:p w:rsidR="00982BC1" w:rsidP="00CB3C74" w14:paraId="18EBFF87" w14:textId="77777777">
      <w:pPr>
        <w:pStyle w:val="FootnoteText"/>
        <w:spacing w:line="269" w:lineRule="auto"/>
        <w:rPr>
          <w:rtl/>
        </w:rPr>
      </w:pPr>
      <w:r>
        <w:rPr>
          <w:rStyle w:val="FootnoteReference"/>
        </w:rPr>
        <w:footnoteRef/>
      </w:r>
      <w:r>
        <w:rPr>
          <w:rFonts w:hint="cs"/>
          <w:rtl/>
        </w:rPr>
        <w:t xml:space="preserve"> </w:t>
      </w:r>
      <w:r>
        <w:rPr>
          <w:rFonts w:hint="cs"/>
          <w:rtl/>
        </w:rPr>
        <w:tab/>
        <w:t>עוד הוגדר כי על מידע זה להינתן בקשר לאירועים שהתרחשו בתקופת הדוח ולאחר תאריך המאזן, בהתאם לתקנה 10 לתקנות ניירות ערך (דוחות תקופתיים ומיידיים), התש"ל-1970.</w:t>
      </w:r>
    </w:p>
  </w:footnote>
  <w:footnote w:id="101">
    <w:p w:rsidR="00982BC1" w:rsidP="00CB3C74" w14:paraId="30B6A7C6" w14:textId="77777777">
      <w:pPr>
        <w:pStyle w:val="FootnoteText"/>
        <w:spacing w:line="269" w:lineRule="auto"/>
        <w:rPr>
          <w:rtl/>
        </w:rPr>
      </w:pPr>
      <w:r>
        <w:rPr>
          <w:rStyle w:val="FootnoteReference"/>
        </w:rPr>
        <w:footnoteRef/>
      </w:r>
      <w:r>
        <w:rPr>
          <w:rFonts w:hint="cs"/>
          <w:rtl/>
        </w:rPr>
        <w:t xml:space="preserve"> </w:t>
      </w:r>
      <w:r>
        <w:rPr>
          <w:rFonts w:hint="cs"/>
          <w:rtl/>
        </w:rPr>
        <w:tab/>
        <w:t>רשות ני"ע, המחלקה הכלכלית, "משבר הקורונה - אוגדן ניתוחים" (יולי 2020), עמ' 28.</w:t>
      </w:r>
    </w:p>
  </w:footnote>
  <w:footnote w:id="102">
    <w:p w:rsidR="00982BC1" w:rsidP="00CB3C74" w14:paraId="6A4F2694" w14:textId="77777777">
      <w:pPr>
        <w:pStyle w:val="FootnoteText"/>
        <w:spacing w:line="269" w:lineRule="auto"/>
      </w:pPr>
      <w:r>
        <w:rPr>
          <w:rStyle w:val="FootnoteReference"/>
        </w:rPr>
        <w:footnoteRef/>
      </w:r>
      <w:r>
        <w:rPr>
          <w:rtl/>
        </w:rPr>
        <w:t xml:space="preserve"> </w:t>
      </w:r>
      <w:r>
        <w:rPr>
          <w:rtl/>
        </w:rPr>
        <w:tab/>
      </w:r>
      <w:r>
        <w:rPr>
          <w:rFonts w:hint="cs"/>
          <w:rtl/>
        </w:rPr>
        <w:t>מערכת מידע לקליטתם ולהפצתם דרך רשת האינטרנט של מכלול הדיווחים הנדרשים מגופים הכפופים לפיקוחה של רשות ני"ע.</w:t>
      </w:r>
    </w:p>
  </w:footnote>
  <w:footnote w:id="103">
    <w:p w:rsidR="00982BC1" w:rsidP="00CB3C74" w14:paraId="7987D8D3" w14:textId="77777777">
      <w:pPr>
        <w:pStyle w:val="FootnoteText"/>
        <w:spacing w:line="269" w:lineRule="auto"/>
      </w:pPr>
      <w:r>
        <w:rPr>
          <w:rStyle w:val="FootnoteReference"/>
        </w:rPr>
        <w:footnoteRef/>
      </w:r>
      <w:r>
        <w:rPr>
          <w:rFonts w:hint="cs"/>
          <w:rtl/>
        </w:rPr>
        <w:t xml:space="preserve"> </w:t>
      </w:r>
      <w:r>
        <w:rPr>
          <w:rFonts w:hint="cs"/>
          <w:rtl/>
        </w:rPr>
        <w:tab/>
        <w:t xml:space="preserve">תקנות שעת חירום (הגבלת מספר העובדים במקום עבודה לשם צמצום התפשטות נגיף הקורונה החדש), התש"ף-2020. </w:t>
      </w:r>
    </w:p>
  </w:footnote>
  <w:footnote w:id="104">
    <w:p w:rsidR="00982BC1" w:rsidP="00CB3C74" w14:paraId="6B96076B" w14:textId="77777777">
      <w:pPr>
        <w:pStyle w:val="FootnoteText"/>
        <w:spacing w:line="269" w:lineRule="auto"/>
        <w:rPr>
          <w:rtl/>
        </w:rPr>
      </w:pPr>
      <w:r>
        <w:rPr>
          <w:rStyle w:val="FootnoteReference"/>
        </w:rPr>
        <w:footnoteRef/>
      </w:r>
      <w:r>
        <w:rPr>
          <w:rFonts w:hint="cs"/>
          <w:rtl/>
        </w:rPr>
        <w:t xml:space="preserve"> </w:t>
      </w:r>
      <w:r>
        <w:rPr>
          <w:rFonts w:hint="cs"/>
          <w:rtl/>
        </w:rPr>
        <w:tab/>
        <w:t xml:space="preserve">אלא אם כן אותם גופים מנויים בתקנת משנה (ב)(1) עד (9) ו-(11) או בתקנת משנה (ד). התוספת כוללת תחומי פעילות רבים, וביניהם: מגזר פיננסי, אנרגיה, מים, זכויות ניצולי שואה, מזון ומשקאות, שירותי הובלה, אחסנה ועמילות מכס, חקלאות, טואלטיקה, ניקיון ותמרוקים ונמלים וספנות. </w:t>
      </w:r>
    </w:p>
  </w:footnote>
  <w:footnote w:id="105">
    <w:p w:rsidR="00982BC1" w:rsidP="00CB3C74" w14:paraId="75A77BF2" w14:textId="77777777">
      <w:pPr>
        <w:pStyle w:val="FootnoteText"/>
        <w:spacing w:line="269" w:lineRule="auto"/>
        <w:rPr>
          <w:rtl/>
        </w:rPr>
      </w:pPr>
      <w:r>
        <w:rPr>
          <w:rStyle w:val="FootnoteReference"/>
        </w:rPr>
        <w:footnoteRef/>
      </w:r>
      <w:r>
        <w:rPr>
          <w:rtl/>
        </w:rPr>
        <w:t xml:space="preserve"> </w:t>
      </w:r>
      <w:r>
        <w:rPr>
          <w:rtl/>
        </w:rPr>
        <w:tab/>
      </w:r>
      <w:r>
        <w:rPr>
          <w:rFonts w:hint="cs"/>
          <w:rtl/>
        </w:rPr>
        <w:t>תקנות סמכויות מיוחדות להתמודדות עם נגיף הקורונה החדש (הוראת שעה) (הגבלת פעילות במקומות עבודה), התש"ף-2020, ק"ת 1950.</w:t>
      </w:r>
    </w:p>
  </w:footnote>
  <w:footnote w:id="106">
    <w:p w:rsidR="00982BC1" w:rsidP="00CB3C74" w14:paraId="354AD84B" w14:textId="77777777">
      <w:pPr>
        <w:pStyle w:val="FootnoteText"/>
        <w:spacing w:line="269" w:lineRule="auto"/>
        <w:rPr>
          <w:rtl/>
        </w:rPr>
      </w:pPr>
      <w:r>
        <w:rPr>
          <w:rStyle w:val="FootnoteReference"/>
        </w:rPr>
        <w:footnoteRef/>
      </w:r>
      <w:r>
        <w:rPr>
          <w:rtl/>
        </w:rPr>
        <w:t xml:space="preserve"> </w:t>
      </w:r>
      <w:r>
        <w:rPr>
          <w:rtl/>
        </w:rPr>
        <w:tab/>
      </w:r>
      <w:r>
        <w:rPr>
          <w:rFonts w:hint="cs"/>
          <w:rtl/>
        </w:rPr>
        <w:t>תקנות סמכויות מיוחדות להתמודדות עם נגיף הקורונה החדש (הוראת שעה) (הגבלת פעילות במקום עבודה) (תיקון), התשפ"א-2020, ק"ת 38.</w:t>
      </w:r>
    </w:p>
  </w:footnote>
  <w:footnote w:id="107">
    <w:p w:rsidR="00982BC1" w:rsidP="00CB3C74" w14:paraId="135885F2" w14:textId="77777777">
      <w:pPr>
        <w:pStyle w:val="FootnoteText"/>
        <w:spacing w:line="269" w:lineRule="auto"/>
        <w:rPr>
          <w:rtl/>
        </w:rPr>
      </w:pPr>
      <w:r>
        <w:rPr>
          <w:rStyle w:val="FootnoteReference"/>
        </w:rPr>
        <w:footnoteRef/>
      </w:r>
      <w:r>
        <w:rPr>
          <w:rtl/>
        </w:rPr>
        <w:t xml:space="preserve"> </w:t>
      </w:r>
      <w:r>
        <w:rPr>
          <w:rtl/>
        </w:rPr>
        <w:tab/>
      </w:r>
      <w:r>
        <w:rPr>
          <w:rFonts w:hint="cs"/>
          <w:rtl/>
        </w:rPr>
        <w:t>רשות שוק ההון, רשות ני"ע ובנק ישראל.</w:t>
      </w:r>
    </w:p>
  </w:footnote>
  <w:footnote w:id="108">
    <w:p w:rsidR="00982BC1" w:rsidP="00CB3C74" w14:paraId="46176071" w14:textId="77777777">
      <w:pPr>
        <w:pStyle w:val="FootnoteText"/>
        <w:spacing w:line="269" w:lineRule="auto"/>
      </w:pPr>
      <w:r>
        <w:rPr>
          <w:rStyle w:val="FootnoteReference"/>
        </w:rPr>
        <w:footnoteRef/>
      </w:r>
      <w:r>
        <w:rPr>
          <w:rtl/>
        </w:rPr>
        <w:t xml:space="preserve"> </w:t>
      </w:r>
      <w:r>
        <w:rPr>
          <w:rtl/>
        </w:rPr>
        <w:tab/>
      </w:r>
      <w:r>
        <w:rPr>
          <w:rFonts w:hint="cs"/>
          <w:rtl/>
        </w:rPr>
        <w:t xml:space="preserve">באמצעות הנפקת אג"ח מיועדות, צמודות למדד המונפקות לקרנות הפנסיה, לקופות הגמל הוותיקות ולביטוחי המנהלים הוותיקים, לתקופה קצובה, בהיקף ידוע מנכסיהן ובתשואה שנתית אפקטיבית ריאלית בשיעור של 4.86%. </w:t>
      </w:r>
    </w:p>
  </w:footnote>
  <w:footnote w:id="109">
    <w:p w:rsidR="00982BC1" w:rsidP="00CB3C74" w14:paraId="09DBAC7D" w14:textId="77777777">
      <w:pPr>
        <w:pStyle w:val="FootnoteText"/>
        <w:spacing w:line="269" w:lineRule="auto"/>
        <w:rPr>
          <w:rtl/>
        </w:rPr>
      </w:pPr>
      <w:r>
        <w:rPr>
          <w:rStyle w:val="FootnoteReference"/>
        </w:rPr>
        <w:footnoteRef/>
      </w:r>
      <w:r>
        <w:rPr>
          <w:rtl/>
        </w:rPr>
        <w:t xml:space="preserve"> </w:t>
      </w:r>
      <w:r>
        <w:rPr>
          <w:rtl/>
        </w:rPr>
        <w:tab/>
      </w:r>
      <w:r>
        <w:rPr>
          <w:rFonts w:hint="cs"/>
          <w:rtl/>
        </w:rPr>
        <w:t xml:space="preserve">משרד האוצר, אגף החשב הכללי - יחידת ניהול החוב הממשלתי, הדוח השנתי 2019, עמ' 12. </w:t>
      </w:r>
    </w:p>
  </w:footnote>
  <w:footnote w:id="110">
    <w:p w:rsidR="00982BC1" w:rsidP="00CB3C74" w14:paraId="4B74FE4B" w14:textId="77777777">
      <w:pPr>
        <w:pStyle w:val="FootnoteText"/>
        <w:spacing w:line="269" w:lineRule="auto"/>
        <w:rPr>
          <w:rtl/>
        </w:rPr>
      </w:pPr>
      <w:r>
        <w:rPr>
          <w:rStyle w:val="FootnoteReference"/>
        </w:rPr>
        <w:footnoteRef/>
      </w:r>
      <w:r>
        <w:rPr>
          <w:rtl/>
        </w:rPr>
        <w:t xml:space="preserve"> </w:t>
      </w:r>
      <w:r>
        <w:rPr>
          <w:rtl/>
        </w:rPr>
        <w:tab/>
      </w:r>
      <w:r>
        <w:rPr>
          <w:rFonts w:hint="cs"/>
          <w:rtl/>
        </w:rPr>
        <w:t>משרד האוצר, דוברות והסברה - הודעה לעיתונות, "אומדן ראשוני לביצוע תקציב ההוצאות, גירעון הממשלה ומימונו לשנת 2020" (11.1.21).</w:t>
      </w:r>
    </w:p>
  </w:footnote>
  <w:footnote w:id="111">
    <w:p w:rsidR="00982BC1" w:rsidP="00CB3C74" w14:paraId="624C56A4" w14:textId="77777777">
      <w:pPr>
        <w:pStyle w:val="FootnoteText"/>
        <w:spacing w:line="269" w:lineRule="auto"/>
      </w:pPr>
      <w:r>
        <w:rPr>
          <w:rStyle w:val="FootnoteReference"/>
        </w:rPr>
        <w:footnoteRef/>
      </w:r>
      <w:r>
        <w:rPr>
          <w:rtl/>
        </w:rPr>
        <w:t xml:space="preserve"> </w:t>
      </w:r>
      <w:r>
        <w:rPr>
          <w:rtl/>
        </w:rPr>
        <w:tab/>
      </w:r>
      <w:r>
        <w:rPr>
          <w:rFonts w:hint="cs"/>
          <w:rtl/>
        </w:rPr>
        <w:t xml:space="preserve">עלייה מהירה בכמות ההנפקות בתקופת גאות וצמצום חד בתקופות שפל. הנפקה של אג"ח מיועדות מתבצעת בקשר ישיר לגודל תיק הנכסים של קרנות הפנסיה ובהיקף של עד 30% מנכסיהן. ירידה בתיק הנכסים במהלך המשבר הביאה לפגיעה קשה באפשרות לגייס כספים בשוק המקומי הלא סחיר, בייחוד במהלך החודשים מרץ - מאי 2020. </w:t>
      </w:r>
    </w:p>
  </w:footnote>
  <w:footnote w:id="112">
    <w:p w:rsidR="00982BC1" w:rsidP="00CB3C74" w14:paraId="25A4B1CA" w14:textId="77777777">
      <w:pPr>
        <w:pStyle w:val="FootnoteText"/>
        <w:spacing w:line="269" w:lineRule="auto"/>
      </w:pPr>
      <w:r>
        <w:rPr>
          <w:rStyle w:val="FootnoteReference"/>
        </w:rPr>
        <w:footnoteRef/>
      </w:r>
      <w:r>
        <w:rPr>
          <w:rtl/>
        </w:rPr>
        <w:t xml:space="preserve"> </w:t>
      </w:r>
      <w:r>
        <w:rPr>
          <w:rtl/>
        </w:rPr>
        <w:tab/>
      </w:r>
      <w:r>
        <w:rPr>
          <w:rFonts w:hint="cs"/>
          <w:rtl/>
        </w:rPr>
        <w:t>יתרות שעיקר מקורן בעודף הכנסות על הוצאות הממשלה בצירוף עודף גיוסי הלוואות מקומיות ומחו"ל על פירעון קרן ההלוואות הקיימות.</w:t>
      </w:r>
    </w:p>
  </w:footnote>
  <w:footnote w:id="113">
    <w:p w:rsidR="00982BC1" w:rsidP="00CB3C74" w14:paraId="3A454E8D" w14:textId="77777777">
      <w:pPr>
        <w:pStyle w:val="FootnoteText"/>
        <w:spacing w:line="269" w:lineRule="auto"/>
        <w:rPr>
          <w:rtl/>
        </w:rPr>
      </w:pPr>
      <w:r>
        <w:rPr>
          <w:rStyle w:val="FootnoteReference"/>
        </w:rPr>
        <w:footnoteRef/>
      </w:r>
      <w:r>
        <w:rPr>
          <w:rtl/>
        </w:rPr>
        <w:t xml:space="preserve"> </w:t>
      </w:r>
      <w:r>
        <w:rPr>
          <w:rtl/>
        </w:rPr>
        <w:tab/>
      </w:r>
      <w:r>
        <w:rPr>
          <w:rFonts w:hint="cs"/>
          <w:rtl/>
        </w:rPr>
        <w:t>הסיכונים המרכזיים של תיק החוב הממשלתי הם סיכון המחזור, הנזילות, השוק והאשראי.</w:t>
      </w:r>
    </w:p>
  </w:footnote>
  <w:footnote w:id="114">
    <w:p w:rsidR="00982BC1" w:rsidP="00CB3C74" w14:paraId="0FE34B98" w14:textId="77777777">
      <w:pPr>
        <w:pStyle w:val="FootnoteText"/>
        <w:spacing w:line="269" w:lineRule="auto"/>
      </w:pPr>
      <w:r>
        <w:rPr>
          <w:rStyle w:val="FootnoteReference"/>
        </w:rPr>
        <w:footnoteRef/>
      </w:r>
      <w:r>
        <w:rPr>
          <w:rtl/>
        </w:rPr>
        <w:t xml:space="preserve"> </w:t>
      </w:r>
      <w:r>
        <w:rPr>
          <w:rtl/>
        </w:rPr>
        <w:tab/>
      </w:r>
      <w:r>
        <w:rPr>
          <w:rFonts w:hint="cs"/>
          <w:rtl/>
        </w:rPr>
        <w:t xml:space="preserve">סיכון שהמדינה לא תוכל לעמוד בהתחייבויותיה או שתאלץ למחזר את החוב בעלויות גבוהות. </w:t>
      </w:r>
    </w:p>
  </w:footnote>
  <w:footnote w:id="115">
    <w:p w:rsidR="00982BC1" w:rsidP="00CB3C74" w14:paraId="1DD7CDED" w14:textId="7EBBE484">
      <w:pPr>
        <w:pStyle w:val="FootnoteText"/>
        <w:spacing w:line="269" w:lineRule="auto"/>
        <w:rPr>
          <w:rtl/>
        </w:rPr>
      </w:pPr>
      <w:r>
        <w:rPr>
          <w:rStyle w:val="FootnoteReference"/>
        </w:rPr>
        <w:footnoteRef/>
      </w:r>
      <w:r>
        <w:rPr>
          <w:rtl/>
        </w:rPr>
        <w:t xml:space="preserve"> </w:t>
      </w:r>
      <w:r>
        <w:rPr>
          <w:rtl/>
        </w:rPr>
        <w:tab/>
      </w:r>
      <w:r>
        <w:rPr>
          <w:rFonts w:hint="cs"/>
          <w:rtl/>
        </w:rPr>
        <w:t>משרד האוצר, דוברות והסברה - הודעה לעיתונות, "ביצוע תקציב והכנסות המדינה ממיסים לשנת 2019" (6.1.20).</w:t>
      </w:r>
    </w:p>
  </w:footnote>
  <w:footnote w:id="116">
    <w:p w:rsidR="00982BC1" w:rsidRPr="00523050" w:rsidP="00CB3C74" w14:paraId="7B03D06A" w14:textId="2FF4A6AA">
      <w:pPr>
        <w:pStyle w:val="FootnoteText"/>
        <w:spacing w:line="269" w:lineRule="auto"/>
        <w:rPr>
          <w:b/>
          <w:sz w:val="16"/>
          <w:rtl/>
        </w:rPr>
      </w:pPr>
      <w:r>
        <w:rPr>
          <w:rStyle w:val="FootnoteReference"/>
        </w:rPr>
        <w:footnoteRef/>
      </w:r>
      <w:r>
        <w:t xml:space="preserve"> </w:t>
      </w:r>
      <w:r w:rsidRPr="00607FCD">
        <w:rPr>
          <w:rFonts w:hint="cs"/>
          <w:sz w:val="18"/>
          <w:szCs w:val="18"/>
        </w:rPr>
        <w:t>M</w:t>
      </w:r>
      <w:r w:rsidRPr="00607FCD">
        <w:rPr>
          <w:sz w:val="18"/>
          <w:szCs w:val="18"/>
        </w:rPr>
        <w:t xml:space="preserve">oody's, Investors Service, </w:t>
      </w:r>
      <w:r w:rsidRPr="00607FCD">
        <w:rPr>
          <w:sz w:val="18"/>
          <w:szCs w:val="22"/>
        </w:rPr>
        <w:t>Rating Action: </w:t>
      </w:r>
      <w:r w:rsidRPr="00607FCD">
        <w:rPr>
          <w:bCs/>
          <w:sz w:val="18"/>
          <w:szCs w:val="22"/>
        </w:rPr>
        <w:t xml:space="preserve">Moody's downgrades the UK's ratings to Aa3, outlook stable, </w:t>
      </w:r>
      <w:r>
        <w:rPr>
          <w:bCs/>
          <w:sz w:val="18"/>
          <w:szCs w:val="22"/>
        </w:rPr>
        <w:t>16.10.</w:t>
      </w:r>
      <w:r w:rsidRPr="00607FCD">
        <w:rPr>
          <w:bCs/>
          <w:sz w:val="18"/>
          <w:szCs w:val="22"/>
        </w:rPr>
        <w:t>20</w:t>
      </w:r>
      <w:r>
        <w:rPr>
          <w:bCs/>
          <w:sz w:val="18"/>
          <w:szCs w:val="22"/>
        </w:rPr>
        <w:t>.</w:t>
      </w:r>
    </w:p>
  </w:footnote>
  <w:footnote w:id="117">
    <w:p w:rsidR="00982BC1" w:rsidP="00CB3C74" w14:paraId="5C5F721C" w14:textId="77777777">
      <w:pPr>
        <w:pStyle w:val="FootnoteText"/>
        <w:spacing w:line="269" w:lineRule="auto"/>
        <w:rPr>
          <w:rtl/>
        </w:rPr>
      </w:pPr>
      <w:r>
        <w:rPr>
          <w:rStyle w:val="FootnoteReference"/>
        </w:rPr>
        <w:footnoteRef/>
      </w:r>
      <w:r>
        <w:rPr>
          <w:rtl/>
        </w:rPr>
        <w:t xml:space="preserve"> </w:t>
      </w:r>
      <w:r>
        <w:rPr>
          <w:rtl/>
        </w:rPr>
        <w:tab/>
      </w:r>
      <w:r>
        <w:rPr>
          <w:rFonts w:hint="cs"/>
          <w:rtl/>
        </w:rPr>
        <w:t>להרחבה ראו מבקר המדינה, דו"ח מיוחד - קורונה, "ההתנהלות התקציבית במשבר הקורונה - אופן ניהול המשבר וההיערכות בראייה צופה פני עתיד" (2021).</w:t>
      </w:r>
    </w:p>
  </w:footnote>
  <w:footnote w:id="118">
    <w:p w:rsidR="00982BC1" w:rsidP="00CB3C74" w14:paraId="54A982E6" w14:textId="77777777">
      <w:pPr>
        <w:pStyle w:val="FootnoteText"/>
      </w:pPr>
      <w:r>
        <w:rPr>
          <w:rStyle w:val="FootnoteReference"/>
        </w:rPr>
        <w:footnoteRef/>
      </w:r>
      <w:r>
        <w:rPr>
          <w:rtl/>
        </w:rPr>
        <w:t xml:space="preserve"> </w:t>
      </w:r>
      <w:r>
        <w:rPr>
          <w:rtl/>
        </w:rPr>
        <w:tab/>
      </w:r>
      <w:r w:rsidRPr="00607FCD">
        <w:rPr>
          <w:rFonts w:hint="cs"/>
        </w:rPr>
        <w:t>M</w:t>
      </w:r>
      <w:r w:rsidRPr="00607FCD">
        <w:t xml:space="preserve">oody's, Investors Service, Announcement of Periodic Review: Moody's announces completion of a </w:t>
      </w:r>
    </w:p>
    <w:p w:rsidR="00982BC1" w:rsidP="00CB3C74" w14:paraId="060F8C86" w14:textId="77777777">
      <w:pPr>
        <w:pStyle w:val="FootnoteText"/>
      </w:pPr>
      <w:r>
        <w:t>P</w:t>
      </w:r>
      <w:r w:rsidRPr="00607FCD">
        <w:t xml:space="preserve">eriodic </w:t>
      </w:r>
      <w:r>
        <w:t>R</w:t>
      </w:r>
      <w:r w:rsidRPr="00607FCD">
        <w:t>eview of ratings of Israel, 4</w:t>
      </w:r>
      <w:r>
        <w:t>.12.</w:t>
      </w:r>
      <w:r w:rsidRPr="00607FCD">
        <w:t>20</w:t>
      </w:r>
      <w:r>
        <w:t>.</w:t>
      </w:r>
    </w:p>
  </w:footnote>
  <w:footnote w:id="119">
    <w:p w:rsidR="00982BC1" w:rsidP="00CB3C74" w14:paraId="1D8E916D" w14:textId="77777777">
      <w:pPr>
        <w:pStyle w:val="FootnoteText"/>
        <w:rPr>
          <w:rtl/>
        </w:rPr>
      </w:pPr>
      <w:r>
        <w:rPr>
          <w:rStyle w:val="FootnoteReference"/>
        </w:rPr>
        <w:footnoteRef/>
      </w:r>
      <w:r>
        <w:rPr>
          <w:rtl/>
        </w:rPr>
        <w:t xml:space="preserve"> </w:t>
      </w:r>
      <w:r>
        <w:rPr>
          <w:rtl/>
        </w:rPr>
        <w:tab/>
      </w:r>
      <w:r>
        <w:t>S&amp;P</w:t>
      </w:r>
      <w:r w:rsidRPr="00607FCD">
        <w:t xml:space="preserve">, </w:t>
      </w:r>
      <w:r>
        <w:t>Ratings</w:t>
      </w:r>
      <w:r w:rsidRPr="00607FCD">
        <w:t xml:space="preserve">, </w:t>
      </w:r>
      <w:r>
        <w:t>Israel Ratings Affirmed At 'AA-/A-1+' Outlook Stable</w:t>
      </w:r>
      <w:r w:rsidRPr="00607FCD">
        <w:t xml:space="preserve">, </w:t>
      </w:r>
      <w:r>
        <w:t>13.11.20</w:t>
      </w:r>
      <w:r w:rsidRPr="0078647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BC1" w:rsidP="00B34261" w14:paraId="644E6690" w14:textId="0F9D319A">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F27D12">
      <w:rPr>
        <w:noProof/>
        <w:rtl/>
      </w:rPr>
      <w:t>75</w:t>
    </w:r>
    <w:r>
      <w:rPr>
        <w:rtl/>
      </w:rPr>
      <w:fldChar w:fldCharType="end"/>
    </w:r>
    <w:r>
      <w:rPr>
        <w:rtl/>
      </w:rPr>
      <w:t xml:space="preserve"> - </w:t>
    </w:r>
  </w:p>
  <w:p w:rsidR="00982BC1" w:rsidP="00B806F7" w14:paraId="08798043" w14:textId="77777777">
    <w:pPr>
      <w:pStyle w:val="Header"/>
      <w:jc w:val="right"/>
    </w:pPr>
    <w:r>
      <w:rPr>
        <w:rFonts w:hint="cs"/>
        <w:rtl/>
      </w:rPr>
      <w:t>דוח קורונה</w:t>
    </w:r>
  </w:p>
  <w:p w:rsidR="00982BC1" w:rsidP="00B34261" w14:paraId="79FAE06E" w14:textId="77777777">
    <w:pPr>
      <w:pStyle w:val="Header"/>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BC1" w:rsidP="00B806F7" w14:paraId="4D04296D" w14:textId="452B4FC6">
    <w:pPr>
      <w:pStyle w:val="Header"/>
      <w:jc w:val="right"/>
    </w:pPr>
    <w:r>
      <w:rPr>
        <w:rFonts w:hint="cs"/>
        <w:rtl/>
      </w:rPr>
      <w:t>דוח קורונה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7451C89"/>
    <w:multiLevelType w:val="hybridMultilevel"/>
    <w:tmpl w:val="3296F74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F6C6755"/>
    <w:multiLevelType w:val="hybridMultilevel"/>
    <w:tmpl w:val="3BE669A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5B9156F"/>
    <w:multiLevelType w:val="hybridMultilevel"/>
    <w:tmpl w:val="81565F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5D83ADF"/>
    <w:multiLevelType w:val="hybridMultilevel"/>
    <w:tmpl w:val="AF90BB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573E89"/>
    <w:multiLevelType w:val="hybridMultilevel"/>
    <w:tmpl w:val="F40C0C98"/>
    <w:lvl w:ilvl="0">
      <w:start w:val="1"/>
      <w:numFmt w:val="decimal"/>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CB742ED"/>
    <w:multiLevelType w:val="hybridMultilevel"/>
    <w:tmpl w:val="CE8202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20673F3"/>
    <w:multiLevelType w:val="hybridMultilevel"/>
    <w:tmpl w:val="838E5B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7367176"/>
    <w:multiLevelType w:val="hybridMultilevel"/>
    <w:tmpl w:val="7CF430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7B76226"/>
    <w:multiLevelType w:val="hybridMultilevel"/>
    <w:tmpl w:val="A58422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9834070"/>
    <w:multiLevelType w:val="hybridMultilevel"/>
    <w:tmpl w:val="496897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BA21693"/>
    <w:multiLevelType w:val="multilevel"/>
    <w:tmpl w:val="A9942394"/>
    <w:lvl w:ilvl="0">
      <w:start w:val="1"/>
      <w:numFmt w:val="decimal"/>
      <w:lvlText w:val="%1."/>
      <w:lvlJc w:val="left"/>
      <w:pPr>
        <w:tabs>
          <w:tab w:val="num" w:pos="1141"/>
        </w:tabs>
        <w:ind w:left="1141" w:hanging="432"/>
      </w:pPr>
      <w:rPr>
        <w:rFonts w:asciiTheme="majorBidi" w:hAnsiTheme="majorBidi" w:cs="David" w:hint="default"/>
        <w:b/>
        <w:bCs/>
        <w:i w:val="0"/>
        <w:iCs w:val="0"/>
        <w:sz w:val="24"/>
        <w:szCs w:val="24"/>
      </w:rPr>
    </w:lvl>
    <w:lvl w:ilvl="1">
      <w:start w:val="1"/>
      <w:numFmt w:val="decimal"/>
      <w:suff w:val="space"/>
      <w:lvlText w:val="%1.%2"/>
      <w:lvlJc w:val="left"/>
      <w:pPr>
        <w:ind w:left="1366" w:hanging="1224"/>
      </w:pPr>
      <w:rPr>
        <w:rFonts w:hint="default"/>
        <w:b w:val="0"/>
        <w:bCs w:val="0"/>
        <w:i w:val="0"/>
        <w:iCs w:val="0"/>
        <w:sz w:val="24"/>
        <w:szCs w:val="24"/>
        <w:lang w:bidi="he-IL"/>
      </w:rPr>
    </w:lvl>
    <w:lvl w:ilvl="2">
      <w:start w:val="1"/>
      <w:numFmt w:val="decimal"/>
      <w:lvlText w:val="%1.%2.%3"/>
      <w:lvlJc w:val="left"/>
      <w:pPr>
        <w:tabs>
          <w:tab w:val="num" w:pos="1004"/>
        </w:tabs>
        <w:ind w:left="1004" w:hanging="720"/>
      </w:pPr>
      <w:rPr>
        <w:rFonts w:cs="David" w:hint="default"/>
        <w:b w:val="0"/>
        <w:bCs w:val="0"/>
        <w:i w:val="0"/>
        <w:iCs w:val="0"/>
        <w:color w:val="auto"/>
        <w:sz w:val="24"/>
        <w:szCs w:val="24"/>
      </w:rPr>
    </w:lvl>
    <w:lvl w:ilvl="3">
      <w:start w:val="1"/>
      <w:numFmt w:val="decimal"/>
      <w:lvlText w:val="%1.%2.%3.%4"/>
      <w:lvlJc w:val="left"/>
      <w:pPr>
        <w:tabs>
          <w:tab w:val="num" w:pos="864"/>
        </w:tabs>
        <w:ind w:left="864" w:hanging="864"/>
      </w:pPr>
      <w:rPr>
        <w:rFonts w:hint="default"/>
        <w:b w:val="0"/>
        <w:bCs w:val="0"/>
        <w:sz w:val="24"/>
        <w:szCs w:val="24"/>
      </w:rPr>
    </w:lvl>
    <w:lvl w:ilvl="4">
      <w:start w:val="1"/>
      <w:numFmt w:val="decimal"/>
      <w:lvlText w:val="%1.%2.%3.%4.%5"/>
      <w:lvlJc w:val="left"/>
      <w:pPr>
        <w:tabs>
          <w:tab w:val="num" w:pos="1008"/>
        </w:tabs>
        <w:ind w:left="1008" w:hanging="1008"/>
      </w:pPr>
      <w:rPr>
        <w:rFonts w:hint="default"/>
        <w:b w:val="0"/>
        <w:bCs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D6823F6"/>
    <w:multiLevelType w:val="hybridMultilevel"/>
    <w:tmpl w:val="A25087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50B3751"/>
    <w:multiLevelType w:val="hybridMultilevel"/>
    <w:tmpl w:val="1FBE25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74D41CB"/>
    <w:multiLevelType w:val="hybridMultilevel"/>
    <w:tmpl w:val="F8C68C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9292525"/>
    <w:multiLevelType w:val="hybridMultilevel"/>
    <w:tmpl w:val="B41639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E701915"/>
    <w:multiLevelType w:val="hybridMultilevel"/>
    <w:tmpl w:val="4166514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44545D8"/>
    <w:multiLevelType w:val="hybridMultilevel"/>
    <w:tmpl w:val="7FBCCD22"/>
    <w:lvl w:ilvl="0">
      <w:start w:val="1"/>
      <w:numFmt w:val="decimal"/>
      <w:lvlText w:val="%1."/>
      <w:lvlJc w:val="left"/>
      <w:pPr>
        <w:ind w:left="450" w:hanging="360"/>
      </w:pPr>
      <w:rPr>
        <w:rFonts w:hint="default"/>
      </w:rPr>
    </w:lvl>
    <w:lvl w:ilvl="1" w:tentative="1">
      <w:start w:val="1"/>
      <w:numFmt w:val="lowerLetter"/>
      <w:lvlText w:val="%2."/>
      <w:lvlJc w:val="left"/>
      <w:pPr>
        <w:ind w:left="1170" w:hanging="360"/>
      </w:pPr>
    </w:lvl>
    <w:lvl w:ilvl="2" w:tentative="1">
      <w:start w:val="1"/>
      <w:numFmt w:val="lowerRoman"/>
      <w:lvlText w:val="%3."/>
      <w:lvlJc w:val="right"/>
      <w:pPr>
        <w:ind w:left="1890" w:hanging="180"/>
      </w:pPr>
    </w:lvl>
    <w:lvl w:ilvl="3" w:tentative="1">
      <w:start w:val="1"/>
      <w:numFmt w:val="decimal"/>
      <w:lvlText w:val="%4."/>
      <w:lvlJc w:val="left"/>
      <w:pPr>
        <w:ind w:left="2610" w:hanging="360"/>
      </w:pPr>
    </w:lvl>
    <w:lvl w:ilvl="4" w:tentative="1">
      <w:start w:val="1"/>
      <w:numFmt w:val="lowerLetter"/>
      <w:lvlText w:val="%5."/>
      <w:lvlJc w:val="left"/>
      <w:pPr>
        <w:ind w:left="3330" w:hanging="360"/>
      </w:pPr>
    </w:lvl>
    <w:lvl w:ilvl="5" w:tentative="1">
      <w:start w:val="1"/>
      <w:numFmt w:val="lowerRoman"/>
      <w:lvlText w:val="%6."/>
      <w:lvlJc w:val="right"/>
      <w:pPr>
        <w:ind w:left="4050" w:hanging="180"/>
      </w:pPr>
    </w:lvl>
    <w:lvl w:ilvl="6" w:tentative="1">
      <w:start w:val="1"/>
      <w:numFmt w:val="decimal"/>
      <w:lvlText w:val="%7."/>
      <w:lvlJc w:val="left"/>
      <w:pPr>
        <w:ind w:left="4770" w:hanging="360"/>
      </w:pPr>
    </w:lvl>
    <w:lvl w:ilvl="7" w:tentative="1">
      <w:start w:val="1"/>
      <w:numFmt w:val="lowerLetter"/>
      <w:lvlText w:val="%8."/>
      <w:lvlJc w:val="left"/>
      <w:pPr>
        <w:ind w:left="5490" w:hanging="360"/>
      </w:pPr>
    </w:lvl>
    <w:lvl w:ilvl="8" w:tentative="1">
      <w:start w:val="1"/>
      <w:numFmt w:val="lowerRoman"/>
      <w:lvlText w:val="%9."/>
      <w:lvlJc w:val="right"/>
      <w:pPr>
        <w:ind w:left="6210" w:hanging="180"/>
      </w:pPr>
    </w:lvl>
  </w:abstractNum>
  <w:abstractNum w:abstractNumId="18">
    <w:nsid w:val="49B74601"/>
    <w:multiLevelType w:val="hybridMultilevel"/>
    <w:tmpl w:val="74AC47F4"/>
    <w:lvl w:ilvl="0">
      <w:start w:val="0"/>
      <w:numFmt w:val="bullet"/>
      <w:lvlText w:val=""/>
      <w:lvlJc w:val="left"/>
      <w:pPr>
        <w:ind w:left="720" w:hanging="360"/>
      </w:pPr>
      <w:rPr>
        <w:rFonts w:ascii="Symbol" w:hAnsi="Symbol" w:eastAsiaTheme="minorHAnsi" w:cs="David" w:hint="default"/>
        <w:sz w:val="2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4BB11CB8"/>
    <w:multiLevelType w:val="hybridMultilevel"/>
    <w:tmpl w:val="AC7EDB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820EF3"/>
    <w:multiLevelType w:val="hybridMultilevel"/>
    <w:tmpl w:val="432435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A2C0A51"/>
    <w:multiLevelType w:val="hybridMultilevel"/>
    <w:tmpl w:val="F498FB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A4B3BBD"/>
    <w:multiLevelType w:val="hybridMultilevel"/>
    <w:tmpl w:val="4166514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BE660DB"/>
    <w:multiLevelType w:val="hybridMultilevel"/>
    <w:tmpl w:val="DA94E21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5D612389"/>
    <w:multiLevelType w:val="hybridMultilevel"/>
    <w:tmpl w:val="897E46BC"/>
    <w:lvl w:ilvl="0">
      <w:start w:val="1"/>
      <w:numFmt w:val="decimal"/>
      <w:lvlText w:val="%1."/>
      <w:lvlJc w:val="left"/>
      <w:pPr>
        <w:ind w:left="720" w:hanging="360"/>
      </w:pPr>
      <w:rPr>
        <w:rFonts w:hint="default"/>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FFB6442"/>
    <w:multiLevelType w:val="hybridMultilevel"/>
    <w:tmpl w:val="8400836E"/>
    <w:lvl w:ilvl="0">
      <w:start w:val="0"/>
      <w:numFmt w:val="bullet"/>
      <w:lvlText w:val=""/>
      <w:lvlJc w:val="left"/>
      <w:pPr>
        <w:ind w:left="720" w:hanging="360"/>
      </w:pPr>
      <w:rPr>
        <w:rFonts w:ascii="Symbol" w:hAnsi="Symbol" w:eastAsiaTheme="minorHAnsi" w:cs="David" w:hint="default"/>
        <w:lang w:bidi="he-IL"/>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3015DE1"/>
    <w:multiLevelType w:val="hybridMultilevel"/>
    <w:tmpl w:val="C1C63D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6076057"/>
    <w:multiLevelType w:val="hybridMultilevel"/>
    <w:tmpl w:val="A0569C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6AC42267"/>
    <w:multiLevelType w:val="hybridMultilevel"/>
    <w:tmpl w:val="C3B0DD7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C123CAE"/>
    <w:multiLevelType w:val="hybridMultilevel"/>
    <w:tmpl w:val="174C0FD6"/>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1A9321C"/>
    <w:multiLevelType w:val="hybridMultilevel"/>
    <w:tmpl w:val="85F47CA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731A0C0A"/>
    <w:multiLevelType w:val="hybridMultilevel"/>
    <w:tmpl w:val="435A39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7512145B"/>
    <w:multiLevelType w:val="hybridMultilevel"/>
    <w:tmpl w:val="9F7CBE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611450A"/>
    <w:multiLevelType w:val="hybridMultilevel"/>
    <w:tmpl w:val="FB882B2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769A5493"/>
    <w:multiLevelType w:val="hybridMultilevel"/>
    <w:tmpl w:val="739CC610"/>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6FB47B0"/>
    <w:multiLevelType w:val="hybridMultilevel"/>
    <w:tmpl w:val="94643544"/>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81B6648"/>
    <w:multiLevelType w:val="hybridMultilevel"/>
    <w:tmpl w:val="F8A223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8E41EAF"/>
    <w:multiLevelType w:val="hybridMultilevel"/>
    <w:tmpl w:val="61D462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A8045ED"/>
    <w:multiLevelType w:val="hybridMultilevel"/>
    <w:tmpl w:val="36F489A2"/>
    <w:lvl w:ilvl="0">
      <w:start w:val="1"/>
      <w:numFmt w:val="decimal"/>
      <w:lvlText w:val="%1."/>
      <w:lvlJc w:val="left"/>
      <w:pPr>
        <w:ind w:left="720" w:hanging="360"/>
      </w:pPr>
      <w:rPr>
        <w:rFonts w:ascii="Times New Roman" w:hAnsi="Times New Roman" w:eastAsiaTheme="minorHAnsi" w:cs="David"/>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AA85176"/>
    <w:multiLevelType w:val="hybridMultilevel"/>
    <w:tmpl w:val="767ABA1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7AB01261"/>
    <w:multiLevelType w:val="hybridMultilevel"/>
    <w:tmpl w:val="8E942FC6"/>
    <w:lvl w:ilvl="0">
      <w:start w:val="75"/>
      <w:numFmt w:val="bullet"/>
      <w:lvlText w:val=""/>
      <w:lvlJc w:val="left"/>
      <w:pPr>
        <w:ind w:left="720" w:hanging="360"/>
      </w:pPr>
      <w:rPr>
        <w:rFonts w:ascii="Symbol" w:hAnsi="Symbol" w:eastAsiaTheme="minorHAnsi" w:cs="David" w:hint="default"/>
        <w:sz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AB9537A"/>
    <w:multiLevelType w:val="hybridMultilevel"/>
    <w:tmpl w:val="66DA54D0"/>
    <w:lvl w:ilvl="0">
      <w:start w:val="0"/>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DB14C50"/>
    <w:multiLevelType w:val="hybridMultilevel"/>
    <w:tmpl w:val="41665148"/>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E5144DA"/>
    <w:multiLevelType w:val="hybridMultilevel"/>
    <w:tmpl w:val="B13A94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5"/>
  </w:num>
  <w:num w:numId="2">
    <w:abstractNumId w:val="36"/>
  </w:num>
  <w:num w:numId="3">
    <w:abstractNumId w:val="10"/>
    <w:lvlOverride w:ilvl="0">
      <w:lvl w:ilvl="0">
        <w:start w:val="1"/>
        <w:numFmt w:val="decimal"/>
        <w:lvlText w:val="%1."/>
        <w:lvlJc w:val="left"/>
        <w:pPr>
          <w:tabs>
            <w:tab w:val="num" w:pos="432"/>
          </w:tabs>
          <w:ind w:left="432" w:hanging="432"/>
        </w:pPr>
        <w:rPr>
          <w:rFonts w:cs="David" w:hint="default"/>
          <w:b/>
          <w:bCs/>
          <w:i w:val="0"/>
          <w:iCs w:val="0"/>
          <w:sz w:val="24"/>
          <w:szCs w:val="24"/>
        </w:rPr>
      </w:lvl>
    </w:lvlOverride>
    <w:lvlOverride w:ilvl="1">
      <w:lvl w:ilvl="1">
        <w:start w:val="1"/>
        <w:numFmt w:val="decimal"/>
        <w:suff w:val="space"/>
        <w:lvlText w:val="%1.%2"/>
        <w:lvlJc w:val="left"/>
        <w:pPr>
          <w:ind w:left="1366" w:hanging="1224"/>
        </w:pPr>
        <w:rPr>
          <w:rFonts w:asciiTheme="majorBidi" w:hAnsiTheme="majorBidi" w:cs="David" w:hint="default"/>
          <w:b w:val="0"/>
          <w:bCs w:val="0"/>
          <w:i w:val="0"/>
          <w:iCs w:val="0"/>
          <w:sz w:val="24"/>
          <w:szCs w:val="24"/>
          <w:lang w:val="en-US" w:bidi="he-IL"/>
        </w:rPr>
      </w:lvl>
    </w:lvlOverride>
    <w:lvlOverride w:ilvl="2">
      <w:lvl w:ilvl="2">
        <w:start w:val="1"/>
        <w:numFmt w:val="decimal"/>
        <w:lvlText w:val="%1.%2.%3"/>
        <w:lvlJc w:val="left"/>
        <w:pPr>
          <w:tabs>
            <w:tab w:val="num" w:pos="1146"/>
          </w:tabs>
          <w:ind w:left="1146" w:hanging="720"/>
        </w:pPr>
        <w:rPr>
          <w:rFonts w:cs="David" w:hint="default"/>
          <w:b w:val="0"/>
          <w:bCs w:val="0"/>
          <w:i w:val="0"/>
          <w:iCs w:val="0"/>
          <w:sz w:val="24"/>
          <w:szCs w:val="24"/>
        </w:rPr>
      </w:lvl>
    </w:lvlOverride>
    <w:lvlOverride w:ilvl="3">
      <w:lvl w:ilvl="3">
        <w:start w:val="1"/>
        <w:numFmt w:val="decimal"/>
        <w:lvlText w:val="%1.%2.%3.%4"/>
        <w:lvlJc w:val="left"/>
        <w:pPr>
          <w:tabs>
            <w:tab w:val="num" w:pos="2282"/>
          </w:tabs>
          <w:ind w:left="2282" w:hanging="864"/>
        </w:pPr>
        <w:rPr>
          <w:rFonts w:ascii="David" w:hAnsi="David" w:cs="David" w:hint="default"/>
          <w:b w:val="0"/>
          <w:bCs w:val="0"/>
          <w:sz w:val="24"/>
          <w:szCs w:val="24"/>
          <w:lang w:bidi="he-IL"/>
        </w:rPr>
      </w:lvl>
    </w:lvlOverride>
    <w:lvlOverride w:ilvl="4">
      <w:lvl w:ilvl="4">
        <w:start w:val="1"/>
        <w:numFmt w:val="decimal"/>
        <w:lvlText w:val="%1.%2.%3.%4.%5"/>
        <w:lvlJc w:val="left"/>
        <w:pPr>
          <w:tabs>
            <w:tab w:val="num" w:pos="3418"/>
          </w:tabs>
          <w:ind w:left="3418" w:hanging="1008"/>
        </w:pPr>
        <w:rPr>
          <w:rFonts w:ascii="David" w:hAnsi="David" w:cs="David" w:hint="default"/>
          <w:b w:val="0"/>
          <w:bCs w:val="0"/>
          <w:color w:val="auto"/>
          <w:sz w:val="24"/>
          <w:szCs w:val="24"/>
        </w:rPr>
      </w:lvl>
    </w:lvlOverride>
    <w:lvlOverride w:ilvl="5">
      <w:lvl w:ilvl="5">
        <w:start w:val="1"/>
        <w:numFmt w:val="decimal"/>
        <w:lvlText w:val="%1.%2.%3.%4.%5.%6"/>
        <w:lvlJc w:val="left"/>
        <w:pPr>
          <w:tabs>
            <w:tab w:val="num" w:pos="4696"/>
          </w:tabs>
          <w:ind w:left="4696" w:hanging="1152"/>
        </w:pPr>
        <w:rPr>
          <w:rFonts w:hint="default"/>
          <w:b w:val="0"/>
          <w:bCs w:val="0"/>
          <w:lang w:bidi="he-IL"/>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4">
    <w:abstractNumId w:val="26"/>
  </w:num>
  <w:num w:numId="5">
    <w:abstractNumId w:val="40"/>
  </w:num>
  <w:num w:numId="6">
    <w:abstractNumId w:val="22"/>
  </w:num>
  <w:num w:numId="7">
    <w:abstractNumId w:val="43"/>
  </w:num>
  <w:num w:numId="8">
    <w:abstractNumId w:val="15"/>
  </w:num>
  <w:num w:numId="9">
    <w:abstractNumId w:val="30"/>
  </w:num>
  <w:num w:numId="10">
    <w:abstractNumId w:val="42"/>
  </w:num>
  <w:num w:numId="11">
    <w:abstractNumId w:val="32"/>
  </w:num>
  <w:num w:numId="12">
    <w:abstractNumId w:val="3"/>
  </w:num>
  <w:num w:numId="13">
    <w:abstractNumId w:val="18"/>
  </w:num>
  <w:num w:numId="14">
    <w:abstractNumId w:val="25"/>
  </w:num>
  <w:num w:numId="15">
    <w:abstractNumId w:val="14"/>
  </w:num>
  <w:num w:numId="16">
    <w:abstractNumId w:val="27"/>
  </w:num>
  <w:num w:numId="17">
    <w:abstractNumId w:val="12"/>
  </w:num>
  <w:num w:numId="18">
    <w:abstractNumId w:val="29"/>
  </w:num>
  <w:num w:numId="19">
    <w:abstractNumId w:val="41"/>
  </w:num>
  <w:num w:numId="20">
    <w:abstractNumId w:val="13"/>
  </w:num>
  <w:num w:numId="21">
    <w:abstractNumId w:val="20"/>
  </w:num>
  <w:num w:numId="22">
    <w:abstractNumId w:val="11"/>
  </w:num>
  <w:num w:numId="23">
    <w:abstractNumId w:val="44"/>
  </w:num>
  <w:num w:numId="24">
    <w:abstractNumId w:val="24"/>
  </w:num>
  <w:num w:numId="25">
    <w:abstractNumId w:val="21"/>
  </w:num>
  <w:num w:numId="26">
    <w:abstractNumId w:val="9"/>
  </w:num>
  <w:num w:numId="27">
    <w:abstractNumId w:val="4"/>
  </w:num>
  <w:num w:numId="28">
    <w:abstractNumId w:val="23"/>
  </w:num>
  <w:num w:numId="29">
    <w:abstractNumId w:val="7"/>
  </w:num>
  <w:num w:numId="30">
    <w:abstractNumId w:val="34"/>
  </w:num>
  <w:num w:numId="31">
    <w:abstractNumId w:val="6"/>
  </w:num>
  <w:num w:numId="32">
    <w:abstractNumId w:val="39"/>
  </w:num>
  <w:num w:numId="33">
    <w:abstractNumId w:val="38"/>
  </w:num>
  <w:num w:numId="34">
    <w:abstractNumId w:val="19"/>
  </w:num>
  <w:num w:numId="35">
    <w:abstractNumId w:val="17"/>
  </w:num>
  <w:num w:numId="36">
    <w:abstractNumId w:val="2"/>
  </w:num>
  <w:num w:numId="37">
    <w:abstractNumId w:val="0"/>
  </w:num>
  <w:num w:numId="38">
    <w:abstractNumId w:val="1"/>
  </w:num>
  <w:num w:numId="39">
    <w:abstractNumId w:val="16"/>
  </w:num>
  <w:num w:numId="40">
    <w:abstractNumId w:val="28"/>
  </w:num>
  <w:num w:numId="41">
    <w:abstractNumId w:val="8"/>
  </w:num>
  <w:num w:numId="42">
    <w:abstractNumId w:val="31"/>
  </w:num>
  <w:num w:numId="43">
    <w:abstractNumId w:val="37"/>
  </w:num>
  <w:num w:numId="44">
    <w:abstractNumId w:val="33"/>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name"/>
  <w:defaultTabStop w:val="720"/>
  <w:drawingGridHorizontalSpacing w:val="100"/>
  <w:displayHorizontalDrawingGridEvery w:val="2"/>
  <w:displayVerticalDrawingGridEvery w:val="2"/>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E92"/>
    <w:rsid w:val="00001625"/>
    <w:rsid w:val="00002851"/>
    <w:rsid w:val="00002D05"/>
    <w:rsid w:val="00003348"/>
    <w:rsid w:val="00003600"/>
    <w:rsid w:val="0000375D"/>
    <w:rsid w:val="0000376B"/>
    <w:rsid w:val="00003B77"/>
    <w:rsid w:val="000045C4"/>
    <w:rsid w:val="000047F1"/>
    <w:rsid w:val="000056D3"/>
    <w:rsid w:val="00010F8F"/>
    <w:rsid w:val="00013870"/>
    <w:rsid w:val="00013C03"/>
    <w:rsid w:val="00013F38"/>
    <w:rsid w:val="000140FE"/>
    <w:rsid w:val="00014766"/>
    <w:rsid w:val="0001735B"/>
    <w:rsid w:val="00017451"/>
    <w:rsid w:val="000207A8"/>
    <w:rsid w:val="00020E1F"/>
    <w:rsid w:val="0002109D"/>
    <w:rsid w:val="00021320"/>
    <w:rsid w:val="0002232E"/>
    <w:rsid w:val="00022B89"/>
    <w:rsid w:val="00022C10"/>
    <w:rsid w:val="00023317"/>
    <w:rsid w:val="000245A1"/>
    <w:rsid w:val="000251EB"/>
    <w:rsid w:val="00025628"/>
    <w:rsid w:val="00025EF3"/>
    <w:rsid w:val="00026431"/>
    <w:rsid w:val="00027653"/>
    <w:rsid w:val="0003005E"/>
    <w:rsid w:val="0003310B"/>
    <w:rsid w:val="000335A7"/>
    <w:rsid w:val="00033834"/>
    <w:rsid w:val="0003418E"/>
    <w:rsid w:val="00034C2B"/>
    <w:rsid w:val="00036040"/>
    <w:rsid w:val="000363DF"/>
    <w:rsid w:val="000372C3"/>
    <w:rsid w:val="00037359"/>
    <w:rsid w:val="00040010"/>
    <w:rsid w:val="000402DD"/>
    <w:rsid w:val="000404B4"/>
    <w:rsid w:val="000405CA"/>
    <w:rsid w:val="00040B8A"/>
    <w:rsid w:val="0004172E"/>
    <w:rsid w:val="00042837"/>
    <w:rsid w:val="00043B4B"/>
    <w:rsid w:val="00043C50"/>
    <w:rsid w:val="0004411C"/>
    <w:rsid w:val="00044525"/>
    <w:rsid w:val="00044584"/>
    <w:rsid w:val="000451E7"/>
    <w:rsid w:val="00047C23"/>
    <w:rsid w:val="000501A4"/>
    <w:rsid w:val="000506FC"/>
    <w:rsid w:val="000532AA"/>
    <w:rsid w:val="00055218"/>
    <w:rsid w:val="0005576C"/>
    <w:rsid w:val="000558CA"/>
    <w:rsid w:val="00056991"/>
    <w:rsid w:val="00057971"/>
    <w:rsid w:val="0006005F"/>
    <w:rsid w:val="00060355"/>
    <w:rsid w:val="00060B44"/>
    <w:rsid w:val="00060F24"/>
    <w:rsid w:val="000613AC"/>
    <w:rsid w:val="0006250C"/>
    <w:rsid w:val="0006266D"/>
    <w:rsid w:val="00063102"/>
    <w:rsid w:val="0006319F"/>
    <w:rsid w:val="0006412E"/>
    <w:rsid w:val="00065354"/>
    <w:rsid w:val="00065A7B"/>
    <w:rsid w:val="00066259"/>
    <w:rsid w:val="00066749"/>
    <w:rsid w:val="00066B4D"/>
    <w:rsid w:val="00067497"/>
    <w:rsid w:val="000677A1"/>
    <w:rsid w:val="0007026B"/>
    <w:rsid w:val="00071FB4"/>
    <w:rsid w:val="00072DD7"/>
    <w:rsid w:val="00074373"/>
    <w:rsid w:val="000750B0"/>
    <w:rsid w:val="0007533C"/>
    <w:rsid w:val="0007719C"/>
    <w:rsid w:val="00080971"/>
    <w:rsid w:val="00080A65"/>
    <w:rsid w:val="00081818"/>
    <w:rsid w:val="00082706"/>
    <w:rsid w:val="00084A48"/>
    <w:rsid w:val="00084A6E"/>
    <w:rsid w:val="000858EA"/>
    <w:rsid w:val="00085FE9"/>
    <w:rsid w:val="000920AF"/>
    <w:rsid w:val="00092D97"/>
    <w:rsid w:val="00093EF6"/>
    <w:rsid w:val="00094161"/>
    <w:rsid w:val="00094257"/>
    <w:rsid w:val="00095537"/>
    <w:rsid w:val="00095C50"/>
    <w:rsid w:val="00096C6C"/>
    <w:rsid w:val="0009736D"/>
    <w:rsid w:val="00097884"/>
    <w:rsid w:val="000A26BE"/>
    <w:rsid w:val="000A328C"/>
    <w:rsid w:val="000A46D7"/>
    <w:rsid w:val="000A56DB"/>
    <w:rsid w:val="000A576D"/>
    <w:rsid w:val="000A579E"/>
    <w:rsid w:val="000A668C"/>
    <w:rsid w:val="000A7529"/>
    <w:rsid w:val="000A7B44"/>
    <w:rsid w:val="000B080F"/>
    <w:rsid w:val="000B1102"/>
    <w:rsid w:val="000B1DC8"/>
    <w:rsid w:val="000B30DB"/>
    <w:rsid w:val="000B4541"/>
    <w:rsid w:val="000B571B"/>
    <w:rsid w:val="000B5B9B"/>
    <w:rsid w:val="000B6B3F"/>
    <w:rsid w:val="000B78AA"/>
    <w:rsid w:val="000C0BB7"/>
    <w:rsid w:val="000C0CA4"/>
    <w:rsid w:val="000C1855"/>
    <w:rsid w:val="000C1C4F"/>
    <w:rsid w:val="000C1D49"/>
    <w:rsid w:val="000C239E"/>
    <w:rsid w:val="000C4B49"/>
    <w:rsid w:val="000C5170"/>
    <w:rsid w:val="000C5894"/>
    <w:rsid w:val="000C7459"/>
    <w:rsid w:val="000C7539"/>
    <w:rsid w:val="000D0C97"/>
    <w:rsid w:val="000D1381"/>
    <w:rsid w:val="000D3402"/>
    <w:rsid w:val="000D3A47"/>
    <w:rsid w:val="000D41C8"/>
    <w:rsid w:val="000D53BA"/>
    <w:rsid w:val="000D5983"/>
    <w:rsid w:val="000D5C06"/>
    <w:rsid w:val="000D68F5"/>
    <w:rsid w:val="000E002D"/>
    <w:rsid w:val="000E013E"/>
    <w:rsid w:val="000E0A19"/>
    <w:rsid w:val="000E1BBA"/>
    <w:rsid w:val="000E3A89"/>
    <w:rsid w:val="000E4270"/>
    <w:rsid w:val="000E5642"/>
    <w:rsid w:val="000E58BA"/>
    <w:rsid w:val="000E65A3"/>
    <w:rsid w:val="000E6B00"/>
    <w:rsid w:val="000E6D5C"/>
    <w:rsid w:val="000F0091"/>
    <w:rsid w:val="000F06ED"/>
    <w:rsid w:val="000F0956"/>
    <w:rsid w:val="000F171A"/>
    <w:rsid w:val="000F177F"/>
    <w:rsid w:val="000F274F"/>
    <w:rsid w:val="000F38E8"/>
    <w:rsid w:val="000F3B39"/>
    <w:rsid w:val="000F413C"/>
    <w:rsid w:val="000F4B86"/>
    <w:rsid w:val="000F599E"/>
    <w:rsid w:val="000F5D79"/>
    <w:rsid w:val="000F73D9"/>
    <w:rsid w:val="000F7725"/>
    <w:rsid w:val="000F7B07"/>
    <w:rsid w:val="000F7C6C"/>
    <w:rsid w:val="00101D0F"/>
    <w:rsid w:val="00102EC6"/>
    <w:rsid w:val="00104315"/>
    <w:rsid w:val="00106A69"/>
    <w:rsid w:val="00107EF9"/>
    <w:rsid w:val="0011070B"/>
    <w:rsid w:val="00111016"/>
    <w:rsid w:val="00112332"/>
    <w:rsid w:val="0011382E"/>
    <w:rsid w:val="00113E28"/>
    <w:rsid w:val="00113F2F"/>
    <w:rsid w:val="00114325"/>
    <w:rsid w:val="00114B01"/>
    <w:rsid w:val="00115265"/>
    <w:rsid w:val="001152B9"/>
    <w:rsid w:val="00115C4C"/>
    <w:rsid w:val="00115CCD"/>
    <w:rsid w:val="00115E94"/>
    <w:rsid w:val="001218A7"/>
    <w:rsid w:val="001218AE"/>
    <w:rsid w:val="00122276"/>
    <w:rsid w:val="00122B8A"/>
    <w:rsid w:val="0012606E"/>
    <w:rsid w:val="00126608"/>
    <w:rsid w:val="00127580"/>
    <w:rsid w:val="001303E6"/>
    <w:rsid w:val="00132331"/>
    <w:rsid w:val="001325EE"/>
    <w:rsid w:val="00133B72"/>
    <w:rsid w:val="00133F97"/>
    <w:rsid w:val="00134136"/>
    <w:rsid w:val="00134751"/>
    <w:rsid w:val="00134857"/>
    <w:rsid w:val="00134988"/>
    <w:rsid w:val="00134C58"/>
    <w:rsid w:val="00134DF6"/>
    <w:rsid w:val="00134E6E"/>
    <w:rsid w:val="0013553C"/>
    <w:rsid w:val="00135B9D"/>
    <w:rsid w:val="00135D56"/>
    <w:rsid w:val="001366BC"/>
    <w:rsid w:val="00136BED"/>
    <w:rsid w:val="001413F4"/>
    <w:rsid w:val="001415D1"/>
    <w:rsid w:val="00141742"/>
    <w:rsid w:val="00141B54"/>
    <w:rsid w:val="00142271"/>
    <w:rsid w:val="0014325A"/>
    <w:rsid w:val="001442F7"/>
    <w:rsid w:val="00144756"/>
    <w:rsid w:val="00145C84"/>
    <w:rsid w:val="00145EDB"/>
    <w:rsid w:val="00146F2D"/>
    <w:rsid w:val="00147723"/>
    <w:rsid w:val="001513C1"/>
    <w:rsid w:val="00151401"/>
    <w:rsid w:val="00151B90"/>
    <w:rsid w:val="00151E56"/>
    <w:rsid w:val="00152A27"/>
    <w:rsid w:val="001537E7"/>
    <w:rsid w:val="00153879"/>
    <w:rsid w:val="001538B4"/>
    <w:rsid w:val="00153B3E"/>
    <w:rsid w:val="001541B6"/>
    <w:rsid w:val="00154659"/>
    <w:rsid w:val="001549D3"/>
    <w:rsid w:val="00155558"/>
    <w:rsid w:val="00155980"/>
    <w:rsid w:val="00156AE7"/>
    <w:rsid w:val="001570D1"/>
    <w:rsid w:val="00160643"/>
    <w:rsid w:val="00160C73"/>
    <w:rsid w:val="00161654"/>
    <w:rsid w:val="001628F1"/>
    <w:rsid w:val="00162E58"/>
    <w:rsid w:val="00164AA8"/>
    <w:rsid w:val="00166477"/>
    <w:rsid w:val="00167DB1"/>
    <w:rsid w:val="00170BBA"/>
    <w:rsid w:val="00170EB7"/>
    <w:rsid w:val="00171241"/>
    <w:rsid w:val="00171E93"/>
    <w:rsid w:val="001730B0"/>
    <w:rsid w:val="001736C5"/>
    <w:rsid w:val="0017400B"/>
    <w:rsid w:val="00174340"/>
    <w:rsid w:val="0017494B"/>
    <w:rsid w:val="0017630C"/>
    <w:rsid w:val="0017709B"/>
    <w:rsid w:val="00177FA8"/>
    <w:rsid w:val="001803C4"/>
    <w:rsid w:val="00180E1B"/>
    <w:rsid w:val="00182814"/>
    <w:rsid w:val="0018375C"/>
    <w:rsid w:val="0018629B"/>
    <w:rsid w:val="00186EEC"/>
    <w:rsid w:val="00190AE2"/>
    <w:rsid w:val="001915ED"/>
    <w:rsid w:val="00191B46"/>
    <w:rsid w:val="00191BC9"/>
    <w:rsid w:val="001929A7"/>
    <w:rsid w:val="00192A73"/>
    <w:rsid w:val="00193C0D"/>
    <w:rsid w:val="00194919"/>
    <w:rsid w:val="00194B9C"/>
    <w:rsid w:val="001953DA"/>
    <w:rsid w:val="00195406"/>
    <w:rsid w:val="00195623"/>
    <w:rsid w:val="001960B4"/>
    <w:rsid w:val="00196D47"/>
    <w:rsid w:val="001973A9"/>
    <w:rsid w:val="001A0146"/>
    <w:rsid w:val="001A0201"/>
    <w:rsid w:val="001A1116"/>
    <w:rsid w:val="001A13A3"/>
    <w:rsid w:val="001A1E0B"/>
    <w:rsid w:val="001A376E"/>
    <w:rsid w:val="001A423F"/>
    <w:rsid w:val="001A613C"/>
    <w:rsid w:val="001A7692"/>
    <w:rsid w:val="001B0207"/>
    <w:rsid w:val="001B21EF"/>
    <w:rsid w:val="001B2435"/>
    <w:rsid w:val="001B2821"/>
    <w:rsid w:val="001B2D40"/>
    <w:rsid w:val="001B3646"/>
    <w:rsid w:val="001B3CA9"/>
    <w:rsid w:val="001B422D"/>
    <w:rsid w:val="001B43AD"/>
    <w:rsid w:val="001B493C"/>
    <w:rsid w:val="001B4A53"/>
    <w:rsid w:val="001B58B2"/>
    <w:rsid w:val="001B5F58"/>
    <w:rsid w:val="001B67F9"/>
    <w:rsid w:val="001B7D08"/>
    <w:rsid w:val="001B7DB7"/>
    <w:rsid w:val="001C057E"/>
    <w:rsid w:val="001C0EB8"/>
    <w:rsid w:val="001C2E5A"/>
    <w:rsid w:val="001C31A3"/>
    <w:rsid w:val="001C3FDE"/>
    <w:rsid w:val="001C4288"/>
    <w:rsid w:val="001C6911"/>
    <w:rsid w:val="001C7319"/>
    <w:rsid w:val="001C7D02"/>
    <w:rsid w:val="001D02B8"/>
    <w:rsid w:val="001D0756"/>
    <w:rsid w:val="001D0BC2"/>
    <w:rsid w:val="001D11B2"/>
    <w:rsid w:val="001D13AF"/>
    <w:rsid w:val="001D246D"/>
    <w:rsid w:val="001D306A"/>
    <w:rsid w:val="001D35C5"/>
    <w:rsid w:val="001D3F75"/>
    <w:rsid w:val="001D4FD7"/>
    <w:rsid w:val="001D6248"/>
    <w:rsid w:val="001D7257"/>
    <w:rsid w:val="001D74F7"/>
    <w:rsid w:val="001D77DE"/>
    <w:rsid w:val="001D7849"/>
    <w:rsid w:val="001E132B"/>
    <w:rsid w:val="001E1975"/>
    <w:rsid w:val="001E258B"/>
    <w:rsid w:val="001E277B"/>
    <w:rsid w:val="001E2DEB"/>
    <w:rsid w:val="001E3194"/>
    <w:rsid w:val="001E4085"/>
    <w:rsid w:val="001E4E53"/>
    <w:rsid w:val="001E4E9B"/>
    <w:rsid w:val="001E5D2F"/>
    <w:rsid w:val="001E60AA"/>
    <w:rsid w:val="001E63F9"/>
    <w:rsid w:val="001E68AC"/>
    <w:rsid w:val="001E6907"/>
    <w:rsid w:val="001E69B7"/>
    <w:rsid w:val="001E6E6A"/>
    <w:rsid w:val="001E739E"/>
    <w:rsid w:val="001F0CF0"/>
    <w:rsid w:val="001F10E3"/>
    <w:rsid w:val="001F2117"/>
    <w:rsid w:val="001F3083"/>
    <w:rsid w:val="001F4611"/>
    <w:rsid w:val="001F4D67"/>
    <w:rsid w:val="001F58C6"/>
    <w:rsid w:val="001F5E39"/>
    <w:rsid w:val="001F67EB"/>
    <w:rsid w:val="001F772D"/>
    <w:rsid w:val="001F7D53"/>
    <w:rsid w:val="001F7FCB"/>
    <w:rsid w:val="002008C5"/>
    <w:rsid w:val="00200AFC"/>
    <w:rsid w:val="00200E46"/>
    <w:rsid w:val="00202869"/>
    <w:rsid w:val="00203604"/>
    <w:rsid w:val="00203A6E"/>
    <w:rsid w:val="002042B3"/>
    <w:rsid w:val="00205E9B"/>
    <w:rsid w:val="002064F7"/>
    <w:rsid w:val="00207CA6"/>
    <w:rsid w:val="002152B2"/>
    <w:rsid w:val="0021552D"/>
    <w:rsid w:val="002163A9"/>
    <w:rsid w:val="002169B5"/>
    <w:rsid w:val="0021726F"/>
    <w:rsid w:val="00220E21"/>
    <w:rsid w:val="002214FB"/>
    <w:rsid w:val="0022243A"/>
    <w:rsid w:val="0022291D"/>
    <w:rsid w:val="00222F3B"/>
    <w:rsid w:val="002237A7"/>
    <w:rsid w:val="0022399E"/>
    <w:rsid w:val="00223AB6"/>
    <w:rsid w:val="00223BF7"/>
    <w:rsid w:val="002254E9"/>
    <w:rsid w:val="002257A0"/>
    <w:rsid w:val="00227C2C"/>
    <w:rsid w:val="00227F98"/>
    <w:rsid w:val="002302EB"/>
    <w:rsid w:val="00230D0E"/>
    <w:rsid w:val="00231AB8"/>
    <w:rsid w:val="00232057"/>
    <w:rsid w:val="00233198"/>
    <w:rsid w:val="0023320A"/>
    <w:rsid w:val="0023407E"/>
    <w:rsid w:val="00234BF4"/>
    <w:rsid w:val="00235075"/>
    <w:rsid w:val="0023532A"/>
    <w:rsid w:val="0023629C"/>
    <w:rsid w:val="002368F0"/>
    <w:rsid w:val="00237A11"/>
    <w:rsid w:val="00237E75"/>
    <w:rsid w:val="00237FA3"/>
    <w:rsid w:val="00240887"/>
    <w:rsid w:val="00241FBE"/>
    <w:rsid w:val="00242525"/>
    <w:rsid w:val="00244EBA"/>
    <w:rsid w:val="00245510"/>
    <w:rsid w:val="002458C4"/>
    <w:rsid w:val="00245ACF"/>
    <w:rsid w:val="00245B00"/>
    <w:rsid w:val="00247427"/>
    <w:rsid w:val="00250D7A"/>
    <w:rsid w:val="002512EA"/>
    <w:rsid w:val="00252066"/>
    <w:rsid w:val="00252450"/>
    <w:rsid w:val="00253C38"/>
    <w:rsid w:val="00254041"/>
    <w:rsid w:val="002552DE"/>
    <w:rsid w:val="002567CE"/>
    <w:rsid w:val="00256807"/>
    <w:rsid w:val="00256F79"/>
    <w:rsid w:val="0026137B"/>
    <w:rsid w:val="002616F5"/>
    <w:rsid w:val="00261BEC"/>
    <w:rsid w:val="00262410"/>
    <w:rsid w:val="00262432"/>
    <w:rsid w:val="00262768"/>
    <w:rsid w:val="002632A8"/>
    <w:rsid w:val="00263521"/>
    <w:rsid w:val="00263D96"/>
    <w:rsid w:val="00263E9D"/>
    <w:rsid w:val="0026415B"/>
    <w:rsid w:val="00264371"/>
    <w:rsid w:val="00265101"/>
    <w:rsid w:val="00265517"/>
    <w:rsid w:val="002665A9"/>
    <w:rsid w:val="002675FA"/>
    <w:rsid w:val="00267C53"/>
    <w:rsid w:val="0027079D"/>
    <w:rsid w:val="00272329"/>
    <w:rsid w:val="002734BF"/>
    <w:rsid w:val="0027350D"/>
    <w:rsid w:val="00273D78"/>
    <w:rsid w:val="00275067"/>
    <w:rsid w:val="00275443"/>
    <w:rsid w:val="00276369"/>
    <w:rsid w:val="0027691F"/>
    <w:rsid w:val="00277F5E"/>
    <w:rsid w:val="0028042D"/>
    <w:rsid w:val="00281C50"/>
    <w:rsid w:val="00282279"/>
    <w:rsid w:val="002826A9"/>
    <w:rsid w:val="002837D8"/>
    <w:rsid w:val="00284209"/>
    <w:rsid w:val="002842A0"/>
    <w:rsid w:val="00284588"/>
    <w:rsid w:val="002848FB"/>
    <w:rsid w:val="00284B45"/>
    <w:rsid w:val="00284BD9"/>
    <w:rsid w:val="00285AA7"/>
    <w:rsid w:val="0028623C"/>
    <w:rsid w:val="002863CB"/>
    <w:rsid w:val="00287D8C"/>
    <w:rsid w:val="002908C9"/>
    <w:rsid w:val="00290C2A"/>
    <w:rsid w:val="00290C66"/>
    <w:rsid w:val="0029162A"/>
    <w:rsid w:val="002917F0"/>
    <w:rsid w:val="00292924"/>
    <w:rsid w:val="00293136"/>
    <w:rsid w:val="002943E4"/>
    <w:rsid w:val="002949B1"/>
    <w:rsid w:val="00295871"/>
    <w:rsid w:val="00295DA2"/>
    <w:rsid w:val="002A0F8A"/>
    <w:rsid w:val="002A1653"/>
    <w:rsid w:val="002A174F"/>
    <w:rsid w:val="002A1874"/>
    <w:rsid w:val="002A1A84"/>
    <w:rsid w:val="002A2E94"/>
    <w:rsid w:val="002A3536"/>
    <w:rsid w:val="002A3EBF"/>
    <w:rsid w:val="002A41F2"/>
    <w:rsid w:val="002A4948"/>
    <w:rsid w:val="002A4ABC"/>
    <w:rsid w:val="002A5AFD"/>
    <w:rsid w:val="002A6212"/>
    <w:rsid w:val="002A63D7"/>
    <w:rsid w:val="002A6EB7"/>
    <w:rsid w:val="002A7A06"/>
    <w:rsid w:val="002A7D21"/>
    <w:rsid w:val="002A7F39"/>
    <w:rsid w:val="002B1384"/>
    <w:rsid w:val="002B141B"/>
    <w:rsid w:val="002B2E40"/>
    <w:rsid w:val="002B41B5"/>
    <w:rsid w:val="002B47AF"/>
    <w:rsid w:val="002B4873"/>
    <w:rsid w:val="002B4946"/>
    <w:rsid w:val="002B49CF"/>
    <w:rsid w:val="002B61BE"/>
    <w:rsid w:val="002B627A"/>
    <w:rsid w:val="002B67BB"/>
    <w:rsid w:val="002B74E6"/>
    <w:rsid w:val="002B774B"/>
    <w:rsid w:val="002B7B72"/>
    <w:rsid w:val="002C0A23"/>
    <w:rsid w:val="002C1EE0"/>
    <w:rsid w:val="002C229D"/>
    <w:rsid w:val="002C356D"/>
    <w:rsid w:val="002C4139"/>
    <w:rsid w:val="002C4BB4"/>
    <w:rsid w:val="002C574A"/>
    <w:rsid w:val="002C5A3E"/>
    <w:rsid w:val="002C5D8F"/>
    <w:rsid w:val="002C5E47"/>
    <w:rsid w:val="002C659C"/>
    <w:rsid w:val="002C68C2"/>
    <w:rsid w:val="002C75CF"/>
    <w:rsid w:val="002C7EAE"/>
    <w:rsid w:val="002D0A58"/>
    <w:rsid w:val="002D0DCF"/>
    <w:rsid w:val="002D1065"/>
    <w:rsid w:val="002D1BD4"/>
    <w:rsid w:val="002D1FAC"/>
    <w:rsid w:val="002D2583"/>
    <w:rsid w:val="002D2903"/>
    <w:rsid w:val="002D4E43"/>
    <w:rsid w:val="002D5CFE"/>
    <w:rsid w:val="002D66AC"/>
    <w:rsid w:val="002D71D8"/>
    <w:rsid w:val="002D7482"/>
    <w:rsid w:val="002E0257"/>
    <w:rsid w:val="002E03B3"/>
    <w:rsid w:val="002E04A3"/>
    <w:rsid w:val="002E236B"/>
    <w:rsid w:val="002E274F"/>
    <w:rsid w:val="002E2F26"/>
    <w:rsid w:val="002E3EE4"/>
    <w:rsid w:val="002E4033"/>
    <w:rsid w:val="002E6E9C"/>
    <w:rsid w:val="002E77AF"/>
    <w:rsid w:val="002F0984"/>
    <w:rsid w:val="002F0EC8"/>
    <w:rsid w:val="002F11BD"/>
    <w:rsid w:val="002F13E6"/>
    <w:rsid w:val="002F29B6"/>
    <w:rsid w:val="002F336B"/>
    <w:rsid w:val="002F492C"/>
    <w:rsid w:val="002F4A42"/>
    <w:rsid w:val="002F6FF5"/>
    <w:rsid w:val="002F76BB"/>
    <w:rsid w:val="00301153"/>
    <w:rsid w:val="00302B99"/>
    <w:rsid w:val="003035BB"/>
    <w:rsid w:val="0030374A"/>
    <w:rsid w:val="003037BE"/>
    <w:rsid w:val="003048FC"/>
    <w:rsid w:val="00306B00"/>
    <w:rsid w:val="0030701E"/>
    <w:rsid w:val="0031047E"/>
    <w:rsid w:val="00311541"/>
    <w:rsid w:val="0031204C"/>
    <w:rsid w:val="0031394C"/>
    <w:rsid w:val="0031408A"/>
    <w:rsid w:val="00314B82"/>
    <w:rsid w:val="00314DB9"/>
    <w:rsid w:val="00315841"/>
    <w:rsid w:val="00316B16"/>
    <w:rsid w:val="003217F4"/>
    <w:rsid w:val="00322893"/>
    <w:rsid w:val="00323027"/>
    <w:rsid w:val="0032311C"/>
    <w:rsid w:val="00323DC1"/>
    <w:rsid w:val="00323F9A"/>
    <w:rsid w:val="00324797"/>
    <w:rsid w:val="003248A1"/>
    <w:rsid w:val="00324B99"/>
    <w:rsid w:val="00324BE0"/>
    <w:rsid w:val="0032505F"/>
    <w:rsid w:val="00326508"/>
    <w:rsid w:val="00326CC6"/>
    <w:rsid w:val="00327078"/>
    <w:rsid w:val="003270A2"/>
    <w:rsid w:val="00330369"/>
    <w:rsid w:val="0033169C"/>
    <w:rsid w:val="003330F5"/>
    <w:rsid w:val="00333F61"/>
    <w:rsid w:val="00335F91"/>
    <w:rsid w:val="003362FB"/>
    <w:rsid w:val="00337334"/>
    <w:rsid w:val="00340308"/>
    <w:rsid w:val="00340460"/>
    <w:rsid w:val="00340C69"/>
    <w:rsid w:val="003433DD"/>
    <w:rsid w:val="0034366A"/>
    <w:rsid w:val="00344F38"/>
    <w:rsid w:val="00345421"/>
    <w:rsid w:val="00345EBD"/>
    <w:rsid w:val="00346419"/>
    <w:rsid w:val="00346CD9"/>
    <w:rsid w:val="0034775D"/>
    <w:rsid w:val="0034798D"/>
    <w:rsid w:val="003500B8"/>
    <w:rsid w:val="003500E7"/>
    <w:rsid w:val="00350564"/>
    <w:rsid w:val="00351CFA"/>
    <w:rsid w:val="00351E53"/>
    <w:rsid w:val="00352176"/>
    <w:rsid w:val="00352E3E"/>
    <w:rsid w:val="003530F3"/>
    <w:rsid w:val="003531A7"/>
    <w:rsid w:val="00353206"/>
    <w:rsid w:val="0035357A"/>
    <w:rsid w:val="003537DC"/>
    <w:rsid w:val="003557A9"/>
    <w:rsid w:val="00357608"/>
    <w:rsid w:val="00360FF2"/>
    <w:rsid w:val="003619FD"/>
    <w:rsid w:val="0036210F"/>
    <w:rsid w:val="0036274B"/>
    <w:rsid w:val="00362903"/>
    <w:rsid w:val="0036311F"/>
    <w:rsid w:val="00363F03"/>
    <w:rsid w:val="00364BB1"/>
    <w:rsid w:val="00364BDE"/>
    <w:rsid w:val="00364FF3"/>
    <w:rsid w:val="00365B98"/>
    <w:rsid w:val="00365D3A"/>
    <w:rsid w:val="00366855"/>
    <w:rsid w:val="0036696B"/>
    <w:rsid w:val="003678B3"/>
    <w:rsid w:val="003705E6"/>
    <w:rsid w:val="003713C6"/>
    <w:rsid w:val="00371C4E"/>
    <w:rsid w:val="00372883"/>
    <w:rsid w:val="00372ACD"/>
    <w:rsid w:val="0037370B"/>
    <w:rsid w:val="00373A04"/>
    <w:rsid w:val="00375508"/>
    <w:rsid w:val="00376754"/>
    <w:rsid w:val="0037752E"/>
    <w:rsid w:val="00377567"/>
    <w:rsid w:val="00380052"/>
    <w:rsid w:val="00381D88"/>
    <w:rsid w:val="003823E3"/>
    <w:rsid w:val="0038400B"/>
    <w:rsid w:val="00384367"/>
    <w:rsid w:val="003855E7"/>
    <w:rsid w:val="003856B6"/>
    <w:rsid w:val="00385A39"/>
    <w:rsid w:val="0038630D"/>
    <w:rsid w:val="00386789"/>
    <w:rsid w:val="00386B0A"/>
    <w:rsid w:val="0038720C"/>
    <w:rsid w:val="00387636"/>
    <w:rsid w:val="003904E0"/>
    <w:rsid w:val="00390D24"/>
    <w:rsid w:val="00391069"/>
    <w:rsid w:val="0039253D"/>
    <w:rsid w:val="003929F6"/>
    <w:rsid w:val="003937EE"/>
    <w:rsid w:val="003953B6"/>
    <w:rsid w:val="0039585E"/>
    <w:rsid w:val="003968F6"/>
    <w:rsid w:val="00396B73"/>
    <w:rsid w:val="00396FE3"/>
    <w:rsid w:val="00397236"/>
    <w:rsid w:val="003A0969"/>
    <w:rsid w:val="003A0E27"/>
    <w:rsid w:val="003A20AE"/>
    <w:rsid w:val="003A22BD"/>
    <w:rsid w:val="003A25C7"/>
    <w:rsid w:val="003A36FA"/>
    <w:rsid w:val="003A5A81"/>
    <w:rsid w:val="003A6099"/>
    <w:rsid w:val="003A64F3"/>
    <w:rsid w:val="003A6D2B"/>
    <w:rsid w:val="003A766E"/>
    <w:rsid w:val="003B07FA"/>
    <w:rsid w:val="003B0D3C"/>
    <w:rsid w:val="003B11AC"/>
    <w:rsid w:val="003B1DC6"/>
    <w:rsid w:val="003B3896"/>
    <w:rsid w:val="003B3907"/>
    <w:rsid w:val="003B4905"/>
    <w:rsid w:val="003B50D0"/>
    <w:rsid w:val="003B53D6"/>
    <w:rsid w:val="003B62DE"/>
    <w:rsid w:val="003B72AA"/>
    <w:rsid w:val="003C0432"/>
    <w:rsid w:val="003C1392"/>
    <w:rsid w:val="003C1C2B"/>
    <w:rsid w:val="003C1D1A"/>
    <w:rsid w:val="003C24AE"/>
    <w:rsid w:val="003C47B1"/>
    <w:rsid w:val="003C4853"/>
    <w:rsid w:val="003C5EB2"/>
    <w:rsid w:val="003C6319"/>
    <w:rsid w:val="003C7CED"/>
    <w:rsid w:val="003D0ABE"/>
    <w:rsid w:val="003D1B11"/>
    <w:rsid w:val="003D1EE2"/>
    <w:rsid w:val="003D2BC6"/>
    <w:rsid w:val="003D2C65"/>
    <w:rsid w:val="003D3855"/>
    <w:rsid w:val="003D3D64"/>
    <w:rsid w:val="003D6C64"/>
    <w:rsid w:val="003D6EF8"/>
    <w:rsid w:val="003D727E"/>
    <w:rsid w:val="003D775C"/>
    <w:rsid w:val="003E01BF"/>
    <w:rsid w:val="003E0365"/>
    <w:rsid w:val="003E0A8C"/>
    <w:rsid w:val="003E0C37"/>
    <w:rsid w:val="003E17E7"/>
    <w:rsid w:val="003E1863"/>
    <w:rsid w:val="003E2D6B"/>
    <w:rsid w:val="003E3490"/>
    <w:rsid w:val="003E3907"/>
    <w:rsid w:val="003E3FEC"/>
    <w:rsid w:val="003E51F6"/>
    <w:rsid w:val="003E5649"/>
    <w:rsid w:val="003E58C2"/>
    <w:rsid w:val="003E7B6D"/>
    <w:rsid w:val="003E7C02"/>
    <w:rsid w:val="003F019B"/>
    <w:rsid w:val="003F04A6"/>
    <w:rsid w:val="003F088B"/>
    <w:rsid w:val="003F34EE"/>
    <w:rsid w:val="003F4147"/>
    <w:rsid w:val="003F41EC"/>
    <w:rsid w:val="003F4AEE"/>
    <w:rsid w:val="003F51D1"/>
    <w:rsid w:val="003F564A"/>
    <w:rsid w:val="003F566E"/>
    <w:rsid w:val="003F631F"/>
    <w:rsid w:val="003F6BA1"/>
    <w:rsid w:val="003F7247"/>
    <w:rsid w:val="00400158"/>
    <w:rsid w:val="00400375"/>
    <w:rsid w:val="00400806"/>
    <w:rsid w:val="00400ADA"/>
    <w:rsid w:val="00400BAE"/>
    <w:rsid w:val="00401567"/>
    <w:rsid w:val="00402064"/>
    <w:rsid w:val="00402410"/>
    <w:rsid w:val="00402573"/>
    <w:rsid w:val="0040373E"/>
    <w:rsid w:val="0040399B"/>
    <w:rsid w:val="00403A42"/>
    <w:rsid w:val="0040400B"/>
    <w:rsid w:val="00404141"/>
    <w:rsid w:val="0040503B"/>
    <w:rsid w:val="004051E8"/>
    <w:rsid w:val="004055C5"/>
    <w:rsid w:val="00405845"/>
    <w:rsid w:val="004065CD"/>
    <w:rsid w:val="00406D38"/>
    <w:rsid w:val="004078C9"/>
    <w:rsid w:val="00407E2D"/>
    <w:rsid w:val="00410E4D"/>
    <w:rsid w:val="00410F7E"/>
    <w:rsid w:val="00411401"/>
    <w:rsid w:val="004127AF"/>
    <w:rsid w:val="00412BF5"/>
    <w:rsid w:val="004133CD"/>
    <w:rsid w:val="00413DB3"/>
    <w:rsid w:val="00414004"/>
    <w:rsid w:val="0041453B"/>
    <w:rsid w:val="0041500B"/>
    <w:rsid w:val="004151F3"/>
    <w:rsid w:val="00415251"/>
    <w:rsid w:val="0041527A"/>
    <w:rsid w:val="004154A4"/>
    <w:rsid w:val="00415C99"/>
    <w:rsid w:val="00416C38"/>
    <w:rsid w:val="004175F3"/>
    <w:rsid w:val="0042026A"/>
    <w:rsid w:val="004204CD"/>
    <w:rsid w:val="0042070A"/>
    <w:rsid w:val="00420E0C"/>
    <w:rsid w:val="0042208F"/>
    <w:rsid w:val="004247B8"/>
    <w:rsid w:val="00424D7D"/>
    <w:rsid w:val="00424DB5"/>
    <w:rsid w:val="00425245"/>
    <w:rsid w:val="00426891"/>
    <w:rsid w:val="00426969"/>
    <w:rsid w:val="00426982"/>
    <w:rsid w:val="00426C07"/>
    <w:rsid w:val="00426C9C"/>
    <w:rsid w:val="00427940"/>
    <w:rsid w:val="00427B61"/>
    <w:rsid w:val="00430787"/>
    <w:rsid w:val="0043110C"/>
    <w:rsid w:val="00431890"/>
    <w:rsid w:val="00431E81"/>
    <w:rsid w:val="004320C8"/>
    <w:rsid w:val="0043260C"/>
    <w:rsid w:val="004326CB"/>
    <w:rsid w:val="00433FC6"/>
    <w:rsid w:val="00435DA8"/>
    <w:rsid w:val="004370E0"/>
    <w:rsid w:val="0043770C"/>
    <w:rsid w:val="00437AFE"/>
    <w:rsid w:val="0044131E"/>
    <w:rsid w:val="004416D8"/>
    <w:rsid w:val="00441DDF"/>
    <w:rsid w:val="00444F74"/>
    <w:rsid w:val="004458AB"/>
    <w:rsid w:val="00445D3F"/>
    <w:rsid w:val="00446973"/>
    <w:rsid w:val="00446EF4"/>
    <w:rsid w:val="00450167"/>
    <w:rsid w:val="0045119E"/>
    <w:rsid w:val="00451A5C"/>
    <w:rsid w:val="00451EA4"/>
    <w:rsid w:val="00452044"/>
    <w:rsid w:val="004534B9"/>
    <w:rsid w:val="004540BD"/>
    <w:rsid w:val="00454234"/>
    <w:rsid w:val="00454275"/>
    <w:rsid w:val="00455712"/>
    <w:rsid w:val="00456E8F"/>
    <w:rsid w:val="00457442"/>
    <w:rsid w:val="004575EE"/>
    <w:rsid w:val="004577CF"/>
    <w:rsid w:val="00457B19"/>
    <w:rsid w:val="0046046A"/>
    <w:rsid w:val="004608C8"/>
    <w:rsid w:val="00460B09"/>
    <w:rsid w:val="00460D22"/>
    <w:rsid w:val="00462BE8"/>
    <w:rsid w:val="00462C5F"/>
    <w:rsid w:val="00462F44"/>
    <w:rsid w:val="00465A8D"/>
    <w:rsid w:val="00465B1F"/>
    <w:rsid w:val="00465E58"/>
    <w:rsid w:val="00466272"/>
    <w:rsid w:val="0046655C"/>
    <w:rsid w:val="0046775C"/>
    <w:rsid w:val="00467921"/>
    <w:rsid w:val="004706B8"/>
    <w:rsid w:val="00470726"/>
    <w:rsid w:val="00470E05"/>
    <w:rsid w:val="00471A46"/>
    <w:rsid w:val="00471BEC"/>
    <w:rsid w:val="00471DD4"/>
    <w:rsid w:val="00471EBA"/>
    <w:rsid w:val="0047209D"/>
    <w:rsid w:val="00472556"/>
    <w:rsid w:val="0047388F"/>
    <w:rsid w:val="004739A0"/>
    <w:rsid w:val="00473AF9"/>
    <w:rsid w:val="004743B3"/>
    <w:rsid w:val="00474D83"/>
    <w:rsid w:val="0047548F"/>
    <w:rsid w:val="00475540"/>
    <w:rsid w:val="00475B11"/>
    <w:rsid w:val="00476C38"/>
    <w:rsid w:val="0047758C"/>
    <w:rsid w:val="004779AA"/>
    <w:rsid w:val="004801A7"/>
    <w:rsid w:val="00482592"/>
    <w:rsid w:val="00482FD0"/>
    <w:rsid w:val="00483A0D"/>
    <w:rsid w:val="004844CC"/>
    <w:rsid w:val="004845DD"/>
    <w:rsid w:val="0048622C"/>
    <w:rsid w:val="0048672F"/>
    <w:rsid w:val="00486B16"/>
    <w:rsid w:val="00486FA9"/>
    <w:rsid w:val="004873CD"/>
    <w:rsid w:val="0048743E"/>
    <w:rsid w:val="0048773B"/>
    <w:rsid w:val="00487ED3"/>
    <w:rsid w:val="00490609"/>
    <w:rsid w:val="00492462"/>
    <w:rsid w:val="0049251F"/>
    <w:rsid w:val="0049296B"/>
    <w:rsid w:val="00493861"/>
    <w:rsid w:val="00494298"/>
    <w:rsid w:val="00494C70"/>
    <w:rsid w:val="00494CEF"/>
    <w:rsid w:val="00494F44"/>
    <w:rsid w:val="0049674B"/>
    <w:rsid w:val="00497B9C"/>
    <w:rsid w:val="004A0385"/>
    <w:rsid w:val="004A08F9"/>
    <w:rsid w:val="004A1A12"/>
    <w:rsid w:val="004A245C"/>
    <w:rsid w:val="004A2B47"/>
    <w:rsid w:val="004A32A7"/>
    <w:rsid w:val="004A3D31"/>
    <w:rsid w:val="004A42B6"/>
    <w:rsid w:val="004A4647"/>
    <w:rsid w:val="004A5087"/>
    <w:rsid w:val="004A550E"/>
    <w:rsid w:val="004A628E"/>
    <w:rsid w:val="004A6E7F"/>
    <w:rsid w:val="004A7B42"/>
    <w:rsid w:val="004B1BB8"/>
    <w:rsid w:val="004B2108"/>
    <w:rsid w:val="004B2F5B"/>
    <w:rsid w:val="004B365D"/>
    <w:rsid w:val="004B3EB1"/>
    <w:rsid w:val="004B5276"/>
    <w:rsid w:val="004B546F"/>
    <w:rsid w:val="004B637D"/>
    <w:rsid w:val="004B6AF0"/>
    <w:rsid w:val="004B6B1E"/>
    <w:rsid w:val="004B746D"/>
    <w:rsid w:val="004C069F"/>
    <w:rsid w:val="004C2501"/>
    <w:rsid w:val="004C2B92"/>
    <w:rsid w:val="004C543B"/>
    <w:rsid w:val="004C5ABE"/>
    <w:rsid w:val="004C638B"/>
    <w:rsid w:val="004C67B1"/>
    <w:rsid w:val="004C6C8D"/>
    <w:rsid w:val="004C7D9F"/>
    <w:rsid w:val="004D05F3"/>
    <w:rsid w:val="004D0C97"/>
    <w:rsid w:val="004D16BB"/>
    <w:rsid w:val="004D24E6"/>
    <w:rsid w:val="004D24FC"/>
    <w:rsid w:val="004D2566"/>
    <w:rsid w:val="004D3B47"/>
    <w:rsid w:val="004D418D"/>
    <w:rsid w:val="004D4F2A"/>
    <w:rsid w:val="004D5A43"/>
    <w:rsid w:val="004D5C50"/>
    <w:rsid w:val="004D763C"/>
    <w:rsid w:val="004D7EF3"/>
    <w:rsid w:val="004D7FEB"/>
    <w:rsid w:val="004E0046"/>
    <w:rsid w:val="004E0238"/>
    <w:rsid w:val="004E0F45"/>
    <w:rsid w:val="004E24BF"/>
    <w:rsid w:val="004E49F6"/>
    <w:rsid w:val="004E4D2A"/>
    <w:rsid w:val="004E5122"/>
    <w:rsid w:val="004E5C9F"/>
    <w:rsid w:val="004E6AEF"/>
    <w:rsid w:val="004E6CCE"/>
    <w:rsid w:val="004E7067"/>
    <w:rsid w:val="004E762C"/>
    <w:rsid w:val="004F1ED5"/>
    <w:rsid w:val="004F1F77"/>
    <w:rsid w:val="004F21DC"/>
    <w:rsid w:val="004F21EA"/>
    <w:rsid w:val="004F2BF3"/>
    <w:rsid w:val="004F2F23"/>
    <w:rsid w:val="004F3420"/>
    <w:rsid w:val="004F42A9"/>
    <w:rsid w:val="004F4BEE"/>
    <w:rsid w:val="004F4E7D"/>
    <w:rsid w:val="004F5016"/>
    <w:rsid w:val="004F504B"/>
    <w:rsid w:val="004F52CA"/>
    <w:rsid w:val="004F6D0F"/>
    <w:rsid w:val="00500420"/>
    <w:rsid w:val="00500604"/>
    <w:rsid w:val="005006C5"/>
    <w:rsid w:val="005007C4"/>
    <w:rsid w:val="005013EA"/>
    <w:rsid w:val="005015B9"/>
    <w:rsid w:val="00503534"/>
    <w:rsid w:val="00503D76"/>
    <w:rsid w:val="00503D96"/>
    <w:rsid w:val="005040CF"/>
    <w:rsid w:val="00504A36"/>
    <w:rsid w:val="00504B7A"/>
    <w:rsid w:val="005071EB"/>
    <w:rsid w:val="00507261"/>
    <w:rsid w:val="005078EA"/>
    <w:rsid w:val="00510942"/>
    <w:rsid w:val="00510F54"/>
    <w:rsid w:val="00511250"/>
    <w:rsid w:val="0051236C"/>
    <w:rsid w:val="00512632"/>
    <w:rsid w:val="00513BC0"/>
    <w:rsid w:val="00514675"/>
    <w:rsid w:val="00515473"/>
    <w:rsid w:val="00515483"/>
    <w:rsid w:val="0051583D"/>
    <w:rsid w:val="00515859"/>
    <w:rsid w:val="00517012"/>
    <w:rsid w:val="005213EB"/>
    <w:rsid w:val="00521CB4"/>
    <w:rsid w:val="005223E5"/>
    <w:rsid w:val="00523050"/>
    <w:rsid w:val="00525402"/>
    <w:rsid w:val="005273DC"/>
    <w:rsid w:val="00527E90"/>
    <w:rsid w:val="00530430"/>
    <w:rsid w:val="005310D9"/>
    <w:rsid w:val="005315AF"/>
    <w:rsid w:val="00531BCA"/>
    <w:rsid w:val="005325B1"/>
    <w:rsid w:val="0053363E"/>
    <w:rsid w:val="00533825"/>
    <w:rsid w:val="0053584A"/>
    <w:rsid w:val="00535C59"/>
    <w:rsid w:val="00535DE9"/>
    <w:rsid w:val="00536F35"/>
    <w:rsid w:val="005370FE"/>
    <w:rsid w:val="0053737E"/>
    <w:rsid w:val="00537BA9"/>
    <w:rsid w:val="00537E25"/>
    <w:rsid w:val="005409B2"/>
    <w:rsid w:val="00541325"/>
    <w:rsid w:val="00542792"/>
    <w:rsid w:val="00543FC8"/>
    <w:rsid w:val="0054630F"/>
    <w:rsid w:val="005466D4"/>
    <w:rsid w:val="005467B1"/>
    <w:rsid w:val="005506E4"/>
    <w:rsid w:val="00551B42"/>
    <w:rsid w:val="0055345E"/>
    <w:rsid w:val="005537CA"/>
    <w:rsid w:val="005549AD"/>
    <w:rsid w:val="00554AF8"/>
    <w:rsid w:val="00554C8F"/>
    <w:rsid w:val="00554F71"/>
    <w:rsid w:val="0055561E"/>
    <w:rsid w:val="0055648B"/>
    <w:rsid w:val="00556B65"/>
    <w:rsid w:val="005603BB"/>
    <w:rsid w:val="0056113D"/>
    <w:rsid w:val="00561F25"/>
    <w:rsid w:val="00562535"/>
    <w:rsid w:val="005626C1"/>
    <w:rsid w:val="00562C8C"/>
    <w:rsid w:val="00563026"/>
    <w:rsid w:val="00563BF3"/>
    <w:rsid w:val="005649AA"/>
    <w:rsid w:val="00564B7F"/>
    <w:rsid w:val="005661BA"/>
    <w:rsid w:val="00566445"/>
    <w:rsid w:val="005667FC"/>
    <w:rsid w:val="00567E59"/>
    <w:rsid w:val="00570693"/>
    <w:rsid w:val="005708C3"/>
    <w:rsid w:val="00570C3B"/>
    <w:rsid w:val="00571A08"/>
    <w:rsid w:val="0057276C"/>
    <w:rsid w:val="00574579"/>
    <w:rsid w:val="00574881"/>
    <w:rsid w:val="00574F6F"/>
    <w:rsid w:val="00574FC0"/>
    <w:rsid w:val="0057538B"/>
    <w:rsid w:val="005757E2"/>
    <w:rsid w:val="00577D15"/>
    <w:rsid w:val="0058019B"/>
    <w:rsid w:val="00580255"/>
    <w:rsid w:val="00580C5C"/>
    <w:rsid w:val="00580FA0"/>
    <w:rsid w:val="005814EA"/>
    <w:rsid w:val="00581A5F"/>
    <w:rsid w:val="005826DB"/>
    <w:rsid w:val="0058308B"/>
    <w:rsid w:val="00583B6D"/>
    <w:rsid w:val="0058417B"/>
    <w:rsid w:val="005841C7"/>
    <w:rsid w:val="00585527"/>
    <w:rsid w:val="00585DCE"/>
    <w:rsid w:val="00585ED1"/>
    <w:rsid w:val="00586308"/>
    <w:rsid w:val="00586CC8"/>
    <w:rsid w:val="0058766F"/>
    <w:rsid w:val="00591D34"/>
    <w:rsid w:val="0059201A"/>
    <w:rsid w:val="00592D6F"/>
    <w:rsid w:val="00593315"/>
    <w:rsid w:val="00593347"/>
    <w:rsid w:val="00593E3C"/>
    <w:rsid w:val="00593E6F"/>
    <w:rsid w:val="005951BF"/>
    <w:rsid w:val="005956A1"/>
    <w:rsid w:val="00595AAB"/>
    <w:rsid w:val="00597099"/>
    <w:rsid w:val="005A021D"/>
    <w:rsid w:val="005A07CB"/>
    <w:rsid w:val="005A0CBA"/>
    <w:rsid w:val="005A0D13"/>
    <w:rsid w:val="005A3BBB"/>
    <w:rsid w:val="005A522A"/>
    <w:rsid w:val="005A5249"/>
    <w:rsid w:val="005A5E54"/>
    <w:rsid w:val="005A630F"/>
    <w:rsid w:val="005A69D2"/>
    <w:rsid w:val="005A7500"/>
    <w:rsid w:val="005B0CDF"/>
    <w:rsid w:val="005B0F17"/>
    <w:rsid w:val="005B135C"/>
    <w:rsid w:val="005B1437"/>
    <w:rsid w:val="005B23B1"/>
    <w:rsid w:val="005B23EB"/>
    <w:rsid w:val="005B2BA3"/>
    <w:rsid w:val="005B2E4E"/>
    <w:rsid w:val="005B31CB"/>
    <w:rsid w:val="005B4551"/>
    <w:rsid w:val="005B5530"/>
    <w:rsid w:val="005B5554"/>
    <w:rsid w:val="005B559B"/>
    <w:rsid w:val="005B62C8"/>
    <w:rsid w:val="005B67F6"/>
    <w:rsid w:val="005B69B2"/>
    <w:rsid w:val="005B6A3A"/>
    <w:rsid w:val="005B6D44"/>
    <w:rsid w:val="005C079B"/>
    <w:rsid w:val="005C118B"/>
    <w:rsid w:val="005C2341"/>
    <w:rsid w:val="005C2BA7"/>
    <w:rsid w:val="005C3134"/>
    <w:rsid w:val="005C3892"/>
    <w:rsid w:val="005C58CB"/>
    <w:rsid w:val="005C591E"/>
    <w:rsid w:val="005C5FE5"/>
    <w:rsid w:val="005C6D57"/>
    <w:rsid w:val="005C71B3"/>
    <w:rsid w:val="005C7D64"/>
    <w:rsid w:val="005D0760"/>
    <w:rsid w:val="005D0DAC"/>
    <w:rsid w:val="005D0F78"/>
    <w:rsid w:val="005D15C7"/>
    <w:rsid w:val="005D1C40"/>
    <w:rsid w:val="005D4E62"/>
    <w:rsid w:val="005D66BD"/>
    <w:rsid w:val="005D7EA1"/>
    <w:rsid w:val="005E0064"/>
    <w:rsid w:val="005E0F70"/>
    <w:rsid w:val="005E0FC2"/>
    <w:rsid w:val="005E1612"/>
    <w:rsid w:val="005E1C11"/>
    <w:rsid w:val="005E1FE1"/>
    <w:rsid w:val="005E2240"/>
    <w:rsid w:val="005E2754"/>
    <w:rsid w:val="005E2FDE"/>
    <w:rsid w:val="005E326E"/>
    <w:rsid w:val="005E3388"/>
    <w:rsid w:val="005E3635"/>
    <w:rsid w:val="005E461B"/>
    <w:rsid w:val="005E46BB"/>
    <w:rsid w:val="005E57E2"/>
    <w:rsid w:val="005E6947"/>
    <w:rsid w:val="005E6DC2"/>
    <w:rsid w:val="005F1D04"/>
    <w:rsid w:val="005F1F91"/>
    <w:rsid w:val="005F1FF7"/>
    <w:rsid w:val="005F2EB4"/>
    <w:rsid w:val="005F4D81"/>
    <w:rsid w:val="005F4FE5"/>
    <w:rsid w:val="005F500D"/>
    <w:rsid w:val="005F55F2"/>
    <w:rsid w:val="005F6089"/>
    <w:rsid w:val="005F62A7"/>
    <w:rsid w:val="005F7314"/>
    <w:rsid w:val="005F768A"/>
    <w:rsid w:val="005F78BE"/>
    <w:rsid w:val="005F7F35"/>
    <w:rsid w:val="006002BE"/>
    <w:rsid w:val="006003A8"/>
    <w:rsid w:val="0060162C"/>
    <w:rsid w:val="00601E17"/>
    <w:rsid w:val="00604E9D"/>
    <w:rsid w:val="00605355"/>
    <w:rsid w:val="0060593C"/>
    <w:rsid w:val="00605B31"/>
    <w:rsid w:val="00606ECC"/>
    <w:rsid w:val="00607CEC"/>
    <w:rsid w:val="00607EF7"/>
    <w:rsid w:val="00607FCD"/>
    <w:rsid w:val="00611B10"/>
    <w:rsid w:val="006120B3"/>
    <w:rsid w:val="0061294D"/>
    <w:rsid w:val="00612A6D"/>
    <w:rsid w:val="006161FE"/>
    <w:rsid w:val="00616691"/>
    <w:rsid w:val="0061757A"/>
    <w:rsid w:val="00617B25"/>
    <w:rsid w:val="00620232"/>
    <w:rsid w:val="00620418"/>
    <w:rsid w:val="0062125D"/>
    <w:rsid w:val="00621C37"/>
    <w:rsid w:val="006225F7"/>
    <w:rsid w:val="00622B8C"/>
    <w:rsid w:val="00624639"/>
    <w:rsid w:val="00625383"/>
    <w:rsid w:val="006255E6"/>
    <w:rsid w:val="006257DA"/>
    <w:rsid w:val="00625D41"/>
    <w:rsid w:val="006261AF"/>
    <w:rsid w:val="00626AFF"/>
    <w:rsid w:val="00627017"/>
    <w:rsid w:val="0062728B"/>
    <w:rsid w:val="0062761E"/>
    <w:rsid w:val="00630442"/>
    <w:rsid w:val="00631A06"/>
    <w:rsid w:val="00631F10"/>
    <w:rsid w:val="0063247A"/>
    <w:rsid w:val="0063272D"/>
    <w:rsid w:val="00633BC9"/>
    <w:rsid w:val="0063417A"/>
    <w:rsid w:val="00634557"/>
    <w:rsid w:val="006346A0"/>
    <w:rsid w:val="00634DAD"/>
    <w:rsid w:val="0063598F"/>
    <w:rsid w:val="00636C5F"/>
    <w:rsid w:val="00637791"/>
    <w:rsid w:val="006377FA"/>
    <w:rsid w:val="00637851"/>
    <w:rsid w:val="00637B3B"/>
    <w:rsid w:val="006409B8"/>
    <w:rsid w:val="0064121F"/>
    <w:rsid w:val="00641DC3"/>
    <w:rsid w:val="00643391"/>
    <w:rsid w:val="006447E3"/>
    <w:rsid w:val="006457EB"/>
    <w:rsid w:val="00645B4C"/>
    <w:rsid w:val="006461BE"/>
    <w:rsid w:val="006478A0"/>
    <w:rsid w:val="00647EC7"/>
    <w:rsid w:val="00650386"/>
    <w:rsid w:val="006513EF"/>
    <w:rsid w:val="00651BC7"/>
    <w:rsid w:val="00652660"/>
    <w:rsid w:val="00652D6A"/>
    <w:rsid w:val="006531CB"/>
    <w:rsid w:val="0065347B"/>
    <w:rsid w:val="0065387B"/>
    <w:rsid w:val="00653E35"/>
    <w:rsid w:val="00654A1D"/>
    <w:rsid w:val="0065515A"/>
    <w:rsid w:val="00655213"/>
    <w:rsid w:val="006562FE"/>
    <w:rsid w:val="006566E9"/>
    <w:rsid w:val="0065683D"/>
    <w:rsid w:val="00656D1F"/>
    <w:rsid w:val="0065729B"/>
    <w:rsid w:val="00660DEE"/>
    <w:rsid w:val="00662474"/>
    <w:rsid w:val="00663162"/>
    <w:rsid w:val="00663BE7"/>
    <w:rsid w:val="00664188"/>
    <w:rsid w:val="006647C6"/>
    <w:rsid w:val="00665120"/>
    <w:rsid w:val="0066597F"/>
    <w:rsid w:val="0066628E"/>
    <w:rsid w:val="00667353"/>
    <w:rsid w:val="00667442"/>
    <w:rsid w:val="00667C54"/>
    <w:rsid w:val="00670DA9"/>
    <w:rsid w:val="006712F5"/>
    <w:rsid w:val="00671656"/>
    <w:rsid w:val="00672315"/>
    <w:rsid w:val="0067255B"/>
    <w:rsid w:val="00672D9B"/>
    <w:rsid w:val="006742B8"/>
    <w:rsid w:val="006743BD"/>
    <w:rsid w:val="00674ABD"/>
    <w:rsid w:val="00674D0B"/>
    <w:rsid w:val="006752A9"/>
    <w:rsid w:val="00675813"/>
    <w:rsid w:val="00675E95"/>
    <w:rsid w:val="006766BC"/>
    <w:rsid w:val="00677069"/>
    <w:rsid w:val="0067748D"/>
    <w:rsid w:val="00677C99"/>
    <w:rsid w:val="00677F30"/>
    <w:rsid w:val="006808A7"/>
    <w:rsid w:val="006810A8"/>
    <w:rsid w:val="00681447"/>
    <w:rsid w:val="00682996"/>
    <w:rsid w:val="00683A9B"/>
    <w:rsid w:val="00683FD3"/>
    <w:rsid w:val="0068463C"/>
    <w:rsid w:val="006848F3"/>
    <w:rsid w:val="00686026"/>
    <w:rsid w:val="006860E7"/>
    <w:rsid w:val="00686200"/>
    <w:rsid w:val="00687EEC"/>
    <w:rsid w:val="006901E1"/>
    <w:rsid w:val="00690730"/>
    <w:rsid w:val="0069112D"/>
    <w:rsid w:val="0069194A"/>
    <w:rsid w:val="00691B1B"/>
    <w:rsid w:val="00692B46"/>
    <w:rsid w:val="00694092"/>
    <w:rsid w:val="006954E2"/>
    <w:rsid w:val="00695844"/>
    <w:rsid w:val="00695849"/>
    <w:rsid w:val="006963E0"/>
    <w:rsid w:val="00696DEB"/>
    <w:rsid w:val="00697686"/>
    <w:rsid w:val="00697BBA"/>
    <w:rsid w:val="006A04E6"/>
    <w:rsid w:val="006A2F14"/>
    <w:rsid w:val="006A3319"/>
    <w:rsid w:val="006A39DA"/>
    <w:rsid w:val="006A5469"/>
    <w:rsid w:val="006A6876"/>
    <w:rsid w:val="006A6FCF"/>
    <w:rsid w:val="006A7935"/>
    <w:rsid w:val="006B0E1D"/>
    <w:rsid w:val="006B1F67"/>
    <w:rsid w:val="006B30F7"/>
    <w:rsid w:val="006B3750"/>
    <w:rsid w:val="006B40DC"/>
    <w:rsid w:val="006B4EAB"/>
    <w:rsid w:val="006B5D7E"/>
    <w:rsid w:val="006B718D"/>
    <w:rsid w:val="006B7220"/>
    <w:rsid w:val="006B784C"/>
    <w:rsid w:val="006B7A37"/>
    <w:rsid w:val="006C07BB"/>
    <w:rsid w:val="006C0B17"/>
    <w:rsid w:val="006C254E"/>
    <w:rsid w:val="006C36D4"/>
    <w:rsid w:val="006C40D7"/>
    <w:rsid w:val="006C51B3"/>
    <w:rsid w:val="006C75AC"/>
    <w:rsid w:val="006C779D"/>
    <w:rsid w:val="006C7A68"/>
    <w:rsid w:val="006D04CE"/>
    <w:rsid w:val="006D0C75"/>
    <w:rsid w:val="006D1021"/>
    <w:rsid w:val="006D133D"/>
    <w:rsid w:val="006D1613"/>
    <w:rsid w:val="006D1850"/>
    <w:rsid w:val="006D217F"/>
    <w:rsid w:val="006D2DCC"/>
    <w:rsid w:val="006D4155"/>
    <w:rsid w:val="006D4161"/>
    <w:rsid w:val="006D477B"/>
    <w:rsid w:val="006D4B9F"/>
    <w:rsid w:val="006D699D"/>
    <w:rsid w:val="006D6A57"/>
    <w:rsid w:val="006D7215"/>
    <w:rsid w:val="006D768D"/>
    <w:rsid w:val="006D786C"/>
    <w:rsid w:val="006E0D7E"/>
    <w:rsid w:val="006E155F"/>
    <w:rsid w:val="006E1730"/>
    <w:rsid w:val="006E261C"/>
    <w:rsid w:val="006E46D2"/>
    <w:rsid w:val="006E5036"/>
    <w:rsid w:val="006E50F2"/>
    <w:rsid w:val="006E7304"/>
    <w:rsid w:val="006E7D27"/>
    <w:rsid w:val="006F1B72"/>
    <w:rsid w:val="006F25F7"/>
    <w:rsid w:val="006F285F"/>
    <w:rsid w:val="006F4477"/>
    <w:rsid w:val="006F46C0"/>
    <w:rsid w:val="006F472C"/>
    <w:rsid w:val="006F48CB"/>
    <w:rsid w:val="006F52FB"/>
    <w:rsid w:val="006F53A4"/>
    <w:rsid w:val="006F7750"/>
    <w:rsid w:val="00700410"/>
    <w:rsid w:val="00700BEE"/>
    <w:rsid w:val="0070103A"/>
    <w:rsid w:val="007010C1"/>
    <w:rsid w:val="00701675"/>
    <w:rsid w:val="007016A7"/>
    <w:rsid w:val="007019A5"/>
    <w:rsid w:val="00701D3B"/>
    <w:rsid w:val="00703023"/>
    <w:rsid w:val="00703CAC"/>
    <w:rsid w:val="007052C6"/>
    <w:rsid w:val="00705928"/>
    <w:rsid w:val="00705D6F"/>
    <w:rsid w:val="0070628E"/>
    <w:rsid w:val="0070669F"/>
    <w:rsid w:val="007071C6"/>
    <w:rsid w:val="00707F0D"/>
    <w:rsid w:val="00707F49"/>
    <w:rsid w:val="0071055C"/>
    <w:rsid w:val="00711458"/>
    <w:rsid w:val="00711C4F"/>
    <w:rsid w:val="007122F9"/>
    <w:rsid w:val="00712DF3"/>
    <w:rsid w:val="00713CEA"/>
    <w:rsid w:val="00714B65"/>
    <w:rsid w:val="007150B0"/>
    <w:rsid w:val="00715194"/>
    <w:rsid w:val="0071547E"/>
    <w:rsid w:val="00715865"/>
    <w:rsid w:val="007158FF"/>
    <w:rsid w:val="00717115"/>
    <w:rsid w:val="00717F55"/>
    <w:rsid w:val="0072086A"/>
    <w:rsid w:val="00721933"/>
    <w:rsid w:val="0072219B"/>
    <w:rsid w:val="007240C3"/>
    <w:rsid w:val="007244FE"/>
    <w:rsid w:val="00724E92"/>
    <w:rsid w:val="00725A33"/>
    <w:rsid w:val="00726A9C"/>
    <w:rsid w:val="00726DB0"/>
    <w:rsid w:val="00727639"/>
    <w:rsid w:val="007276F8"/>
    <w:rsid w:val="00727701"/>
    <w:rsid w:val="007300B1"/>
    <w:rsid w:val="007303CA"/>
    <w:rsid w:val="00731CFB"/>
    <w:rsid w:val="0073245D"/>
    <w:rsid w:val="00732F0E"/>
    <w:rsid w:val="007332DF"/>
    <w:rsid w:val="00734A7E"/>
    <w:rsid w:val="00735BE7"/>
    <w:rsid w:val="007368D4"/>
    <w:rsid w:val="00736A84"/>
    <w:rsid w:val="00736CD2"/>
    <w:rsid w:val="0073710A"/>
    <w:rsid w:val="0073731D"/>
    <w:rsid w:val="007376D0"/>
    <w:rsid w:val="00737F39"/>
    <w:rsid w:val="007404F4"/>
    <w:rsid w:val="00740795"/>
    <w:rsid w:val="00741E71"/>
    <w:rsid w:val="007420B9"/>
    <w:rsid w:val="00742156"/>
    <w:rsid w:val="007438AA"/>
    <w:rsid w:val="00743CB0"/>
    <w:rsid w:val="00744ECF"/>
    <w:rsid w:val="00745292"/>
    <w:rsid w:val="0074597B"/>
    <w:rsid w:val="00745A19"/>
    <w:rsid w:val="00745C8E"/>
    <w:rsid w:val="007463C2"/>
    <w:rsid w:val="00746CE0"/>
    <w:rsid w:val="00746EA3"/>
    <w:rsid w:val="007474F0"/>
    <w:rsid w:val="00750606"/>
    <w:rsid w:val="007506CE"/>
    <w:rsid w:val="00752532"/>
    <w:rsid w:val="00752E91"/>
    <w:rsid w:val="0075305B"/>
    <w:rsid w:val="00753264"/>
    <w:rsid w:val="00753ADE"/>
    <w:rsid w:val="007549C6"/>
    <w:rsid w:val="00754A8F"/>
    <w:rsid w:val="00754DA6"/>
    <w:rsid w:val="00754EB3"/>
    <w:rsid w:val="007554FB"/>
    <w:rsid w:val="00755652"/>
    <w:rsid w:val="007557A5"/>
    <w:rsid w:val="00755878"/>
    <w:rsid w:val="00757B68"/>
    <w:rsid w:val="007608B6"/>
    <w:rsid w:val="0076103E"/>
    <w:rsid w:val="007610AF"/>
    <w:rsid w:val="007610F1"/>
    <w:rsid w:val="0076112E"/>
    <w:rsid w:val="00761496"/>
    <w:rsid w:val="007620BA"/>
    <w:rsid w:val="00763774"/>
    <w:rsid w:val="00763F54"/>
    <w:rsid w:val="007645E5"/>
    <w:rsid w:val="00765436"/>
    <w:rsid w:val="00765CF3"/>
    <w:rsid w:val="00767103"/>
    <w:rsid w:val="007671EF"/>
    <w:rsid w:val="00767EFD"/>
    <w:rsid w:val="00771450"/>
    <w:rsid w:val="00771598"/>
    <w:rsid w:val="00773084"/>
    <w:rsid w:val="00773F61"/>
    <w:rsid w:val="00773F79"/>
    <w:rsid w:val="00774A19"/>
    <w:rsid w:val="00774AEA"/>
    <w:rsid w:val="00775543"/>
    <w:rsid w:val="00775928"/>
    <w:rsid w:val="00775C6D"/>
    <w:rsid w:val="007803DB"/>
    <w:rsid w:val="00780C92"/>
    <w:rsid w:val="007812A0"/>
    <w:rsid w:val="00781FAB"/>
    <w:rsid w:val="007836B2"/>
    <w:rsid w:val="0078393C"/>
    <w:rsid w:val="00783A85"/>
    <w:rsid w:val="00783E67"/>
    <w:rsid w:val="00784395"/>
    <w:rsid w:val="0078464C"/>
    <w:rsid w:val="00784C60"/>
    <w:rsid w:val="00784EBC"/>
    <w:rsid w:val="00785B60"/>
    <w:rsid w:val="0078601E"/>
    <w:rsid w:val="00786470"/>
    <w:rsid w:val="0078684F"/>
    <w:rsid w:val="0078709B"/>
    <w:rsid w:val="00787535"/>
    <w:rsid w:val="007901AC"/>
    <w:rsid w:val="00790393"/>
    <w:rsid w:val="007907D0"/>
    <w:rsid w:val="007908CF"/>
    <w:rsid w:val="00792677"/>
    <w:rsid w:val="00792CB4"/>
    <w:rsid w:val="00793159"/>
    <w:rsid w:val="00794A72"/>
    <w:rsid w:val="00794CB5"/>
    <w:rsid w:val="00794E90"/>
    <w:rsid w:val="00795436"/>
    <w:rsid w:val="007959A9"/>
    <w:rsid w:val="00795CB0"/>
    <w:rsid w:val="00796F40"/>
    <w:rsid w:val="007A0196"/>
    <w:rsid w:val="007A0581"/>
    <w:rsid w:val="007A09C6"/>
    <w:rsid w:val="007A09E1"/>
    <w:rsid w:val="007A0A57"/>
    <w:rsid w:val="007A252B"/>
    <w:rsid w:val="007A289C"/>
    <w:rsid w:val="007A364A"/>
    <w:rsid w:val="007A3D38"/>
    <w:rsid w:val="007A46CB"/>
    <w:rsid w:val="007A4EBD"/>
    <w:rsid w:val="007A4FB5"/>
    <w:rsid w:val="007A5F48"/>
    <w:rsid w:val="007A7DF0"/>
    <w:rsid w:val="007B0037"/>
    <w:rsid w:val="007B0087"/>
    <w:rsid w:val="007B112B"/>
    <w:rsid w:val="007B1632"/>
    <w:rsid w:val="007B3841"/>
    <w:rsid w:val="007B480B"/>
    <w:rsid w:val="007B4F09"/>
    <w:rsid w:val="007B5B26"/>
    <w:rsid w:val="007B691A"/>
    <w:rsid w:val="007C0C0A"/>
    <w:rsid w:val="007C1483"/>
    <w:rsid w:val="007C1731"/>
    <w:rsid w:val="007C1CE9"/>
    <w:rsid w:val="007C1FF6"/>
    <w:rsid w:val="007C24B8"/>
    <w:rsid w:val="007C24E0"/>
    <w:rsid w:val="007C2C1A"/>
    <w:rsid w:val="007C308C"/>
    <w:rsid w:val="007C325B"/>
    <w:rsid w:val="007C39E0"/>
    <w:rsid w:val="007C42FB"/>
    <w:rsid w:val="007C501E"/>
    <w:rsid w:val="007C5509"/>
    <w:rsid w:val="007C5DC7"/>
    <w:rsid w:val="007C6EAE"/>
    <w:rsid w:val="007C7C96"/>
    <w:rsid w:val="007C7DE5"/>
    <w:rsid w:val="007C7FF0"/>
    <w:rsid w:val="007D09A1"/>
    <w:rsid w:val="007D0A41"/>
    <w:rsid w:val="007D189B"/>
    <w:rsid w:val="007D23FD"/>
    <w:rsid w:val="007D2793"/>
    <w:rsid w:val="007D35F1"/>
    <w:rsid w:val="007D381F"/>
    <w:rsid w:val="007D3A69"/>
    <w:rsid w:val="007D3D35"/>
    <w:rsid w:val="007D52AD"/>
    <w:rsid w:val="007D61B8"/>
    <w:rsid w:val="007D673D"/>
    <w:rsid w:val="007D6E1A"/>
    <w:rsid w:val="007D7257"/>
    <w:rsid w:val="007D77CB"/>
    <w:rsid w:val="007E0183"/>
    <w:rsid w:val="007E0EA8"/>
    <w:rsid w:val="007E23C5"/>
    <w:rsid w:val="007E460A"/>
    <w:rsid w:val="007E56AF"/>
    <w:rsid w:val="007E5E48"/>
    <w:rsid w:val="007E5F1B"/>
    <w:rsid w:val="007E703B"/>
    <w:rsid w:val="007E75B8"/>
    <w:rsid w:val="007E7723"/>
    <w:rsid w:val="007F0932"/>
    <w:rsid w:val="007F1CC4"/>
    <w:rsid w:val="007F271F"/>
    <w:rsid w:val="007F55B6"/>
    <w:rsid w:val="007F564A"/>
    <w:rsid w:val="007F5F5D"/>
    <w:rsid w:val="007F7AAD"/>
    <w:rsid w:val="007F7B01"/>
    <w:rsid w:val="007F7FF2"/>
    <w:rsid w:val="0080233F"/>
    <w:rsid w:val="00802D22"/>
    <w:rsid w:val="00803A5F"/>
    <w:rsid w:val="008050F1"/>
    <w:rsid w:val="00805901"/>
    <w:rsid w:val="00805B42"/>
    <w:rsid w:val="008067A9"/>
    <w:rsid w:val="0080716A"/>
    <w:rsid w:val="008102AD"/>
    <w:rsid w:val="008103AD"/>
    <w:rsid w:val="00810B92"/>
    <w:rsid w:val="00810F98"/>
    <w:rsid w:val="00811677"/>
    <w:rsid w:val="00811BB6"/>
    <w:rsid w:val="0081319B"/>
    <w:rsid w:val="00813B98"/>
    <w:rsid w:val="00813DA6"/>
    <w:rsid w:val="00814681"/>
    <w:rsid w:val="00815373"/>
    <w:rsid w:val="008163FE"/>
    <w:rsid w:val="00816641"/>
    <w:rsid w:val="00816749"/>
    <w:rsid w:val="00817683"/>
    <w:rsid w:val="00817A84"/>
    <w:rsid w:val="00817EBD"/>
    <w:rsid w:val="00820FC7"/>
    <w:rsid w:val="008211BA"/>
    <w:rsid w:val="0082186B"/>
    <w:rsid w:val="00822F41"/>
    <w:rsid w:val="00823321"/>
    <w:rsid w:val="00823DAB"/>
    <w:rsid w:val="00825696"/>
    <w:rsid w:val="00825BB9"/>
    <w:rsid w:val="0082642A"/>
    <w:rsid w:val="00826765"/>
    <w:rsid w:val="008270BB"/>
    <w:rsid w:val="00827752"/>
    <w:rsid w:val="00827CF0"/>
    <w:rsid w:val="008322F1"/>
    <w:rsid w:val="008333F0"/>
    <w:rsid w:val="008335B8"/>
    <w:rsid w:val="00834010"/>
    <w:rsid w:val="008343BF"/>
    <w:rsid w:val="008344E4"/>
    <w:rsid w:val="008352C9"/>
    <w:rsid w:val="00835E40"/>
    <w:rsid w:val="00836F21"/>
    <w:rsid w:val="00837997"/>
    <w:rsid w:val="0084016A"/>
    <w:rsid w:val="00840B02"/>
    <w:rsid w:val="0084136C"/>
    <w:rsid w:val="00842E60"/>
    <w:rsid w:val="008439E4"/>
    <w:rsid w:val="00844E02"/>
    <w:rsid w:val="008455DD"/>
    <w:rsid w:val="008476CA"/>
    <w:rsid w:val="008479CA"/>
    <w:rsid w:val="00847F7A"/>
    <w:rsid w:val="00847F7E"/>
    <w:rsid w:val="0085009A"/>
    <w:rsid w:val="00850C97"/>
    <w:rsid w:val="008510AA"/>
    <w:rsid w:val="00854443"/>
    <w:rsid w:val="008553CC"/>
    <w:rsid w:val="00856757"/>
    <w:rsid w:val="00856A6C"/>
    <w:rsid w:val="00856D48"/>
    <w:rsid w:val="00857CCE"/>
    <w:rsid w:val="00857D46"/>
    <w:rsid w:val="008604CB"/>
    <w:rsid w:val="00860C31"/>
    <w:rsid w:val="008615C3"/>
    <w:rsid w:val="00861600"/>
    <w:rsid w:val="00862320"/>
    <w:rsid w:val="00862492"/>
    <w:rsid w:val="008628C9"/>
    <w:rsid w:val="0086359F"/>
    <w:rsid w:val="00863760"/>
    <w:rsid w:val="008648FC"/>
    <w:rsid w:val="00864928"/>
    <w:rsid w:val="00865621"/>
    <w:rsid w:val="00865A25"/>
    <w:rsid w:val="00866273"/>
    <w:rsid w:val="00866E74"/>
    <w:rsid w:val="00867FC5"/>
    <w:rsid w:val="008704FB"/>
    <w:rsid w:val="008709E0"/>
    <w:rsid w:val="008715DE"/>
    <w:rsid w:val="008722D5"/>
    <w:rsid w:val="008743B0"/>
    <w:rsid w:val="00874566"/>
    <w:rsid w:val="008748BA"/>
    <w:rsid w:val="00874A49"/>
    <w:rsid w:val="00874CD7"/>
    <w:rsid w:val="00874E6F"/>
    <w:rsid w:val="00875783"/>
    <w:rsid w:val="0087664B"/>
    <w:rsid w:val="00876E8D"/>
    <w:rsid w:val="0088067C"/>
    <w:rsid w:val="00881785"/>
    <w:rsid w:val="008817D6"/>
    <w:rsid w:val="00881FAE"/>
    <w:rsid w:val="00883E5C"/>
    <w:rsid w:val="0088473C"/>
    <w:rsid w:val="0088505A"/>
    <w:rsid w:val="00885CBC"/>
    <w:rsid w:val="00887029"/>
    <w:rsid w:val="0088708F"/>
    <w:rsid w:val="008871B2"/>
    <w:rsid w:val="008872F9"/>
    <w:rsid w:val="00887990"/>
    <w:rsid w:val="00890D79"/>
    <w:rsid w:val="0089103D"/>
    <w:rsid w:val="008910E6"/>
    <w:rsid w:val="00891555"/>
    <w:rsid w:val="00892657"/>
    <w:rsid w:val="00892F80"/>
    <w:rsid w:val="008955AE"/>
    <w:rsid w:val="008961CF"/>
    <w:rsid w:val="008968CB"/>
    <w:rsid w:val="00896ADB"/>
    <w:rsid w:val="008A0000"/>
    <w:rsid w:val="008A03E0"/>
    <w:rsid w:val="008A13F9"/>
    <w:rsid w:val="008A1589"/>
    <w:rsid w:val="008A1CBE"/>
    <w:rsid w:val="008A2B72"/>
    <w:rsid w:val="008A2EB7"/>
    <w:rsid w:val="008A313A"/>
    <w:rsid w:val="008A403F"/>
    <w:rsid w:val="008A4427"/>
    <w:rsid w:val="008A4722"/>
    <w:rsid w:val="008A4B23"/>
    <w:rsid w:val="008A4E70"/>
    <w:rsid w:val="008A555B"/>
    <w:rsid w:val="008A6823"/>
    <w:rsid w:val="008A723D"/>
    <w:rsid w:val="008A756C"/>
    <w:rsid w:val="008A762F"/>
    <w:rsid w:val="008B0AD0"/>
    <w:rsid w:val="008B2841"/>
    <w:rsid w:val="008B2ABB"/>
    <w:rsid w:val="008B2B19"/>
    <w:rsid w:val="008B4275"/>
    <w:rsid w:val="008B4EA2"/>
    <w:rsid w:val="008B4F41"/>
    <w:rsid w:val="008B626E"/>
    <w:rsid w:val="008C0456"/>
    <w:rsid w:val="008C15C2"/>
    <w:rsid w:val="008C1BCC"/>
    <w:rsid w:val="008C20EB"/>
    <w:rsid w:val="008C2C63"/>
    <w:rsid w:val="008C3868"/>
    <w:rsid w:val="008C3BC7"/>
    <w:rsid w:val="008C3D9C"/>
    <w:rsid w:val="008C3FDE"/>
    <w:rsid w:val="008C49B9"/>
    <w:rsid w:val="008C57D0"/>
    <w:rsid w:val="008C6BE8"/>
    <w:rsid w:val="008C6F75"/>
    <w:rsid w:val="008D159A"/>
    <w:rsid w:val="008D1B46"/>
    <w:rsid w:val="008D1F2A"/>
    <w:rsid w:val="008D24C4"/>
    <w:rsid w:val="008D2623"/>
    <w:rsid w:val="008D2D04"/>
    <w:rsid w:val="008D2EE0"/>
    <w:rsid w:val="008D3010"/>
    <w:rsid w:val="008D410E"/>
    <w:rsid w:val="008D4C1C"/>
    <w:rsid w:val="008D5146"/>
    <w:rsid w:val="008D56BB"/>
    <w:rsid w:val="008D5778"/>
    <w:rsid w:val="008D60F7"/>
    <w:rsid w:val="008D6DA5"/>
    <w:rsid w:val="008D7676"/>
    <w:rsid w:val="008E1898"/>
    <w:rsid w:val="008E1A46"/>
    <w:rsid w:val="008E1EF7"/>
    <w:rsid w:val="008E2A47"/>
    <w:rsid w:val="008E33ED"/>
    <w:rsid w:val="008E3BCF"/>
    <w:rsid w:val="008E4374"/>
    <w:rsid w:val="008E4D3D"/>
    <w:rsid w:val="008E541A"/>
    <w:rsid w:val="008E59FC"/>
    <w:rsid w:val="008E6332"/>
    <w:rsid w:val="008E6603"/>
    <w:rsid w:val="008E76D1"/>
    <w:rsid w:val="008F263B"/>
    <w:rsid w:val="008F330F"/>
    <w:rsid w:val="008F3D39"/>
    <w:rsid w:val="008F575A"/>
    <w:rsid w:val="008F586B"/>
    <w:rsid w:val="008F653B"/>
    <w:rsid w:val="008F692D"/>
    <w:rsid w:val="008F7800"/>
    <w:rsid w:val="0090023D"/>
    <w:rsid w:val="009005B9"/>
    <w:rsid w:val="00900B05"/>
    <w:rsid w:val="009015B2"/>
    <w:rsid w:val="00901B27"/>
    <w:rsid w:val="00901E45"/>
    <w:rsid w:val="00901EFF"/>
    <w:rsid w:val="0090217B"/>
    <w:rsid w:val="009027C0"/>
    <w:rsid w:val="009027D6"/>
    <w:rsid w:val="0090484D"/>
    <w:rsid w:val="0090489F"/>
    <w:rsid w:val="00905565"/>
    <w:rsid w:val="00905883"/>
    <w:rsid w:val="00905D3F"/>
    <w:rsid w:val="00905F78"/>
    <w:rsid w:val="00905FCF"/>
    <w:rsid w:val="00906E90"/>
    <w:rsid w:val="0090738E"/>
    <w:rsid w:val="0091051D"/>
    <w:rsid w:val="00911942"/>
    <w:rsid w:val="00911A48"/>
    <w:rsid w:val="0091255D"/>
    <w:rsid w:val="00912604"/>
    <w:rsid w:val="00912885"/>
    <w:rsid w:val="00912A83"/>
    <w:rsid w:val="0091315F"/>
    <w:rsid w:val="009132B3"/>
    <w:rsid w:val="00913A68"/>
    <w:rsid w:val="009156A6"/>
    <w:rsid w:val="00915A08"/>
    <w:rsid w:val="00915DFE"/>
    <w:rsid w:val="00915ECE"/>
    <w:rsid w:val="00916D27"/>
    <w:rsid w:val="00917961"/>
    <w:rsid w:val="00917DE0"/>
    <w:rsid w:val="00921978"/>
    <w:rsid w:val="00921B99"/>
    <w:rsid w:val="00921E28"/>
    <w:rsid w:val="009226E0"/>
    <w:rsid w:val="009226EC"/>
    <w:rsid w:val="009233A5"/>
    <w:rsid w:val="00923749"/>
    <w:rsid w:val="009239FB"/>
    <w:rsid w:val="00923AB0"/>
    <w:rsid w:val="00923B56"/>
    <w:rsid w:val="009246F4"/>
    <w:rsid w:val="00925135"/>
    <w:rsid w:val="009254FB"/>
    <w:rsid w:val="0092578D"/>
    <w:rsid w:val="00926795"/>
    <w:rsid w:val="00926ED2"/>
    <w:rsid w:val="009274A2"/>
    <w:rsid w:val="009301BA"/>
    <w:rsid w:val="0093090F"/>
    <w:rsid w:val="00930999"/>
    <w:rsid w:val="009318E4"/>
    <w:rsid w:val="00932E9D"/>
    <w:rsid w:val="00933592"/>
    <w:rsid w:val="009346FA"/>
    <w:rsid w:val="00934EC0"/>
    <w:rsid w:val="00935250"/>
    <w:rsid w:val="009353E7"/>
    <w:rsid w:val="00935420"/>
    <w:rsid w:val="00935DF6"/>
    <w:rsid w:val="009365D6"/>
    <w:rsid w:val="009365DD"/>
    <w:rsid w:val="00936F84"/>
    <w:rsid w:val="009374B6"/>
    <w:rsid w:val="00937B74"/>
    <w:rsid w:val="00937FDD"/>
    <w:rsid w:val="0094026A"/>
    <w:rsid w:val="00940851"/>
    <w:rsid w:val="0094195F"/>
    <w:rsid w:val="00942317"/>
    <w:rsid w:val="00942A64"/>
    <w:rsid w:val="009434BE"/>
    <w:rsid w:val="00945500"/>
    <w:rsid w:val="00945B21"/>
    <w:rsid w:val="00947757"/>
    <w:rsid w:val="00947C4C"/>
    <w:rsid w:val="00947FE3"/>
    <w:rsid w:val="009503CF"/>
    <w:rsid w:val="0095043A"/>
    <w:rsid w:val="00952FB2"/>
    <w:rsid w:val="00953227"/>
    <w:rsid w:val="00953B7F"/>
    <w:rsid w:val="00953F52"/>
    <w:rsid w:val="009540EA"/>
    <w:rsid w:val="009542DC"/>
    <w:rsid w:val="00954C92"/>
    <w:rsid w:val="00954D5B"/>
    <w:rsid w:val="0095748B"/>
    <w:rsid w:val="009575F4"/>
    <w:rsid w:val="00957628"/>
    <w:rsid w:val="00957FEF"/>
    <w:rsid w:val="00960417"/>
    <w:rsid w:val="00961256"/>
    <w:rsid w:val="009616D7"/>
    <w:rsid w:val="00962879"/>
    <w:rsid w:val="0096290B"/>
    <w:rsid w:val="009637FE"/>
    <w:rsid w:val="00963BBA"/>
    <w:rsid w:val="00964753"/>
    <w:rsid w:val="00964E94"/>
    <w:rsid w:val="009651F1"/>
    <w:rsid w:val="0096548B"/>
    <w:rsid w:val="00965CA6"/>
    <w:rsid w:val="009666CE"/>
    <w:rsid w:val="009679D9"/>
    <w:rsid w:val="00970C5B"/>
    <w:rsid w:val="00970E0B"/>
    <w:rsid w:val="009717DC"/>
    <w:rsid w:val="009717F4"/>
    <w:rsid w:val="00972B01"/>
    <w:rsid w:val="009734D3"/>
    <w:rsid w:val="00973610"/>
    <w:rsid w:val="00974762"/>
    <w:rsid w:val="00974F1F"/>
    <w:rsid w:val="009755F9"/>
    <w:rsid w:val="00975E18"/>
    <w:rsid w:val="00976074"/>
    <w:rsid w:val="00976B11"/>
    <w:rsid w:val="00977353"/>
    <w:rsid w:val="00981ADC"/>
    <w:rsid w:val="00982BC1"/>
    <w:rsid w:val="009837DB"/>
    <w:rsid w:val="00985CB2"/>
    <w:rsid w:val="009864AD"/>
    <w:rsid w:val="009875D4"/>
    <w:rsid w:val="00990092"/>
    <w:rsid w:val="0099083A"/>
    <w:rsid w:val="009915AC"/>
    <w:rsid w:val="00992796"/>
    <w:rsid w:val="00993DFC"/>
    <w:rsid w:val="00994177"/>
    <w:rsid w:val="009943AD"/>
    <w:rsid w:val="00994A4F"/>
    <w:rsid w:val="00994BE4"/>
    <w:rsid w:val="00994C0D"/>
    <w:rsid w:val="00994C7B"/>
    <w:rsid w:val="00994D57"/>
    <w:rsid w:val="00994E82"/>
    <w:rsid w:val="00995BCC"/>
    <w:rsid w:val="00996089"/>
    <w:rsid w:val="0099739D"/>
    <w:rsid w:val="009A03CE"/>
    <w:rsid w:val="009A1738"/>
    <w:rsid w:val="009A1F9A"/>
    <w:rsid w:val="009A25A2"/>
    <w:rsid w:val="009A2B84"/>
    <w:rsid w:val="009A32CF"/>
    <w:rsid w:val="009A3B5C"/>
    <w:rsid w:val="009A5C9A"/>
    <w:rsid w:val="009A6A57"/>
    <w:rsid w:val="009A796B"/>
    <w:rsid w:val="009A7BDA"/>
    <w:rsid w:val="009B0B54"/>
    <w:rsid w:val="009B1954"/>
    <w:rsid w:val="009B1C28"/>
    <w:rsid w:val="009B1C95"/>
    <w:rsid w:val="009B2652"/>
    <w:rsid w:val="009B2753"/>
    <w:rsid w:val="009B299A"/>
    <w:rsid w:val="009B2B20"/>
    <w:rsid w:val="009B2BEA"/>
    <w:rsid w:val="009B2EF0"/>
    <w:rsid w:val="009B31C4"/>
    <w:rsid w:val="009B3499"/>
    <w:rsid w:val="009B385F"/>
    <w:rsid w:val="009B452D"/>
    <w:rsid w:val="009B5419"/>
    <w:rsid w:val="009B567A"/>
    <w:rsid w:val="009B57F9"/>
    <w:rsid w:val="009B5E5D"/>
    <w:rsid w:val="009B6C92"/>
    <w:rsid w:val="009B7632"/>
    <w:rsid w:val="009B7DC7"/>
    <w:rsid w:val="009C0063"/>
    <w:rsid w:val="009C00B6"/>
    <w:rsid w:val="009C2A89"/>
    <w:rsid w:val="009C4243"/>
    <w:rsid w:val="009C5B52"/>
    <w:rsid w:val="009C5E69"/>
    <w:rsid w:val="009C6BB0"/>
    <w:rsid w:val="009C6F5F"/>
    <w:rsid w:val="009D21B8"/>
    <w:rsid w:val="009D22CA"/>
    <w:rsid w:val="009D2A7E"/>
    <w:rsid w:val="009D2CDB"/>
    <w:rsid w:val="009D556B"/>
    <w:rsid w:val="009D5C3E"/>
    <w:rsid w:val="009D61C2"/>
    <w:rsid w:val="009D6804"/>
    <w:rsid w:val="009D73F5"/>
    <w:rsid w:val="009D79E3"/>
    <w:rsid w:val="009E18E1"/>
    <w:rsid w:val="009E1A3F"/>
    <w:rsid w:val="009E1ADF"/>
    <w:rsid w:val="009E2340"/>
    <w:rsid w:val="009E271F"/>
    <w:rsid w:val="009E29D1"/>
    <w:rsid w:val="009E4184"/>
    <w:rsid w:val="009E4680"/>
    <w:rsid w:val="009E4D98"/>
    <w:rsid w:val="009E4F37"/>
    <w:rsid w:val="009E5BBD"/>
    <w:rsid w:val="009E73B8"/>
    <w:rsid w:val="009E7D42"/>
    <w:rsid w:val="009F0660"/>
    <w:rsid w:val="009F0BD3"/>
    <w:rsid w:val="009F0F38"/>
    <w:rsid w:val="009F1568"/>
    <w:rsid w:val="009F15C6"/>
    <w:rsid w:val="009F1E9A"/>
    <w:rsid w:val="009F226A"/>
    <w:rsid w:val="009F2F36"/>
    <w:rsid w:val="009F41AF"/>
    <w:rsid w:val="009F6060"/>
    <w:rsid w:val="009F61BC"/>
    <w:rsid w:val="009F73DB"/>
    <w:rsid w:val="009F76E7"/>
    <w:rsid w:val="00A00AA7"/>
    <w:rsid w:val="00A00ECE"/>
    <w:rsid w:val="00A01688"/>
    <w:rsid w:val="00A0173C"/>
    <w:rsid w:val="00A01EA1"/>
    <w:rsid w:val="00A02391"/>
    <w:rsid w:val="00A02C81"/>
    <w:rsid w:val="00A03072"/>
    <w:rsid w:val="00A0390C"/>
    <w:rsid w:val="00A03A52"/>
    <w:rsid w:val="00A03A73"/>
    <w:rsid w:val="00A04EE6"/>
    <w:rsid w:val="00A05BD4"/>
    <w:rsid w:val="00A100DE"/>
    <w:rsid w:val="00A10F47"/>
    <w:rsid w:val="00A11E42"/>
    <w:rsid w:val="00A123F6"/>
    <w:rsid w:val="00A12F0A"/>
    <w:rsid w:val="00A136D7"/>
    <w:rsid w:val="00A13ACD"/>
    <w:rsid w:val="00A13F21"/>
    <w:rsid w:val="00A1402D"/>
    <w:rsid w:val="00A150B1"/>
    <w:rsid w:val="00A151EA"/>
    <w:rsid w:val="00A158E8"/>
    <w:rsid w:val="00A15D02"/>
    <w:rsid w:val="00A16D9A"/>
    <w:rsid w:val="00A21366"/>
    <w:rsid w:val="00A21791"/>
    <w:rsid w:val="00A21DD8"/>
    <w:rsid w:val="00A220E6"/>
    <w:rsid w:val="00A225BF"/>
    <w:rsid w:val="00A22EC6"/>
    <w:rsid w:val="00A2344C"/>
    <w:rsid w:val="00A23B4A"/>
    <w:rsid w:val="00A23BDB"/>
    <w:rsid w:val="00A23D26"/>
    <w:rsid w:val="00A23F8B"/>
    <w:rsid w:val="00A244B6"/>
    <w:rsid w:val="00A24624"/>
    <w:rsid w:val="00A24855"/>
    <w:rsid w:val="00A24987"/>
    <w:rsid w:val="00A2538B"/>
    <w:rsid w:val="00A253AA"/>
    <w:rsid w:val="00A259D7"/>
    <w:rsid w:val="00A260AE"/>
    <w:rsid w:val="00A26BEC"/>
    <w:rsid w:val="00A27FE9"/>
    <w:rsid w:val="00A308AC"/>
    <w:rsid w:val="00A31934"/>
    <w:rsid w:val="00A31FBE"/>
    <w:rsid w:val="00A329B4"/>
    <w:rsid w:val="00A32AAA"/>
    <w:rsid w:val="00A33360"/>
    <w:rsid w:val="00A337E3"/>
    <w:rsid w:val="00A33EA5"/>
    <w:rsid w:val="00A3435C"/>
    <w:rsid w:val="00A347AE"/>
    <w:rsid w:val="00A34CAC"/>
    <w:rsid w:val="00A34F5D"/>
    <w:rsid w:val="00A35F28"/>
    <w:rsid w:val="00A35FE6"/>
    <w:rsid w:val="00A40EDA"/>
    <w:rsid w:val="00A41238"/>
    <w:rsid w:val="00A41B5C"/>
    <w:rsid w:val="00A41BCF"/>
    <w:rsid w:val="00A42583"/>
    <w:rsid w:val="00A426A7"/>
    <w:rsid w:val="00A42CCA"/>
    <w:rsid w:val="00A42FB2"/>
    <w:rsid w:val="00A43F29"/>
    <w:rsid w:val="00A45675"/>
    <w:rsid w:val="00A47CBD"/>
    <w:rsid w:val="00A501B7"/>
    <w:rsid w:val="00A5020A"/>
    <w:rsid w:val="00A5069A"/>
    <w:rsid w:val="00A5125F"/>
    <w:rsid w:val="00A514D5"/>
    <w:rsid w:val="00A52713"/>
    <w:rsid w:val="00A529DA"/>
    <w:rsid w:val="00A536AC"/>
    <w:rsid w:val="00A5388F"/>
    <w:rsid w:val="00A53CB0"/>
    <w:rsid w:val="00A5403A"/>
    <w:rsid w:val="00A54C68"/>
    <w:rsid w:val="00A550B5"/>
    <w:rsid w:val="00A55999"/>
    <w:rsid w:val="00A55A48"/>
    <w:rsid w:val="00A55B4A"/>
    <w:rsid w:val="00A560D5"/>
    <w:rsid w:val="00A56531"/>
    <w:rsid w:val="00A56680"/>
    <w:rsid w:val="00A570BD"/>
    <w:rsid w:val="00A571A7"/>
    <w:rsid w:val="00A574A8"/>
    <w:rsid w:val="00A615EB"/>
    <w:rsid w:val="00A61AD5"/>
    <w:rsid w:val="00A61CC9"/>
    <w:rsid w:val="00A6275F"/>
    <w:rsid w:val="00A63DBC"/>
    <w:rsid w:val="00A63EFF"/>
    <w:rsid w:val="00A640B3"/>
    <w:rsid w:val="00A6445B"/>
    <w:rsid w:val="00A65C6C"/>
    <w:rsid w:val="00A662D9"/>
    <w:rsid w:val="00A664FC"/>
    <w:rsid w:val="00A70F59"/>
    <w:rsid w:val="00A71904"/>
    <w:rsid w:val="00A72080"/>
    <w:rsid w:val="00A73038"/>
    <w:rsid w:val="00A73237"/>
    <w:rsid w:val="00A73CB0"/>
    <w:rsid w:val="00A74113"/>
    <w:rsid w:val="00A744FD"/>
    <w:rsid w:val="00A748D1"/>
    <w:rsid w:val="00A74B7F"/>
    <w:rsid w:val="00A74EC6"/>
    <w:rsid w:val="00A75725"/>
    <w:rsid w:val="00A759DD"/>
    <w:rsid w:val="00A76947"/>
    <w:rsid w:val="00A76C99"/>
    <w:rsid w:val="00A76E4A"/>
    <w:rsid w:val="00A77856"/>
    <w:rsid w:val="00A80FCC"/>
    <w:rsid w:val="00A80FDD"/>
    <w:rsid w:val="00A813F8"/>
    <w:rsid w:val="00A81D18"/>
    <w:rsid w:val="00A81EBE"/>
    <w:rsid w:val="00A8267B"/>
    <w:rsid w:val="00A828A9"/>
    <w:rsid w:val="00A83993"/>
    <w:rsid w:val="00A84963"/>
    <w:rsid w:val="00A84DE2"/>
    <w:rsid w:val="00A85750"/>
    <w:rsid w:val="00A87B25"/>
    <w:rsid w:val="00A90E48"/>
    <w:rsid w:val="00A9209F"/>
    <w:rsid w:val="00A923D4"/>
    <w:rsid w:val="00A94EDA"/>
    <w:rsid w:val="00A96F1B"/>
    <w:rsid w:val="00AA0B8A"/>
    <w:rsid w:val="00AA1B5D"/>
    <w:rsid w:val="00AA2234"/>
    <w:rsid w:val="00AA2D68"/>
    <w:rsid w:val="00AA3943"/>
    <w:rsid w:val="00AA46EF"/>
    <w:rsid w:val="00AA48EC"/>
    <w:rsid w:val="00AA52CA"/>
    <w:rsid w:val="00AA569F"/>
    <w:rsid w:val="00AA57AF"/>
    <w:rsid w:val="00AA59CF"/>
    <w:rsid w:val="00AA642F"/>
    <w:rsid w:val="00AB0120"/>
    <w:rsid w:val="00AB063D"/>
    <w:rsid w:val="00AB0EC4"/>
    <w:rsid w:val="00AB1053"/>
    <w:rsid w:val="00AB1458"/>
    <w:rsid w:val="00AB16ED"/>
    <w:rsid w:val="00AB3A22"/>
    <w:rsid w:val="00AB3D51"/>
    <w:rsid w:val="00AB4783"/>
    <w:rsid w:val="00AB48BF"/>
    <w:rsid w:val="00AB4D70"/>
    <w:rsid w:val="00AB4EE0"/>
    <w:rsid w:val="00AB5BC8"/>
    <w:rsid w:val="00AB686B"/>
    <w:rsid w:val="00AB6C29"/>
    <w:rsid w:val="00AB7419"/>
    <w:rsid w:val="00AB76E3"/>
    <w:rsid w:val="00AC046C"/>
    <w:rsid w:val="00AC19A8"/>
    <w:rsid w:val="00AC1ADA"/>
    <w:rsid w:val="00AC1BB0"/>
    <w:rsid w:val="00AC3ADF"/>
    <w:rsid w:val="00AC43C2"/>
    <w:rsid w:val="00AC4CBF"/>
    <w:rsid w:val="00AC52BC"/>
    <w:rsid w:val="00AC579E"/>
    <w:rsid w:val="00AC599E"/>
    <w:rsid w:val="00AC5F0A"/>
    <w:rsid w:val="00AC5F72"/>
    <w:rsid w:val="00AC6282"/>
    <w:rsid w:val="00AC667C"/>
    <w:rsid w:val="00AC6B95"/>
    <w:rsid w:val="00AD17AD"/>
    <w:rsid w:val="00AD2F4B"/>
    <w:rsid w:val="00AD32D8"/>
    <w:rsid w:val="00AD336C"/>
    <w:rsid w:val="00AD346A"/>
    <w:rsid w:val="00AD38DD"/>
    <w:rsid w:val="00AD3EC4"/>
    <w:rsid w:val="00AD400F"/>
    <w:rsid w:val="00AD47FF"/>
    <w:rsid w:val="00AD69F1"/>
    <w:rsid w:val="00AD7D16"/>
    <w:rsid w:val="00AD7E1F"/>
    <w:rsid w:val="00AE0731"/>
    <w:rsid w:val="00AE10B6"/>
    <w:rsid w:val="00AE2123"/>
    <w:rsid w:val="00AE2853"/>
    <w:rsid w:val="00AE2FD5"/>
    <w:rsid w:val="00AE30EE"/>
    <w:rsid w:val="00AE36D4"/>
    <w:rsid w:val="00AE44B2"/>
    <w:rsid w:val="00AE4D9F"/>
    <w:rsid w:val="00AE5055"/>
    <w:rsid w:val="00AE669F"/>
    <w:rsid w:val="00AE7A70"/>
    <w:rsid w:val="00AF050B"/>
    <w:rsid w:val="00AF087D"/>
    <w:rsid w:val="00AF0885"/>
    <w:rsid w:val="00AF0D77"/>
    <w:rsid w:val="00AF180D"/>
    <w:rsid w:val="00AF1838"/>
    <w:rsid w:val="00AF1E52"/>
    <w:rsid w:val="00AF2DBC"/>
    <w:rsid w:val="00AF3D28"/>
    <w:rsid w:val="00AF3DA2"/>
    <w:rsid w:val="00AF440F"/>
    <w:rsid w:val="00AF63E0"/>
    <w:rsid w:val="00AF64BC"/>
    <w:rsid w:val="00AF680B"/>
    <w:rsid w:val="00AF6DD9"/>
    <w:rsid w:val="00B0006B"/>
    <w:rsid w:val="00B00229"/>
    <w:rsid w:val="00B006AA"/>
    <w:rsid w:val="00B00AFF"/>
    <w:rsid w:val="00B00E5C"/>
    <w:rsid w:val="00B00EAC"/>
    <w:rsid w:val="00B00EBB"/>
    <w:rsid w:val="00B00F16"/>
    <w:rsid w:val="00B0162F"/>
    <w:rsid w:val="00B03EFF"/>
    <w:rsid w:val="00B0512B"/>
    <w:rsid w:val="00B05322"/>
    <w:rsid w:val="00B05625"/>
    <w:rsid w:val="00B05B03"/>
    <w:rsid w:val="00B06150"/>
    <w:rsid w:val="00B06525"/>
    <w:rsid w:val="00B10375"/>
    <w:rsid w:val="00B11731"/>
    <w:rsid w:val="00B12792"/>
    <w:rsid w:val="00B12CAA"/>
    <w:rsid w:val="00B135E5"/>
    <w:rsid w:val="00B13C8D"/>
    <w:rsid w:val="00B14104"/>
    <w:rsid w:val="00B143EF"/>
    <w:rsid w:val="00B16211"/>
    <w:rsid w:val="00B16271"/>
    <w:rsid w:val="00B16FB3"/>
    <w:rsid w:val="00B207E5"/>
    <w:rsid w:val="00B20EF0"/>
    <w:rsid w:val="00B20FE6"/>
    <w:rsid w:val="00B22478"/>
    <w:rsid w:val="00B229B7"/>
    <w:rsid w:val="00B24083"/>
    <w:rsid w:val="00B2476C"/>
    <w:rsid w:val="00B24783"/>
    <w:rsid w:val="00B27835"/>
    <w:rsid w:val="00B27963"/>
    <w:rsid w:val="00B30E1B"/>
    <w:rsid w:val="00B30ED6"/>
    <w:rsid w:val="00B31AC0"/>
    <w:rsid w:val="00B329CD"/>
    <w:rsid w:val="00B32B29"/>
    <w:rsid w:val="00B33DB5"/>
    <w:rsid w:val="00B34261"/>
    <w:rsid w:val="00B342DB"/>
    <w:rsid w:val="00B34F50"/>
    <w:rsid w:val="00B35B4A"/>
    <w:rsid w:val="00B365EF"/>
    <w:rsid w:val="00B36E59"/>
    <w:rsid w:val="00B40A6C"/>
    <w:rsid w:val="00B4219C"/>
    <w:rsid w:val="00B43171"/>
    <w:rsid w:val="00B437A8"/>
    <w:rsid w:val="00B44818"/>
    <w:rsid w:val="00B44955"/>
    <w:rsid w:val="00B45BA2"/>
    <w:rsid w:val="00B46045"/>
    <w:rsid w:val="00B465D5"/>
    <w:rsid w:val="00B46C0F"/>
    <w:rsid w:val="00B5141E"/>
    <w:rsid w:val="00B526BF"/>
    <w:rsid w:val="00B52976"/>
    <w:rsid w:val="00B549FB"/>
    <w:rsid w:val="00B549FE"/>
    <w:rsid w:val="00B54BF5"/>
    <w:rsid w:val="00B55314"/>
    <w:rsid w:val="00B55FD9"/>
    <w:rsid w:val="00B56C8D"/>
    <w:rsid w:val="00B571A5"/>
    <w:rsid w:val="00B6016D"/>
    <w:rsid w:val="00B60EF2"/>
    <w:rsid w:val="00B624E8"/>
    <w:rsid w:val="00B6305A"/>
    <w:rsid w:val="00B632FF"/>
    <w:rsid w:val="00B64240"/>
    <w:rsid w:val="00B646C6"/>
    <w:rsid w:val="00B64AE4"/>
    <w:rsid w:val="00B66375"/>
    <w:rsid w:val="00B666B9"/>
    <w:rsid w:val="00B6695D"/>
    <w:rsid w:val="00B67DDF"/>
    <w:rsid w:val="00B70054"/>
    <w:rsid w:val="00B70A81"/>
    <w:rsid w:val="00B71BBB"/>
    <w:rsid w:val="00B71D7C"/>
    <w:rsid w:val="00B74020"/>
    <w:rsid w:val="00B74C11"/>
    <w:rsid w:val="00B74E6D"/>
    <w:rsid w:val="00B75C2A"/>
    <w:rsid w:val="00B7629E"/>
    <w:rsid w:val="00B764D8"/>
    <w:rsid w:val="00B76DC1"/>
    <w:rsid w:val="00B77603"/>
    <w:rsid w:val="00B8011B"/>
    <w:rsid w:val="00B806F7"/>
    <w:rsid w:val="00B81AEA"/>
    <w:rsid w:val="00B8262D"/>
    <w:rsid w:val="00B82CAB"/>
    <w:rsid w:val="00B83631"/>
    <w:rsid w:val="00B83B65"/>
    <w:rsid w:val="00B84E35"/>
    <w:rsid w:val="00B862C0"/>
    <w:rsid w:val="00B8699D"/>
    <w:rsid w:val="00B86D58"/>
    <w:rsid w:val="00B9017D"/>
    <w:rsid w:val="00B922F7"/>
    <w:rsid w:val="00B92665"/>
    <w:rsid w:val="00B932E9"/>
    <w:rsid w:val="00B940C3"/>
    <w:rsid w:val="00B94C27"/>
    <w:rsid w:val="00B95734"/>
    <w:rsid w:val="00B96EC2"/>
    <w:rsid w:val="00B96FC8"/>
    <w:rsid w:val="00BA0134"/>
    <w:rsid w:val="00BA0954"/>
    <w:rsid w:val="00BA09D3"/>
    <w:rsid w:val="00BA0E91"/>
    <w:rsid w:val="00BA1776"/>
    <w:rsid w:val="00BA1B38"/>
    <w:rsid w:val="00BA4386"/>
    <w:rsid w:val="00BA4D3F"/>
    <w:rsid w:val="00BA7127"/>
    <w:rsid w:val="00BA71BC"/>
    <w:rsid w:val="00BA73F8"/>
    <w:rsid w:val="00BA74B6"/>
    <w:rsid w:val="00BA7D71"/>
    <w:rsid w:val="00BB0C7E"/>
    <w:rsid w:val="00BB0E2F"/>
    <w:rsid w:val="00BB25B9"/>
    <w:rsid w:val="00BB45D7"/>
    <w:rsid w:val="00BB5771"/>
    <w:rsid w:val="00BB57D4"/>
    <w:rsid w:val="00BB5D93"/>
    <w:rsid w:val="00BB774E"/>
    <w:rsid w:val="00BB7753"/>
    <w:rsid w:val="00BC00B7"/>
    <w:rsid w:val="00BC1690"/>
    <w:rsid w:val="00BC31C9"/>
    <w:rsid w:val="00BC3DC2"/>
    <w:rsid w:val="00BC5756"/>
    <w:rsid w:val="00BC7305"/>
    <w:rsid w:val="00BC7CD9"/>
    <w:rsid w:val="00BD0D8F"/>
    <w:rsid w:val="00BD1971"/>
    <w:rsid w:val="00BD2293"/>
    <w:rsid w:val="00BD3113"/>
    <w:rsid w:val="00BD3AA0"/>
    <w:rsid w:val="00BD3B1B"/>
    <w:rsid w:val="00BD5E6A"/>
    <w:rsid w:val="00BD61CC"/>
    <w:rsid w:val="00BE0227"/>
    <w:rsid w:val="00BE0262"/>
    <w:rsid w:val="00BE0A05"/>
    <w:rsid w:val="00BE11EF"/>
    <w:rsid w:val="00BE2DD8"/>
    <w:rsid w:val="00BE3C6E"/>
    <w:rsid w:val="00BE551C"/>
    <w:rsid w:val="00BE5697"/>
    <w:rsid w:val="00BE5940"/>
    <w:rsid w:val="00BE6016"/>
    <w:rsid w:val="00BE6532"/>
    <w:rsid w:val="00BE70BE"/>
    <w:rsid w:val="00BE7682"/>
    <w:rsid w:val="00BE78A2"/>
    <w:rsid w:val="00BE799D"/>
    <w:rsid w:val="00BF0269"/>
    <w:rsid w:val="00BF0F5E"/>
    <w:rsid w:val="00BF1724"/>
    <w:rsid w:val="00BF3119"/>
    <w:rsid w:val="00BF37FE"/>
    <w:rsid w:val="00BF4C97"/>
    <w:rsid w:val="00BF4F53"/>
    <w:rsid w:val="00BF5A35"/>
    <w:rsid w:val="00BF6262"/>
    <w:rsid w:val="00BF6B57"/>
    <w:rsid w:val="00BF6C79"/>
    <w:rsid w:val="00BF7AAF"/>
    <w:rsid w:val="00C02B67"/>
    <w:rsid w:val="00C02E52"/>
    <w:rsid w:val="00C0362F"/>
    <w:rsid w:val="00C0398C"/>
    <w:rsid w:val="00C049A7"/>
    <w:rsid w:val="00C04C76"/>
    <w:rsid w:val="00C0533F"/>
    <w:rsid w:val="00C05367"/>
    <w:rsid w:val="00C065C5"/>
    <w:rsid w:val="00C06B05"/>
    <w:rsid w:val="00C06CFB"/>
    <w:rsid w:val="00C076F3"/>
    <w:rsid w:val="00C07D68"/>
    <w:rsid w:val="00C109F0"/>
    <w:rsid w:val="00C1154D"/>
    <w:rsid w:val="00C13A44"/>
    <w:rsid w:val="00C13DC2"/>
    <w:rsid w:val="00C159F9"/>
    <w:rsid w:val="00C15A62"/>
    <w:rsid w:val="00C15B84"/>
    <w:rsid w:val="00C15E2B"/>
    <w:rsid w:val="00C17BC0"/>
    <w:rsid w:val="00C17E8D"/>
    <w:rsid w:val="00C210AA"/>
    <w:rsid w:val="00C22063"/>
    <w:rsid w:val="00C227AD"/>
    <w:rsid w:val="00C227B6"/>
    <w:rsid w:val="00C2305A"/>
    <w:rsid w:val="00C23CC9"/>
    <w:rsid w:val="00C252B7"/>
    <w:rsid w:val="00C25E43"/>
    <w:rsid w:val="00C26383"/>
    <w:rsid w:val="00C275CE"/>
    <w:rsid w:val="00C3065C"/>
    <w:rsid w:val="00C30B3D"/>
    <w:rsid w:val="00C30C98"/>
    <w:rsid w:val="00C30F93"/>
    <w:rsid w:val="00C31902"/>
    <w:rsid w:val="00C319E6"/>
    <w:rsid w:val="00C31F07"/>
    <w:rsid w:val="00C32302"/>
    <w:rsid w:val="00C33AE2"/>
    <w:rsid w:val="00C33BD3"/>
    <w:rsid w:val="00C33F27"/>
    <w:rsid w:val="00C343AD"/>
    <w:rsid w:val="00C34493"/>
    <w:rsid w:val="00C353B4"/>
    <w:rsid w:val="00C357CA"/>
    <w:rsid w:val="00C36CA1"/>
    <w:rsid w:val="00C4089D"/>
    <w:rsid w:val="00C414E8"/>
    <w:rsid w:val="00C414EA"/>
    <w:rsid w:val="00C422FE"/>
    <w:rsid w:val="00C42FEE"/>
    <w:rsid w:val="00C434E9"/>
    <w:rsid w:val="00C43D83"/>
    <w:rsid w:val="00C4455A"/>
    <w:rsid w:val="00C44FDF"/>
    <w:rsid w:val="00C454CE"/>
    <w:rsid w:val="00C4618B"/>
    <w:rsid w:val="00C46625"/>
    <w:rsid w:val="00C46E21"/>
    <w:rsid w:val="00C47079"/>
    <w:rsid w:val="00C5000C"/>
    <w:rsid w:val="00C50A8C"/>
    <w:rsid w:val="00C51E41"/>
    <w:rsid w:val="00C52857"/>
    <w:rsid w:val="00C53AF9"/>
    <w:rsid w:val="00C53B2C"/>
    <w:rsid w:val="00C544F8"/>
    <w:rsid w:val="00C54D90"/>
    <w:rsid w:val="00C5571E"/>
    <w:rsid w:val="00C55C6B"/>
    <w:rsid w:val="00C560C6"/>
    <w:rsid w:val="00C56A08"/>
    <w:rsid w:val="00C56B30"/>
    <w:rsid w:val="00C578B1"/>
    <w:rsid w:val="00C57F4D"/>
    <w:rsid w:val="00C60670"/>
    <w:rsid w:val="00C618BE"/>
    <w:rsid w:val="00C62E1E"/>
    <w:rsid w:val="00C67ED6"/>
    <w:rsid w:val="00C70BF0"/>
    <w:rsid w:val="00C7137A"/>
    <w:rsid w:val="00C72AD3"/>
    <w:rsid w:val="00C72C02"/>
    <w:rsid w:val="00C73B9F"/>
    <w:rsid w:val="00C74704"/>
    <w:rsid w:val="00C76428"/>
    <w:rsid w:val="00C76A33"/>
    <w:rsid w:val="00C772DA"/>
    <w:rsid w:val="00C80134"/>
    <w:rsid w:val="00C8017C"/>
    <w:rsid w:val="00C808C9"/>
    <w:rsid w:val="00C8096C"/>
    <w:rsid w:val="00C8100B"/>
    <w:rsid w:val="00C812F0"/>
    <w:rsid w:val="00C817BE"/>
    <w:rsid w:val="00C81E69"/>
    <w:rsid w:val="00C83D0A"/>
    <w:rsid w:val="00C84614"/>
    <w:rsid w:val="00C86132"/>
    <w:rsid w:val="00C86799"/>
    <w:rsid w:val="00C86947"/>
    <w:rsid w:val="00C8774D"/>
    <w:rsid w:val="00C90019"/>
    <w:rsid w:val="00C91798"/>
    <w:rsid w:val="00C91ACF"/>
    <w:rsid w:val="00C91B98"/>
    <w:rsid w:val="00C92921"/>
    <w:rsid w:val="00C92D4B"/>
    <w:rsid w:val="00C92ED6"/>
    <w:rsid w:val="00C93594"/>
    <w:rsid w:val="00C9365E"/>
    <w:rsid w:val="00C94CEA"/>
    <w:rsid w:val="00C94D93"/>
    <w:rsid w:val="00C94FD2"/>
    <w:rsid w:val="00C95FD0"/>
    <w:rsid w:val="00C96D95"/>
    <w:rsid w:val="00C96EFD"/>
    <w:rsid w:val="00CA00B2"/>
    <w:rsid w:val="00CA061D"/>
    <w:rsid w:val="00CA3005"/>
    <w:rsid w:val="00CA341B"/>
    <w:rsid w:val="00CA41D2"/>
    <w:rsid w:val="00CA43C7"/>
    <w:rsid w:val="00CA44EC"/>
    <w:rsid w:val="00CA493A"/>
    <w:rsid w:val="00CA49C5"/>
    <w:rsid w:val="00CA4F20"/>
    <w:rsid w:val="00CA58AB"/>
    <w:rsid w:val="00CA6C59"/>
    <w:rsid w:val="00CA708F"/>
    <w:rsid w:val="00CA70AC"/>
    <w:rsid w:val="00CB02B6"/>
    <w:rsid w:val="00CB2B65"/>
    <w:rsid w:val="00CB3C74"/>
    <w:rsid w:val="00CB3FE7"/>
    <w:rsid w:val="00CB5458"/>
    <w:rsid w:val="00CB5531"/>
    <w:rsid w:val="00CB5CB4"/>
    <w:rsid w:val="00CB5CFE"/>
    <w:rsid w:val="00CB5E17"/>
    <w:rsid w:val="00CB6840"/>
    <w:rsid w:val="00CB6C14"/>
    <w:rsid w:val="00CB7FBB"/>
    <w:rsid w:val="00CC023C"/>
    <w:rsid w:val="00CC06C6"/>
    <w:rsid w:val="00CC1509"/>
    <w:rsid w:val="00CC1AB1"/>
    <w:rsid w:val="00CC21F0"/>
    <w:rsid w:val="00CC2D6D"/>
    <w:rsid w:val="00CC39A4"/>
    <w:rsid w:val="00CC3ACC"/>
    <w:rsid w:val="00CC4F44"/>
    <w:rsid w:val="00CC618D"/>
    <w:rsid w:val="00CC6CC9"/>
    <w:rsid w:val="00CC6DCA"/>
    <w:rsid w:val="00CC6EE0"/>
    <w:rsid w:val="00CC6F7B"/>
    <w:rsid w:val="00CC72AD"/>
    <w:rsid w:val="00CC7E0D"/>
    <w:rsid w:val="00CD00A2"/>
    <w:rsid w:val="00CD088D"/>
    <w:rsid w:val="00CD0E16"/>
    <w:rsid w:val="00CD193F"/>
    <w:rsid w:val="00CD194E"/>
    <w:rsid w:val="00CD1E93"/>
    <w:rsid w:val="00CD3852"/>
    <w:rsid w:val="00CD4AAD"/>
    <w:rsid w:val="00CD4CC2"/>
    <w:rsid w:val="00CD5900"/>
    <w:rsid w:val="00CD5A32"/>
    <w:rsid w:val="00CD5D7D"/>
    <w:rsid w:val="00CD5F57"/>
    <w:rsid w:val="00CD6310"/>
    <w:rsid w:val="00CD649D"/>
    <w:rsid w:val="00CD6FC9"/>
    <w:rsid w:val="00CD709D"/>
    <w:rsid w:val="00CD71C4"/>
    <w:rsid w:val="00CE01D7"/>
    <w:rsid w:val="00CE0299"/>
    <w:rsid w:val="00CE1003"/>
    <w:rsid w:val="00CE1E58"/>
    <w:rsid w:val="00CE1E97"/>
    <w:rsid w:val="00CE2A8A"/>
    <w:rsid w:val="00CE4F52"/>
    <w:rsid w:val="00CE5846"/>
    <w:rsid w:val="00CE5B18"/>
    <w:rsid w:val="00CE6686"/>
    <w:rsid w:val="00CF01B7"/>
    <w:rsid w:val="00CF19C2"/>
    <w:rsid w:val="00CF1AC1"/>
    <w:rsid w:val="00CF2315"/>
    <w:rsid w:val="00CF330B"/>
    <w:rsid w:val="00CF5288"/>
    <w:rsid w:val="00CF5E79"/>
    <w:rsid w:val="00CF645D"/>
    <w:rsid w:val="00CF6563"/>
    <w:rsid w:val="00CF65C0"/>
    <w:rsid w:val="00CF6D80"/>
    <w:rsid w:val="00CF7C36"/>
    <w:rsid w:val="00D01586"/>
    <w:rsid w:val="00D01AD2"/>
    <w:rsid w:val="00D02209"/>
    <w:rsid w:val="00D03198"/>
    <w:rsid w:val="00D034BA"/>
    <w:rsid w:val="00D03E33"/>
    <w:rsid w:val="00D03F2C"/>
    <w:rsid w:val="00D04082"/>
    <w:rsid w:val="00D05BC9"/>
    <w:rsid w:val="00D06FA6"/>
    <w:rsid w:val="00D07075"/>
    <w:rsid w:val="00D0783F"/>
    <w:rsid w:val="00D1090C"/>
    <w:rsid w:val="00D11D24"/>
    <w:rsid w:val="00D125AD"/>
    <w:rsid w:val="00D12A37"/>
    <w:rsid w:val="00D1356D"/>
    <w:rsid w:val="00D137CA"/>
    <w:rsid w:val="00D13E49"/>
    <w:rsid w:val="00D16310"/>
    <w:rsid w:val="00D17036"/>
    <w:rsid w:val="00D17D44"/>
    <w:rsid w:val="00D20545"/>
    <w:rsid w:val="00D22135"/>
    <w:rsid w:val="00D2262F"/>
    <w:rsid w:val="00D22748"/>
    <w:rsid w:val="00D22980"/>
    <w:rsid w:val="00D22BF9"/>
    <w:rsid w:val="00D22CE0"/>
    <w:rsid w:val="00D22CF6"/>
    <w:rsid w:val="00D22F9D"/>
    <w:rsid w:val="00D23730"/>
    <w:rsid w:val="00D2449C"/>
    <w:rsid w:val="00D2549B"/>
    <w:rsid w:val="00D25E76"/>
    <w:rsid w:val="00D26918"/>
    <w:rsid w:val="00D26C76"/>
    <w:rsid w:val="00D27EF7"/>
    <w:rsid w:val="00D306A5"/>
    <w:rsid w:val="00D32A86"/>
    <w:rsid w:val="00D33B6A"/>
    <w:rsid w:val="00D34195"/>
    <w:rsid w:val="00D3455F"/>
    <w:rsid w:val="00D35D25"/>
    <w:rsid w:val="00D365B1"/>
    <w:rsid w:val="00D37121"/>
    <w:rsid w:val="00D37798"/>
    <w:rsid w:val="00D37CE4"/>
    <w:rsid w:val="00D41FEE"/>
    <w:rsid w:val="00D43343"/>
    <w:rsid w:val="00D4394C"/>
    <w:rsid w:val="00D43E25"/>
    <w:rsid w:val="00D43F11"/>
    <w:rsid w:val="00D44BE9"/>
    <w:rsid w:val="00D45745"/>
    <w:rsid w:val="00D464FD"/>
    <w:rsid w:val="00D47AE9"/>
    <w:rsid w:val="00D47B14"/>
    <w:rsid w:val="00D47EAC"/>
    <w:rsid w:val="00D47FAD"/>
    <w:rsid w:val="00D51EFA"/>
    <w:rsid w:val="00D52BEE"/>
    <w:rsid w:val="00D52F17"/>
    <w:rsid w:val="00D52FAE"/>
    <w:rsid w:val="00D53776"/>
    <w:rsid w:val="00D54B7A"/>
    <w:rsid w:val="00D54CD7"/>
    <w:rsid w:val="00D557BC"/>
    <w:rsid w:val="00D55B6D"/>
    <w:rsid w:val="00D56462"/>
    <w:rsid w:val="00D56C37"/>
    <w:rsid w:val="00D57678"/>
    <w:rsid w:val="00D57BD0"/>
    <w:rsid w:val="00D57C84"/>
    <w:rsid w:val="00D608C5"/>
    <w:rsid w:val="00D60CC4"/>
    <w:rsid w:val="00D61185"/>
    <w:rsid w:val="00D6150F"/>
    <w:rsid w:val="00D62B53"/>
    <w:rsid w:val="00D63E88"/>
    <w:rsid w:val="00D65973"/>
    <w:rsid w:val="00D669F5"/>
    <w:rsid w:val="00D66B92"/>
    <w:rsid w:val="00D6713D"/>
    <w:rsid w:val="00D6786C"/>
    <w:rsid w:val="00D705D2"/>
    <w:rsid w:val="00D70F86"/>
    <w:rsid w:val="00D71B21"/>
    <w:rsid w:val="00D71B24"/>
    <w:rsid w:val="00D72DBE"/>
    <w:rsid w:val="00D72E5E"/>
    <w:rsid w:val="00D733A1"/>
    <w:rsid w:val="00D73B58"/>
    <w:rsid w:val="00D73C30"/>
    <w:rsid w:val="00D73EA0"/>
    <w:rsid w:val="00D74D4E"/>
    <w:rsid w:val="00D75719"/>
    <w:rsid w:val="00D75B81"/>
    <w:rsid w:val="00D75EE7"/>
    <w:rsid w:val="00D761AB"/>
    <w:rsid w:val="00D76836"/>
    <w:rsid w:val="00D76F95"/>
    <w:rsid w:val="00D779F7"/>
    <w:rsid w:val="00D77CD6"/>
    <w:rsid w:val="00D8026E"/>
    <w:rsid w:val="00D8033F"/>
    <w:rsid w:val="00D80B6D"/>
    <w:rsid w:val="00D8128F"/>
    <w:rsid w:val="00D81621"/>
    <w:rsid w:val="00D82735"/>
    <w:rsid w:val="00D8298F"/>
    <w:rsid w:val="00D84523"/>
    <w:rsid w:val="00D84909"/>
    <w:rsid w:val="00D8577F"/>
    <w:rsid w:val="00D860A3"/>
    <w:rsid w:val="00D87433"/>
    <w:rsid w:val="00D87542"/>
    <w:rsid w:val="00D87BD6"/>
    <w:rsid w:val="00D87C1E"/>
    <w:rsid w:val="00D87EE6"/>
    <w:rsid w:val="00D90579"/>
    <w:rsid w:val="00D9068F"/>
    <w:rsid w:val="00D90A4F"/>
    <w:rsid w:val="00D91D80"/>
    <w:rsid w:val="00D9242E"/>
    <w:rsid w:val="00D92ADD"/>
    <w:rsid w:val="00D92B56"/>
    <w:rsid w:val="00D93268"/>
    <w:rsid w:val="00D944BF"/>
    <w:rsid w:val="00D94DB4"/>
    <w:rsid w:val="00D94E5D"/>
    <w:rsid w:val="00D95832"/>
    <w:rsid w:val="00D95B27"/>
    <w:rsid w:val="00D95C1D"/>
    <w:rsid w:val="00D95C20"/>
    <w:rsid w:val="00D95E31"/>
    <w:rsid w:val="00D96E02"/>
    <w:rsid w:val="00D97B28"/>
    <w:rsid w:val="00D97C16"/>
    <w:rsid w:val="00DA1A75"/>
    <w:rsid w:val="00DA229D"/>
    <w:rsid w:val="00DA2836"/>
    <w:rsid w:val="00DA2EF5"/>
    <w:rsid w:val="00DA3069"/>
    <w:rsid w:val="00DA356B"/>
    <w:rsid w:val="00DA3A77"/>
    <w:rsid w:val="00DA4995"/>
    <w:rsid w:val="00DA5A4D"/>
    <w:rsid w:val="00DA72D6"/>
    <w:rsid w:val="00DA7FD4"/>
    <w:rsid w:val="00DB1310"/>
    <w:rsid w:val="00DB282C"/>
    <w:rsid w:val="00DB2B77"/>
    <w:rsid w:val="00DB2EC0"/>
    <w:rsid w:val="00DB4E14"/>
    <w:rsid w:val="00DB4F38"/>
    <w:rsid w:val="00DB55D9"/>
    <w:rsid w:val="00DB6284"/>
    <w:rsid w:val="00DB6DAE"/>
    <w:rsid w:val="00DB72D2"/>
    <w:rsid w:val="00DB7AF0"/>
    <w:rsid w:val="00DB7BD1"/>
    <w:rsid w:val="00DC0092"/>
    <w:rsid w:val="00DC01BD"/>
    <w:rsid w:val="00DC0A31"/>
    <w:rsid w:val="00DC11C4"/>
    <w:rsid w:val="00DC1E64"/>
    <w:rsid w:val="00DC2227"/>
    <w:rsid w:val="00DC240A"/>
    <w:rsid w:val="00DC3C3F"/>
    <w:rsid w:val="00DC4D7A"/>
    <w:rsid w:val="00DC5765"/>
    <w:rsid w:val="00DC5C37"/>
    <w:rsid w:val="00DC5C75"/>
    <w:rsid w:val="00DC6BA3"/>
    <w:rsid w:val="00DC7A79"/>
    <w:rsid w:val="00DC7F32"/>
    <w:rsid w:val="00DD0193"/>
    <w:rsid w:val="00DD09DF"/>
    <w:rsid w:val="00DD1A67"/>
    <w:rsid w:val="00DD1BB5"/>
    <w:rsid w:val="00DD20C3"/>
    <w:rsid w:val="00DD2997"/>
    <w:rsid w:val="00DD4E7C"/>
    <w:rsid w:val="00DD596E"/>
    <w:rsid w:val="00DD7692"/>
    <w:rsid w:val="00DE0745"/>
    <w:rsid w:val="00DE0F2C"/>
    <w:rsid w:val="00DE1DAB"/>
    <w:rsid w:val="00DE20A2"/>
    <w:rsid w:val="00DE4A15"/>
    <w:rsid w:val="00DE55C7"/>
    <w:rsid w:val="00DE55F2"/>
    <w:rsid w:val="00DF0738"/>
    <w:rsid w:val="00DF0B89"/>
    <w:rsid w:val="00DF1115"/>
    <w:rsid w:val="00DF2702"/>
    <w:rsid w:val="00DF2EC1"/>
    <w:rsid w:val="00DF3863"/>
    <w:rsid w:val="00DF4D29"/>
    <w:rsid w:val="00DF4D86"/>
    <w:rsid w:val="00DF5110"/>
    <w:rsid w:val="00DF59AD"/>
    <w:rsid w:val="00DF5CB9"/>
    <w:rsid w:val="00DF7443"/>
    <w:rsid w:val="00DF7830"/>
    <w:rsid w:val="00DF7DA5"/>
    <w:rsid w:val="00E009E1"/>
    <w:rsid w:val="00E00FD7"/>
    <w:rsid w:val="00E03818"/>
    <w:rsid w:val="00E047DB"/>
    <w:rsid w:val="00E065A2"/>
    <w:rsid w:val="00E07E5F"/>
    <w:rsid w:val="00E10977"/>
    <w:rsid w:val="00E1190A"/>
    <w:rsid w:val="00E121CF"/>
    <w:rsid w:val="00E14B10"/>
    <w:rsid w:val="00E15984"/>
    <w:rsid w:val="00E16AB0"/>
    <w:rsid w:val="00E16FCE"/>
    <w:rsid w:val="00E21535"/>
    <w:rsid w:val="00E21AF1"/>
    <w:rsid w:val="00E23C10"/>
    <w:rsid w:val="00E24208"/>
    <w:rsid w:val="00E26C98"/>
    <w:rsid w:val="00E275AF"/>
    <w:rsid w:val="00E2792F"/>
    <w:rsid w:val="00E27E28"/>
    <w:rsid w:val="00E30707"/>
    <w:rsid w:val="00E311FA"/>
    <w:rsid w:val="00E31FB0"/>
    <w:rsid w:val="00E32139"/>
    <w:rsid w:val="00E32CA3"/>
    <w:rsid w:val="00E32EAE"/>
    <w:rsid w:val="00E33099"/>
    <w:rsid w:val="00E3320D"/>
    <w:rsid w:val="00E33720"/>
    <w:rsid w:val="00E345EA"/>
    <w:rsid w:val="00E34843"/>
    <w:rsid w:val="00E34FA8"/>
    <w:rsid w:val="00E35442"/>
    <w:rsid w:val="00E35624"/>
    <w:rsid w:val="00E35682"/>
    <w:rsid w:val="00E35A18"/>
    <w:rsid w:val="00E36544"/>
    <w:rsid w:val="00E37368"/>
    <w:rsid w:val="00E3796F"/>
    <w:rsid w:val="00E40263"/>
    <w:rsid w:val="00E405A2"/>
    <w:rsid w:val="00E405D1"/>
    <w:rsid w:val="00E40FA8"/>
    <w:rsid w:val="00E412AE"/>
    <w:rsid w:val="00E420E1"/>
    <w:rsid w:val="00E42200"/>
    <w:rsid w:val="00E42EA2"/>
    <w:rsid w:val="00E430A7"/>
    <w:rsid w:val="00E430D3"/>
    <w:rsid w:val="00E43609"/>
    <w:rsid w:val="00E43BA2"/>
    <w:rsid w:val="00E44888"/>
    <w:rsid w:val="00E4539D"/>
    <w:rsid w:val="00E45DAE"/>
    <w:rsid w:val="00E46EA3"/>
    <w:rsid w:val="00E4715C"/>
    <w:rsid w:val="00E506F4"/>
    <w:rsid w:val="00E50704"/>
    <w:rsid w:val="00E51596"/>
    <w:rsid w:val="00E5191E"/>
    <w:rsid w:val="00E51C1B"/>
    <w:rsid w:val="00E51EE5"/>
    <w:rsid w:val="00E5344C"/>
    <w:rsid w:val="00E53887"/>
    <w:rsid w:val="00E53CC2"/>
    <w:rsid w:val="00E53DA7"/>
    <w:rsid w:val="00E53F56"/>
    <w:rsid w:val="00E53FA3"/>
    <w:rsid w:val="00E54BB6"/>
    <w:rsid w:val="00E553B0"/>
    <w:rsid w:val="00E55454"/>
    <w:rsid w:val="00E558E7"/>
    <w:rsid w:val="00E57189"/>
    <w:rsid w:val="00E57FAB"/>
    <w:rsid w:val="00E60091"/>
    <w:rsid w:val="00E601EA"/>
    <w:rsid w:val="00E61551"/>
    <w:rsid w:val="00E62BEB"/>
    <w:rsid w:val="00E62FA7"/>
    <w:rsid w:val="00E63412"/>
    <w:rsid w:val="00E634C2"/>
    <w:rsid w:val="00E63C74"/>
    <w:rsid w:val="00E640C9"/>
    <w:rsid w:val="00E64546"/>
    <w:rsid w:val="00E64D17"/>
    <w:rsid w:val="00E65480"/>
    <w:rsid w:val="00E65783"/>
    <w:rsid w:val="00E65C7F"/>
    <w:rsid w:val="00E7149A"/>
    <w:rsid w:val="00E71AB2"/>
    <w:rsid w:val="00E71BE4"/>
    <w:rsid w:val="00E71C3D"/>
    <w:rsid w:val="00E727E0"/>
    <w:rsid w:val="00E74291"/>
    <w:rsid w:val="00E74916"/>
    <w:rsid w:val="00E77A30"/>
    <w:rsid w:val="00E77EEF"/>
    <w:rsid w:val="00E77F19"/>
    <w:rsid w:val="00E80AD6"/>
    <w:rsid w:val="00E80C40"/>
    <w:rsid w:val="00E831B3"/>
    <w:rsid w:val="00E832DD"/>
    <w:rsid w:val="00E840EB"/>
    <w:rsid w:val="00E843FA"/>
    <w:rsid w:val="00E8453E"/>
    <w:rsid w:val="00E8465A"/>
    <w:rsid w:val="00E853B5"/>
    <w:rsid w:val="00E8594A"/>
    <w:rsid w:val="00E85B4D"/>
    <w:rsid w:val="00E86AB8"/>
    <w:rsid w:val="00E87253"/>
    <w:rsid w:val="00E902B3"/>
    <w:rsid w:val="00E903F6"/>
    <w:rsid w:val="00E90FA9"/>
    <w:rsid w:val="00E91371"/>
    <w:rsid w:val="00E92DB3"/>
    <w:rsid w:val="00E9458C"/>
    <w:rsid w:val="00E94789"/>
    <w:rsid w:val="00E94BDF"/>
    <w:rsid w:val="00E955B4"/>
    <w:rsid w:val="00E95C60"/>
    <w:rsid w:val="00E9632D"/>
    <w:rsid w:val="00E978A2"/>
    <w:rsid w:val="00EA012D"/>
    <w:rsid w:val="00EA0265"/>
    <w:rsid w:val="00EA0A0D"/>
    <w:rsid w:val="00EA0D8D"/>
    <w:rsid w:val="00EA1146"/>
    <w:rsid w:val="00EA1D44"/>
    <w:rsid w:val="00EA239C"/>
    <w:rsid w:val="00EA30DF"/>
    <w:rsid w:val="00EA31D0"/>
    <w:rsid w:val="00EA382A"/>
    <w:rsid w:val="00EA4329"/>
    <w:rsid w:val="00EA456E"/>
    <w:rsid w:val="00EA473F"/>
    <w:rsid w:val="00EA486B"/>
    <w:rsid w:val="00EA5150"/>
    <w:rsid w:val="00EA62BC"/>
    <w:rsid w:val="00EA6441"/>
    <w:rsid w:val="00EA6E8E"/>
    <w:rsid w:val="00EA7A0E"/>
    <w:rsid w:val="00EB006D"/>
    <w:rsid w:val="00EB1429"/>
    <w:rsid w:val="00EB18A1"/>
    <w:rsid w:val="00EB2555"/>
    <w:rsid w:val="00EB265A"/>
    <w:rsid w:val="00EB33F8"/>
    <w:rsid w:val="00EB61AD"/>
    <w:rsid w:val="00EB6588"/>
    <w:rsid w:val="00EB68BC"/>
    <w:rsid w:val="00EB7287"/>
    <w:rsid w:val="00EB7822"/>
    <w:rsid w:val="00EC0E6D"/>
    <w:rsid w:val="00EC1D41"/>
    <w:rsid w:val="00EC1E01"/>
    <w:rsid w:val="00EC22C8"/>
    <w:rsid w:val="00EC2451"/>
    <w:rsid w:val="00EC2DA7"/>
    <w:rsid w:val="00EC33DF"/>
    <w:rsid w:val="00EC3BE3"/>
    <w:rsid w:val="00EC4AC7"/>
    <w:rsid w:val="00EC5058"/>
    <w:rsid w:val="00EC51AD"/>
    <w:rsid w:val="00EC535C"/>
    <w:rsid w:val="00EC628D"/>
    <w:rsid w:val="00EC62D2"/>
    <w:rsid w:val="00EC67CF"/>
    <w:rsid w:val="00EC6B44"/>
    <w:rsid w:val="00EC7EE8"/>
    <w:rsid w:val="00EC7FC6"/>
    <w:rsid w:val="00ED0BCB"/>
    <w:rsid w:val="00ED11A2"/>
    <w:rsid w:val="00ED125C"/>
    <w:rsid w:val="00ED1D2B"/>
    <w:rsid w:val="00ED246B"/>
    <w:rsid w:val="00ED27CD"/>
    <w:rsid w:val="00ED2830"/>
    <w:rsid w:val="00ED321B"/>
    <w:rsid w:val="00ED5009"/>
    <w:rsid w:val="00ED5D09"/>
    <w:rsid w:val="00ED64AA"/>
    <w:rsid w:val="00ED6FC3"/>
    <w:rsid w:val="00ED787C"/>
    <w:rsid w:val="00EE094D"/>
    <w:rsid w:val="00EE12F6"/>
    <w:rsid w:val="00EE1CF6"/>
    <w:rsid w:val="00EE2DEE"/>
    <w:rsid w:val="00EE30AC"/>
    <w:rsid w:val="00EE36B5"/>
    <w:rsid w:val="00EE37A3"/>
    <w:rsid w:val="00EE3B86"/>
    <w:rsid w:val="00EE3DAC"/>
    <w:rsid w:val="00EE4BA3"/>
    <w:rsid w:val="00EE613B"/>
    <w:rsid w:val="00EE6586"/>
    <w:rsid w:val="00EE73F9"/>
    <w:rsid w:val="00EE78B6"/>
    <w:rsid w:val="00EE7B85"/>
    <w:rsid w:val="00EF0A51"/>
    <w:rsid w:val="00EF1138"/>
    <w:rsid w:val="00EF3867"/>
    <w:rsid w:val="00EF3F06"/>
    <w:rsid w:val="00EF4004"/>
    <w:rsid w:val="00EF42E4"/>
    <w:rsid w:val="00EF43B7"/>
    <w:rsid w:val="00EF4C93"/>
    <w:rsid w:val="00EF50AA"/>
    <w:rsid w:val="00EF6022"/>
    <w:rsid w:val="00EF63DA"/>
    <w:rsid w:val="00F01898"/>
    <w:rsid w:val="00F01B62"/>
    <w:rsid w:val="00F02F9A"/>
    <w:rsid w:val="00F034F0"/>
    <w:rsid w:val="00F034F5"/>
    <w:rsid w:val="00F03D47"/>
    <w:rsid w:val="00F045CD"/>
    <w:rsid w:val="00F04B14"/>
    <w:rsid w:val="00F0534B"/>
    <w:rsid w:val="00F05A93"/>
    <w:rsid w:val="00F05C62"/>
    <w:rsid w:val="00F05E0D"/>
    <w:rsid w:val="00F061AF"/>
    <w:rsid w:val="00F067A4"/>
    <w:rsid w:val="00F0689F"/>
    <w:rsid w:val="00F07352"/>
    <w:rsid w:val="00F10451"/>
    <w:rsid w:val="00F10501"/>
    <w:rsid w:val="00F10CBA"/>
    <w:rsid w:val="00F10E7A"/>
    <w:rsid w:val="00F10F22"/>
    <w:rsid w:val="00F1265C"/>
    <w:rsid w:val="00F13147"/>
    <w:rsid w:val="00F132D4"/>
    <w:rsid w:val="00F1645B"/>
    <w:rsid w:val="00F1707A"/>
    <w:rsid w:val="00F170C6"/>
    <w:rsid w:val="00F17175"/>
    <w:rsid w:val="00F17C31"/>
    <w:rsid w:val="00F17E10"/>
    <w:rsid w:val="00F203F7"/>
    <w:rsid w:val="00F20ECC"/>
    <w:rsid w:val="00F225E3"/>
    <w:rsid w:val="00F23072"/>
    <w:rsid w:val="00F24BCF"/>
    <w:rsid w:val="00F25866"/>
    <w:rsid w:val="00F27CDC"/>
    <w:rsid w:val="00F27D12"/>
    <w:rsid w:val="00F3007E"/>
    <w:rsid w:val="00F307F6"/>
    <w:rsid w:val="00F31AD7"/>
    <w:rsid w:val="00F31B3C"/>
    <w:rsid w:val="00F3377F"/>
    <w:rsid w:val="00F337B6"/>
    <w:rsid w:val="00F339B6"/>
    <w:rsid w:val="00F33A46"/>
    <w:rsid w:val="00F341CF"/>
    <w:rsid w:val="00F35119"/>
    <w:rsid w:val="00F35882"/>
    <w:rsid w:val="00F358EE"/>
    <w:rsid w:val="00F359C4"/>
    <w:rsid w:val="00F35EA3"/>
    <w:rsid w:val="00F36700"/>
    <w:rsid w:val="00F368C8"/>
    <w:rsid w:val="00F37171"/>
    <w:rsid w:val="00F37D1F"/>
    <w:rsid w:val="00F42D8F"/>
    <w:rsid w:val="00F4385E"/>
    <w:rsid w:val="00F43D6D"/>
    <w:rsid w:val="00F44017"/>
    <w:rsid w:val="00F440EA"/>
    <w:rsid w:val="00F446E5"/>
    <w:rsid w:val="00F454D2"/>
    <w:rsid w:val="00F47FB4"/>
    <w:rsid w:val="00F50AEC"/>
    <w:rsid w:val="00F52476"/>
    <w:rsid w:val="00F52CD9"/>
    <w:rsid w:val="00F53107"/>
    <w:rsid w:val="00F53325"/>
    <w:rsid w:val="00F536DD"/>
    <w:rsid w:val="00F53F2C"/>
    <w:rsid w:val="00F5412E"/>
    <w:rsid w:val="00F5444E"/>
    <w:rsid w:val="00F54D79"/>
    <w:rsid w:val="00F56E4B"/>
    <w:rsid w:val="00F572CE"/>
    <w:rsid w:val="00F57FCC"/>
    <w:rsid w:val="00F608E8"/>
    <w:rsid w:val="00F60BDE"/>
    <w:rsid w:val="00F6157C"/>
    <w:rsid w:val="00F6238A"/>
    <w:rsid w:val="00F627EB"/>
    <w:rsid w:val="00F6286D"/>
    <w:rsid w:val="00F62DC9"/>
    <w:rsid w:val="00F62FC9"/>
    <w:rsid w:val="00F63D72"/>
    <w:rsid w:val="00F644AB"/>
    <w:rsid w:val="00F656C4"/>
    <w:rsid w:val="00F66369"/>
    <w:rsid w:val="00F66749"/>
    <w:rsid w:val="00F670A8"/>
    <w:rsid w:val="00F675CD"/>
    <w:rsid w:val="00F67A7A"/>
    <w:rsid w:val="00F70051"/>
    <w:rsid w:val="00F70E34"/>
    <w:rsid w:val="00F71738"/>
    <w:rsid w:val="00F7210A"/>
    <w:rsid w:val="00F7267E"/>
    <w:rsid w:val="00F72806"/>
    <w:rsid w:val="00F75047"/>
    <w:rsid w:val="00F75087"/>
    <w:rsid w:val="00F75A10"/>
    <w:rsid w:val="00F76224"/>
    <w:rsid w:val="00F77276"/>
    <w:rsid w:val="00F774B7"/>
    <w:rsid w:val="00F800A4"/>
    <w:rsid w:val="00F81455"/>
    <w:rsid w:val="00F83249"/>
    <w:rsid w:val="00F83415"/>
    <w:rsid w:val="00F8456C"/>
    <w:rsid w:val="00F856E7"/>
    <w:rsid w:val="00F85887"/>
    <w:rsid w:val="00F85CDD"/>
    <w:rsid w:val="00F85FDB"/>
    <w:rsid w:val="00F8765A"/>
    <w:rsid w:val="00F90760"/>
    <w:rsid w:val="00F908F5"/>
    <w:rsid w:val="00F91428"/>
    <w:rsid w:val="00F915A9"/>
    <w:rsid w:val="00F91F33"/>
    <w:rsid w:val="00F93414"/>
    <w:rsid w:val="00F93BFB"/>
    <w:rsid w:val="00F94BE0"/>
    <w:rsid w:val="00F961E0"/>
    <w:rsid w:val="00F97134"/>
    <w:rsid w:val="00F972AE"/>
    <w:rsid w:val="00F978D5"/>
    <w:rsid w:val="00F97AB2"/>
    <w:rsid w:val="00FA0128"/>
    <w:rsid w:val="00FA0218"/>
    <w:rsid w:val="00FA0E75"/>
    <w:rsid w:val="00FA15CA"/>
    <w:rsid w:val="00FA1A8C"/>
    <w:rsid w:val="00FA1FC8"/>
    <w:rsid w:val="00FA30DE"/>
    <w:rsid w:val="00FA3868"/>
    <w:rsid w:val="00FA4F5E"/>
    <w:rsid w:val="00FA69B4"/>
    <w:rsid w:val="00FA7FD0"/>
    <w:rsid w:val="00FB0904"/>
    <w:rsid w:val="00FB0EBF"/>
    <w:rsid w:val="00FB2397"/>
    <w:rsid w:val="00FB3940"/>
    <w:rsid w:val="00FB3AA1"/>
    <w:rsid w:val="00FB3F26"/>
    <w:rsid w:val="00FB423B"/>
    <w:rsid w:val="00FB42D1"/>
    <w:rsid w:val="00FB6554"/>
    <w:rsid w:val="00FB72AB"/>
    <w:rsid w:val="00FB72BC"/>
    <w:rsid w:val="00FB73EF"/>
    <w:rsid w:val="00FB7E40"/>
    <w:rsid w:val="00FC01C9"/>
    <w:rsid w:val="00FC0708"/>
    <w:rsid w:val="00FC1175"/>
    <w:rsid w:val="00FC1898"/>
    <w:rsid w:val="00FC19DD"/>
    <w:rsid w:val="00FC1C49"/>
    <w:rsid w:val="00FC213C"/>
    <w:rsid w:val="00FC3213"/>
    <w:rsid w:val="00FC3DE3"/>
    <w:rsid w:val="00FC48C6"/>
    <w:rsid w:val="00FC5308"/>
    <w:rsid w:val="00FC5450"/>
    <w:rsid w:val="00FC7CDE"/>
    <w:rsid w:val="00FD199F"/>
    <w:rsid w:val="00FD1A3F"/>
    <w:rsid w:val="00FD1D83"/>
    <w:rsid w:val="00FD4234"/>
    <w:rsid w:val="00FD4995"/>
    <w:rsid w:val="00FD5ED1"/>
    <w:rsid w:val="00FD6A23"/>
    <w:rsid w:val="00FE01A6"/>
    <w:rsid w:val="00FE02C7"/>
    <w:rsid w:val="00FE1EC6"/>
    <w:rsid w:val="00FE22B0"/>
    <w:rsid w:val="00FE234B"/>
    <w:rsid w:val="00FE25EA"/>
    <w:rsid w:val="00FE2BDB"/>
    <w:rsid w:val="00FE2C67"/>
    <w:rsid w:val="00FE2CBC"/>
    <w:rsid w:val="00FE32B1"/>
    <w:rsid w:val="00FE3B96"/>
    <w:rsid w:val="00FE3D52"/>
    <w:rsid w:val="00FE3DDB"/>
    <w:rsid w:val="00FE3EED"/>
    <w:rsid w:val="00FE54D8"/>
    <w:rsid w:val="00FE6CD4"/>
    <w:rsid w:val="00FF04CD"/>
    <w:rsid w:val="00FF06A9"/>
    <w:rsid w:val="00FF0ABD"/>
    <w:rsid w:val="00FF0AF7"/>
    <w:rsid w:val="00FF0D8F"/>
    <w:rsid w:val="00FF1212"/>
    <w:rsid w:val="00FF1568"/>
    <w:rsid w:val="00FF15F1"/>
    <w:rsid w:val="00FF1720"/>
    <w:rsid w:val="00FF334D"/>
    <w:rsid w:val="00FF3C3F"/>
    <w:rsid w:val="00FF3FBC"/>
    <w:rsid w:val="00FF4FF5"/>
    <w:rsid w:val="00FF521F"/>
    <w:rsid w:val="00FF5E54"/>
    <w:rsid w:val="00FF6009"/>
    <w:rsid w:val="00FF672E"/>
    <w:rsid w:val="00FF7D52"/>
  </w:rsids>
  <w:docVars>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D737DBAE-F85D-4004-8589-6A19DFE2D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C38"/>
    <w:pPr>
      <w:bidi/>
      <w:spacing w:after="0" w:line="312" w:lineRule="auto"/>
    </w:pPr>
  </w:style>
  <w:style w:type="paragraph" w:styleId="Heading1">
    <w:name w:val="heading 1"/>
    <w:basedOn w:val="Normal"/>
    <w:next w:val="Normal"/>
    <w:link w:val="1"/>
    <w:uiPriority w:val="1"/>
    <w:qFormat/>
    <w:rsid w:val="00724E92"/>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724E92"/>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B14104"/>
    <w:pPr>
      <w:keepNext/>
      <w:keepLines/>
      <w:spacing w:before="240"/>
      <w:outlineLvl w:val="2"/>
    </w:pPr>
    <w:rPr>
      <w:rFonts w:eastAsiaTheme="majorEastAsia"/>
      <w:bCs/>
      <w:szCs w:val="28"/>
      <w:u w:val="single"/>
    </w:rPr>
  </w:style>
  <w:style w:type="paragraph" w:styleId="Heading4">
    <w:name w:val="heading 4"/>
    <w:basedOn w:val="Normal"/>
    <w:next w:val="Normal"/>
    <w:link w:val="4"/>
    <w:uiPriority w:val="1"/>
    <w:qFormat/>
    <w:rsid w:val="00B14104"/>
    <w:pPr>
      <w:keepNext/>
      <w:keepLines/>
      <w:spacing w:before="240"/>
      <w:outlineLvl w:val="3"/>
    </w:pPr>
    <w:rPr>
      <w:rFonts w:eastAsiaTheme="majorEastAsia"/>
      <w:bCs/>
      <w:szCs w:val="26"/>
    </w:rPr>
  </w:style>
  <w:style w:type="paragraph" w:styleId="Heading5">
    <w:name w:val="heading 5"/>
    <w:basedOn w:val="Normal"/>
    <w:next w:val="Normal"/>
    <w:link w:val="5"/>
    <w:uiPriority w:val="1"/>
    <w:qFormat/>
    <w:rsid w:val="00724E92"/>
    <w:pPr>
      <w:keepNext/>
      <w:keepLines/>
      <w:outlineLvl w:val="4"/>
    </w:pPr>
    <w:rPr>
      <w:rFonts w:eastAsiaTheme="majorEastAsia"/>
      <w:bCs/>
      <w:spacing w:val="40"/>
    </w:rPr>
  </w:style>
  <w:style w:type="paragraph" w:styleId="Heading6">
    <w:name w:val="heading 6"/>
    <w:basedOn w:val="Normal"/>
    <w:next w:val="Normal"/>
    <w:link w:val="6"/>
    <w:uiPriority w:val="1"/>
    <w:qFormat/>
    <w:rsid w:val="00724E92"/>
    <w:pPr>
      <w:keepNext/>
      <w:keepLines/>
      <w:outlineLvl w:val="5"/>
    </w:pPr>
    <w:rPr>
      <w:rFonts w:eastAsiaTheme="majorEastAsia"/>
      <w:spacing w:val="40"/>
    </w:rPr>
  </w:style>
  <w:style w:type="paragraph" w:styleId="Heading7">
    <w:name w:val="heading 7"/>
    <w:basedOn w:val="Normal"/>
    <w:next w:val="Normal"/>
    <w:link w:val="7"/>
    <w:uiPriority w:val="1"/>
    <w:qFormat/>
    <w:rsid w:val="00724E92"/>
    <w:pPr>
      <w:keepNext/>
      <w:keepLines/>
      <w:outlineLvl w:val="6"/>
    </w:pPr>
    <w:rPr>
      <w:rFonts w:eastAsiaTheme="majorEastAsia"/>
      <w:bCs/>
      <w:spacing w:val="40"/>
    </w:rPr>
  </w:style>
  <w:style w:type="paragraph" w:styleId="Heading8">
    <w:name w:val="heading 8"/>
    <w:basedOn w:val="Normal"/>
    <w:next w:val="Normal"/>
    <w:link w:val="8"/>
    <w:uiPriority w:val="1"/>
    <w:qFormat/>
    <w:rsid w:val="00724E92"/>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724E92"/>
    <w:rPr>
      <w:rFonts w:eastAsiaTheme="majorEastAsia"/>
      <w:bCs/>
      <w:szCs w:val="36"/>
      <w:u w:val="single"/>
    </w:rPr>
  </w:style>
  <w:style w:type="character" w:customStyle="1" w:styleId="2">
    <w:name w:val="כותרת 2 תו"/>
    <w:basedOn w:val="DefaultParagraphFont"/>
    <w:link w:val="Heading2"/>
    <w:uiPriority w:val="1"/>
    <w:rsid w:val="00724E92"/>
    <w:rPr>
      <w:rFonts w:eastAsiaTheme="majorEastAsia"/>
      <w:bCs/>
      <w:szCs w:val="32"/>
    </w:rPr>
  </w:style>
  <w:style w:type="character" w:customStyle="1" w:styleId="3">
    <w:name w:val="כותרת 3 תו"/>
    <w:basedOn w:val="DefaultParagraphFont"/>
    <w:link w:val="Heading3"/>
    <w:uiPriority w:val="1"/>
    <w:rsid w:val="00724E92"/>
    <w:rPr>
      <w:rFonts w:eastAsiaTheme="majorEastAsia"/>
      <w:bCs/>
      <w:szCs w:val="28"/>
      <w:u w:val="single"/>
    </w:rPr>
  </w:style>
  <w:style w:type="character" w:customStyle="1" w:styleId="4">
    <w:name w:val="כותרת 4 תו"/>
    <w:basedOn w:val="DefaultParagraphFont"/>
    <w:link w:val="Heading4"/>
    <w:uiPriority w:val="1"/>
    <w:rsid w:val="00724E92"/>
    <w:rPr>
      <w:rFonts w:eastAsiaTheme="majorEastAsia"/>
      <w:bCs/>
      <w:szCs w:val="26"/>
    </w:rPr>
  </w:style>
  <w:style w:type="character" w:customStyle="1" w:styleId="5">
    <w:name w:val="כותרת 5 תו"/>
    <w:basedOn w:val="DefaultParagraphFont"/>
    <w:link w:val="Heading5"/>
    <w:uiPriority w:val="1"/>
    <w:rsid w:val="00724E92"/>
    <w:rPr>
      <w:rFonts w:eastAsiaTheme="majorEastAsia"/>
      <w:bCs/>
      <w:spacing w:val="40"/>
    </w:rPr>
  </w:style>
  <w:style w:type="character" w:customStyle="1" w:styleId="6">
    <w:name w:val="כותרת 6 תו"/>
    <w:basedOn w:val="DefaultParagraphFont"/>
    <w:link w:val="Heading6"/>
    <w:uiPriority w:val="1"/>
    <w:rsid w:val="00724E92"/>
    <w:rPr>
      <w:rFonts w:eastAsiaTheme="majorEastAsia"/>
      <w:spacing w:val="40"/>
    </w:rPr>
  </w:style>
  <w:style w:type="character" w:customStyle="1" w:styleId="7">
    <w:name w:val="כותרת 7 תו"/>
    <w:basedOn w:val="DefaultParagraphFont"/>
    <w:link w:val="Heading7"/>
    <w:uiPriority w:val="1"/>
    <w:rsid w:val="00724E92"/>
    <w:rPr>
      <w:rFonts w:eastAsiaTheme="majorEastAsia"/>
      <w:bCs/>
      <w:spacing w:val="40"/>
    </w:rPr>
  </w:style>
  <w:style w:type="character" w:customStyle="1" w:styleId="8">
    <w:name w:val="כותרת 8 תו"/>
    <w:basedOn w:val="DefaultParagraphFont"/>
    <w:link w:val="Heading8"/>
    <w:uiPriority w:val="1"/>
    <w:rsid w:val="00724E92"/>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basedOn w:val="Normal"/>
    <w:link w:val="a4"/>
    <w:uiPriority w:val="99"/>
    <w:rsid w:val="00574579"/>
    <w:pPr>
      <w:spacing w:line="240" w:lineRule="auto"/>
      <w:ind w:left="720" w:hanging="720"/>
    </w:pPr>
    <w:rPr>
      <w:szCs w:val="20"/>
    </w:rPr>
  </w:style>
  <w:style w:type="character" w:customStyle="1" w:styleId="a4">
    <w:name w:val="טקסט הערת שוליים תו"/>
    <w:basedOn w:val="DefaultParagraphFont"/>
    <w:link w:val="FootnoteText"/>
    <w:uiPriority w:val="99"/>
    <w:rsid w:val="00574579"/>
    <w:rPr>
      <w:szCs w:val="20"/>
    </w:rPr>
  </w:style>
  <w:style w:type="character" w:styleId="FootnoteReference">
    <w:name w:val="footnote reference"/>
    <w:basedOn w:val="DefaultParagraphFont"/>
    <w:uiPriority w:val="99"/>
    <w:semiHidden/>
    <w:unhideWhenUsed/>
    <w:rsid w:val="000501A4"/>
    <w:rPr>
      <w:vertAlign w:val="superscript"/>
    </w:rPr>
  </w:style>
  <w:style w:type="character" w:styleId="Hyperlink">
    <w:name w:val="Hyperlink"/>
    <w:basedOn w:val="DefaultParagraphFont"/>
    <w:uiPriority w:val="99"/>
    <w:unhideWhenUsed/>
    <w:rsid w:val="009F0F38"/>
    <w:rPr>
      <w:color w:val="0000FF" w:themeColor="hyperlink"/>
      <w:u w:val="single"/>
    </w:rPr>
  </w:style>
  <w:style w:type="character" w:styleId="FollowedHyperlink">
    <w:name w:val="FollowedHyperlink"/>
    <w:basedOn w:val="DefaultParagraphFont"/>
    <w:uiPriority w:val="99"/>
    <w:semiHidden/>
    <w:unhideWhenUsed/>
    <w:rsid w:val="009F0F38"/>
    <w:rPr>
      <w:color w:val="800080" w:themeColor="followedHyperlink"/>
      <w:u w:val="single"/>
    </w:rPr>
  </w:style>
  <w:style w:type="paragraph" w:styleId="ListParagraph">
    <w:name w:val="List Paragraph"/>
    <w:basedOn w:val="Normal"/>
    <w:link w:val="a5"/>
    <w:uiPriority w:val="34"/>
    <w:qFormat/>
    <w:rsid w:val="00D63E88"/>
    <w:pPr>
      <w:ind w:left="720"/>
      <w:contextualSpacing/>
    </w:pPr>
  </w:style>
  <w:style w:type="character" w:customStyle="1" w:styleId="a5">
    <w:name w:val="פיסקת רשימה תו"/>
    <w:basedOn w:val="DefaultParagraphFont"/>
    <w:link w:val="ListParagraph"/>
    <w:uiPriority w:val="34"/>
    <w:rsid w:val="007645E5"/>
  </w:style>
  <w:style w:type="paragraph" w:styleId="NormalWeb">
    <w:name w:val="Normal (Web)"/>
    <w:basedOn w:val="Normal"/>
    <w:uiPriority w:val="99"/>
    <w:unhideWhenUsed/>
    <w:rsid w:val="00AF180D"/>
    <w:pPr>
      <w:bidi w:val="0"/>
      <w:spacing w:before="100" w:beforeAutospacing="1" w:after="100" w:afterAutospacing="1" w:line="240" w:lineRule="auto"/>
      <w:jc w:val="left"/>
    </w:pPr>
    <w:rPr>
      <w:rFonts w:eastAsia="Times New Roman" w:cs="Times New Roman"/>
      <w:sz w:val="24"/>
    </w:rPr>
  </w:style>
  <w:style w:type="character" w:styleId="CommentReference">
    <w:name w:val="annotation reference"/>
    <w:basedOn w:val="DefaultParagraphFont"/>
    <w:uiPriority w:val="99"/>
    <w:semiHidden/>
    <w:unhideWhenUsed/>
    <w:rsid w:val="00B10375"/>
    <w:rPr>
      <w:sz w:val="16"/>
      <w:szCs w:val="16"/>
    </w:rPr>
  </w:style>
  <w:style w:type="paragraph" w:styleId="CommentText">
    <w:name w:val="annotation text"/>
    <w:basedOn w:val="Normal"/>
    <w:link w:val="a6"/>
    <w:uiPriority w:val="99"/>
    <w:unhideWhenUsed/>
    <w:rsid w:val="00B10375"/>
    <w:pPr>
      <w:spacing w:line="240" w:lineRule="auto"/>
    </w:pPr>
    <w:rPr>
      <w:szCs w:val="20"/>
    </w:rPr>
  </w:style>
  <w:style w:type="character" w:customStyle="1" w:styleId="a6">
    <w:name w:val="טקסט הערה תו"/>
    <w:basedOn w:val="DefaultParagraphFont"/>
    <w:link w:val="CommentText"/>
    <w:uiPriority w:val="99"/>
    <w:rsid w:val="00B10375"/>
    <w:rPr>
      <w:szCs w:val="20"/>
    </w:rPr>
  </w:style>
  <w:style w:type="paragraph" w:styleId="CommentSubject">
    <w:name w:val="annotation subject"/>
    <w:basedOn w:val="CommentText"/>
    <w:next w:val="CommentText"/>
    <w:link w:val="a7"/>
    <w:uiPriority w:val="99"/>
    <w:semiHidden/>
    <w:unhideWhenUsed/>
    <w:rsid w:val="00B10375"/>
    <w:rPr>
      <w:b/>
      <w:bCs/>
    </w:rPr>
  </w:style>
  <w:style w:type="character" w:customStyle="1" w:styleId="a7">
    <w:name w:val="נושא הערה תו"/>
    <w:basedOn w:val="a6"/>
    <w:link w:val="CommentSubject"/>
    <w:uiPriority w:val="99"/>
    <w:semiHidden/>
    <w:rsid w:val="00B10375"/>
    <w:rPr>
      <w:b/>
      <w:bCs/>
      <w:szCs w:val="20"/>
    </w:rPr>
  </w:style>
  <w:style w:type="paragraph" w:styleId="BalloonText">
    <w:name w:val="Balloon Text"/>
    <w:basedOn w:val="Normal"/>
    <w:link w:val="a8"/>
    <w:uiPriority w:val="99"/>
    <w:semiHidden/>
    <w:unhideWhenUsed/>
    <w:rsid w:val="00B10375"/>
    <w:pPr>
      <w:spacing w:line="240" w:lineRule="auto"/>
    </w:pPr>
    <w:rPr>
      <w:rFonts w:ascii="Tahoma" w:hAnsi="Tahoma" w:cs="Tahoma"/>
      <w:sz w:val="18"/>
      <w:szCs w:val="18"/>
    </w:rPr>
  </w:style>
  <w:style w:type="character" w:customStyle="1" w:styleId="a8">
    <w:name w:val="טקסט בלונים תו"/>
    <w:basedOn w:val="DefaultParagraphFont"/>
    <w:link w:val="BalloonText"/>
    <w:uiPriority w:val="99"/>
    <w:semiHidden/>
    <w:rsid w:val="00B10375"/>
    <w:rPr>
      <w:rFonts w:ascii="Tahoma" w:hAnsi="Tahoma" w:cs="Tahoma"/>
      <w:sz w:val="18"/>
      <w:szCs w:val="18"/>
    </w:rPr>
  </w:style>
  <w:style w:type="table" w:styleId="TableGrid">
    <w:name w:val="Table Grid"/>
    <w:basedOn w:val="TableNormal"/>
    <w:uiPriority w:val="59"/>
    <w:rsid w:val="00F30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Bold">
    <w:name w:val="Body text (2) + Bold"/>
    <w:basedOn w:val="DefaultParagraphFont"/>
    <w:rsid w:val="008050F1"/>
    <w:rPr>
      <w:rFonts w:ascii="David" w:eastAsia="David" w:hAnsi="David" w:cs="David"/>
      <w:b/>
      <w:bCs/>
      <w:i w:val="0"/>
      <w:iCs w:val="0"/>
      <w:smallCaps w:val="0"/>
      <w:strike w:val="0"/>
      <w:color w:val="000000"/>
      <w:spacing w:val="0"/>
      <w:w w:val="100"/>
      <w:position w:val="0"/>
      <w:sz w:val="21"/>
      <w:szCs w:val="21"/>
      <w:u w:val="none"/>
      <w:lang w:val="he-IL" w:eastAsia="he-IL" w:bidi="he-IL"/>
    </w:rPr>
  </w:style>
  <w:style w:type="character" w:customStyle="1" w:styleId="Bodytext2">
    <w:name w:val="Body text (2)"/>
    <w:basedOn w:val="DefaultParagraphFont"/>
    <w:rsid w:val="00C808C9"/>
    <w:rPr>
      <w:rFonts w:ascii="David" w:eastAsia="David" w:hAnsi="David" w:cs="David"/>
      <w:b w:val="0"/>
      <w:bCs w:val="0"/>
      <w:i w:val="0"/>
      <w:iCs w:val="0"/>
      <w:smallCaps w:val="0"/>
      <w:strike w:val="0"/>
      <w:color w:val="000000"/>
      <w:spacing w:val="0"/>
      <w:w w:val="100"/>
      <w:position w:val="0"/>
      <w:sz w:val="21"/>
      <w:szCs w:val="21"/>
      <w:u w:val="single"/>
      <w:lang w:val="he-IL" w:eastAsia="he-IL" w:bidi="he-IL"/>
    </w:rPr>
  </w:style>
  <w:style w:type="character" w:styleId="Strong">
    <w:name w:val="Strong"/>
    <w:basedOn w:val="DefaultParagraphFont"/>
    <w:uiPriority w:val="22"/>
    <w:qFormat/>
    <w:rsid w:val="00250D7A"/>
    <w:rPr>
      <w:b/>
      <w:bCs/>
    </w:rPr>
  </w:style>
  <w:style w:type="paragraph" w:styleId="Revision">
    <w:name w:val="Revision"/>
    <w:hidden/>
    <w:uiPriority w:val="99"/>
    <w:semiHidden/>
    <w:rsid w:val="00253C38"/>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settings" Target="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png" /><Relationship Id="rId27" Type="http://schemas.openxmlformats.org/officeDocument/2006/relationships/image" Target="media/image22.jpeg"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webSettings" Target="webSettings.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 Type="http://schemas.openxmlformats.org/officeDocument/2006/relationships/fontTable" Target="fontTable.xml" /><Relationship Id="rId40" Type="http://schemas.openxmlformats.org/officeDocument/2006/relationships/image" Target="media/image35.png" /><Relationship Id="rId41" Type="http://schemas.openxmlformats.org/officeDocument/2006/relationships/image" Target="media/image36.jpe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jpeg" /><Relationship Id="rId45" Type="http://schemas.openxmlformats.org/officeDocument/2006/relationships/image" Target="media/image40.pn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png" /><Relationship Id="rId5" Type="http://schemas.openxmlformats.org/officeDocument/2006/relationships/customXml" Target="../customXml/item1.xml" /><Relationship Id="rId50" Type="http://schemas.openxmlformats.org/officeDocument/2006/relationships/image" Target="media/image45.jpeg" /><Relationship Id="rId51" Type="http://schemas.openxmlformats.org/officeDocument/2006/relationships/image" Target="media/image46.jpeg" /><Relationship Id="rId52" Type="http://schemas.openxmlformats.org/officeDocument/2006/relationships/image" Target="media/image47.jpeg" /><Relationship Id="rId53" Type="http://schemas.openxmlformats.org/officeDocument/2006/relationships/image" Target="media/image48.jpeg" /><Relationship Id="rId54" Type="http://schemas.openxmlformats.org/officeDocument/2006/relationships/image" Target="media/image49.jpeg"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png" /><Relationship Id="rId58" Type="http://schemas.openxmlformats.org/officeDocument/2006/relationships/image" Target="media/image53.png" /><Relationship Id="rId59" Type="http://schemas.openxmlformats.org/officeDocument/2006/relationships/image" Target="media/image54.png" /><Relationship Id="rId6" Type="http://schemas.openxmlformats.org/officeDocument/2006/relationships/image" Target="media/image1.jpeg" /><Relationship Id="rId60" Type="http://schemas.openxmlformats.org/officeDocument/2006/relationships/image" Target="media/image55.png" /><Relationship Id="rId61" Type="http://schemas.openxmlformats.org/officeDocument/2006/relationships/header" Target="header1.xml" /><Relationship Id="rId62" Type="http://schemas.openxmlformats.org/officeDocument/2006/relationships/footer" Target="footer1.xml" /><Relationship Id="rId63" Type="http://schemas.openxmlformats.org/officeDocument/2006/relationships/header" Target="header2.xml" /><Relationship Id="rId64" Type="http://schemas.openxmlformats.org/officeDocument/2006/relationships/footer" Target="footer2.xml" /><Relationship Id="rId65" Type="http://schemas.openxmlformats.org/officeDocument/2006/relationships/theme" Target="theme/theme1.xml" /><Relationship Id="rId66" Type="http://schemas.openxmlformats.org/officeDocument/2006/relationships/numbering" Target="numbering.xml" /><Relationship Id="rId67" Type="http://schemas.openxmlformats.org/officeDocument/2006/relationships/styles" Target="styles.xml"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news/corona_updates" TargetMode="External" /></Relationships>
</file>

<file path=word/_rels/numbering.xml.rels>&#65279;<?xml version="1.0" encoding="utf-8" standalone="yes"?><Relationships xmlns="http://schemas.openxmlformats.org/package/2006/relationships"><Relationship Id="rId1" Type="http://schemas.openxmlformats.org/officeDocument/2006/relationships/image" Target="media/image56.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A413C-C137-40E4-A7B9-2B4FB237D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