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D171FA" w:rsidRPr="00DC3374" w:rsidP="00E81188" w14:paraId="1E8283CF" w14:textId="77777777">
      <w:pPr>
        <w:pStyle w:val="Heading1"/>
        <w:spacing w:line="269" w:lineRule="auto"/>
        <w:rPr>
          <w:rtl/>
        </w:rPr>
      </w:pPr>
      <w:bookmarkStart w:id="0" w:name="_GoBack"/>
      <w:bookmarkEnd w:id="0"/>
      <w:r w:rsidRPr="00DC3374">
        <w:rPr>
          <w:rFonts w:hint="cs"/>
          <w:rtl/>
        </w:rPr>
        <w:t>ההסברה לציבור במהלך משבר הקורונה</w:t>
      </w:r>
    </w:p>
    <w:p w:rsidR="00A66E79" w:rsidRPr="00DC3374" w:rsidP="00E81188" w14:paraId="100770F2" w14:textId="77777777">
      <w:pPr>
        <w:pStyle w:val="Heading3"/>
        <w:spacing w:before="0" w:line="269" w:lineRule="auto"/>
        <w:rPr>
          <w:rtl/>
        </w:rPr>
      </w:pPr>
      <w:r w:rsidRPr="00DC3374">
        <w:rPr>
          <w:rFonts w:hint="cs"/>
          <w:rtl/>
        </w:rPr>
        <w:t>מבוא</w:t>
      </w:r>
    </w:p>
    <w:p w:rsidR="00A66E79" w:rsidRPr="00DC3374" w:rsidP="00E81188" w14:paraId="0884B81A" w14:textId="0486F76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66977C29" w14:textId="77777777">
      <w:pPr>
        <w:spacing w:line="269" w:lineRule="auto"/>
        <w:rPr>
          <w:bCs/>
          <w:rtl/>
        </w:rPr>
      </w:pPr>
      <w:r w:rsidRPr="00DC3374">
        <w:rPr>
          <w:rFonts w:hint="cs"/>
          <w:rtl/>
        </w:rPr>
        <w:t>במציאות שבה נדרשה מדינת ישראל להתמודד עם אירוע משברי קשה של מגפה עולמית מתמשכת, אשר הובילה לשיבוש יסודי בכל מערכי החיים של כלל התושבים, ובשעה שהמידע לגבי אופן התפרצותה של המגפה והדרכים להילחם בה היה חסר ונלמד על ידי אנשי המקצוע "תוך כדי תנועה" - הייתה ההסברה לציבור נדבך מרכזי במערך פעולות הממשלה להתמודדות עם המשבר. מאפייניו הייחודיים האמורים של משבר הקורונה הציבו בפני גורמי ההסברה בישראל אתגר לאומי חסר תקדים בהיקפו - בהיבטי משך המשבר, אופיו הדינמי וריבוי תחומי החיים שבהם ניכרה השפעתו.</w:t>
      </w:r>
    </w:p>
    <w:p w:rsidR="00797315" w:rsidP="00E81188" w14:paraId="3A80ACA5" w14:textId="77777777">
      <w:pPr>
        <w:spacing w:line="269" w:lineRule="auto"/>
        <w:ind w:left="720" w:hanging="720"/>
        <w:rPr>
          <w:szCs w:val="20"/>
          <w:rtl/>
        </w:rPr>
      </w:pPr>
      <w:r>
        <w:rPr>
          <w:rtl/>
        </w:rPr>
        <w:br w:type="page"/>
      </w:r>
    </w:p>
    <w:p w:rsidR="00A66E79" w:rsidRPr="00DC3374" w:rsidP="00E81188" w14:paraId="5C830C02" w14:textId="145C785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2A707DC6" w14:textId="77777777">
      <w:pPr>
        <w:spacing w:line="269" w:lineRule="auto"/>
        <w:rPr>
          <w:rtl/>
        </w:rPr>
      </w:pPr>
      <w:r w:rsidRPr="00DC3374">
        <w:rPr>
          <w:rFonts w:hint="cs"/>
          <w:rtl/>
        </w:rPr>
        <w:t>בתרשים שלהלן נקודות ציון מרכזיות במשבר הקורונה עד סוף אוקטובר 2020.</w:t>
      </w:r>
    </w:p>
    <w:p w:rsidR="00A66E79" w:rsidRPr="00DC3374" w:rsidP="00E81188" w14:paraId="6624A4B8" w14:textId="0830D13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P="00E81188" w14:paraId="26D00375" w14:textId="0F0BD5BE">
      <w:pPr>
        <w:spacing w:line="269" w:lineRule="auto"/>
        <w:jc w:val="center"/>
        <w:rPr>
          <w:b/>
          <w:bCs/>
          <w:rtl/>
        </w:rPr>
      </w:pPr>
      <w:r w:rsidRPr="00DC3374">
        <w:rPr>
          <w:rFonts w:hint="eastAsia"/>
          <w:b/>
          <w:bCs/>
          <w:rtl/>
        </w:rPr>
        <w:t>תרשים</w:t>
      </w:r>
      <w:r w:rsidRPr="00DC3374">
        <w:rPr>
          <w:b/>
          <w:bCs/>
          <w:rtl/>
        </w:rPr>
        <w:t xml:space="preserve"> 1: </w:t>
      </w:r>
      <w:r w:rsidRPr="00DC3374">
        <w:rPr>
          <w:rFonts w:hint="eastAsia"/>
          <w:b/>
          <w:bCs/>
          <w:rtl/>
        </w:rPr>
        <w:t>נקודות</w:t>
      </w:r>
      <w:r w:rsidRPr="00DC3374">
        <w:rPr>
          <w:b/>
          <w:bCs/>
          <w:rtl/>
        </w:rPr>
        <w:t xml:space="preserve"> </w:t>
      </w:r>
      <w:r w:rsidRPr="00DC3374">
        <w:rPr>
          <w:rFonts w:hint="eastAsia"/>
          <w:b/>
          <w:bCs/>
          <w:rtl/>
        </w:rPr>
        <w:t>ציון</w:t>
      </w:r>
      <w:r w:rsidRPr="00DC3374">
        <w:rPr>
          <w:b/>
          <w:bCs/>
          <w:rtl/>
        </w:rPr>
        <w:t xml:space="preserve"> </w:t>
      </w:r>
      <w:r w:rsidRPr="00DC3374">
        <w:rPr>
          <w:rFonts w:hint="eastAsia"/>
          <w:b/>
          <w:bCs/>
          <w:rtl/>
        </w:rPr>
        <w:t>מרכזיות</w:t>
      </w:r>
      <w:r w:rsidRPr="00DC3374">
        <w:rPr>
          <w:b/>
          <w:bCs/>
          <w:rtl/>
        </w:rPr>
        <w:t xml:space="preserve"> </w:t>
      </w:r>
      <w:r w:rsidRPr="00DC3374">
        <w:rPr>
          <w:rFonts w:hint="eastAsia"/>
          <w:b/>
          <w:bCs/>
          <w:rtl/>
        </w:rPr>
        <w:t>במשבר</w:t>
      </w:r>
      <w:r w:rsidRPr="00DC3374">
        <w:rPr>
          <w:b/>
          <w:bCs/>
          <w:rtl/>
        </w:rPr>
        <w:t xml:space="preserve"> </w:t>
      </w:r>
      <w:r w:rsidRPr="00DC3374">
        <w:rPr>
          <w:rFonts w:hint="eastAsia"/>
          <w:b/>
          <w:bCs/>
          <w:rtl/>
        </w:rPr>
        <w:t>הקורונה</w:t>
      </w:r>
    </w:p>
    <w:p w:rsidR="00797315" w:rsidP="00E81188" w14:paraId="5413839C" w14:textId="77777777">
      <w:pPr>
        <w:spacing w:line="269" w:lineRule="auto"/>
        <w:jc w:val="center"/>
        <w:rPr>
          <w:b/>
          <w:bCs/>
          <w:rtl/>
        </w:rPr>
      </w:pPr>
    </w:p>
    <w:p w:rsidR="00A66E79" w:rsidRPr="00DC3374" w:rsidP="00E81188" w14:paraId="15216677" w14:textId="77777777">
      <w:pPr>
        <w:spacing w:line="269" w:lineRule="auto"/>
        <w:jc w:val="center"/>
        <w:rPr>
          <w:b/>
          <w:bCs/>
          <w:rtl/>
        </w:rPr>
      </w:pPr>
      <w:r w:rsidRPr="00DC3374">
        <w:rPr>
          <w:noProof/>
        </w:rPr>
        <w:drawing>
          <wp:inline distT="0" distB="0" distL="0" distR="0">
            <wp:extent cx="4843557" cy="6486525"/>
            <wp:effectExtent l="0" t="0" r="0" b="0"/>
            <wp:docPr id="1743882405" name="תמונה 1743882405" descr="C:\Users\michal_re\AppData\Local\Microsoft\Windows\INetCache\Content.Word\MR-Tarsh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93685" name="Picture 1" descr="C:\Users\michal_re\AppData\Local\Microsoft\Windows\INetCache\Content.Word\MR-Tarshim-1.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82740" cy="6539000"/>
                    </a:xfrm>
                    <a:prstGeom prst="rect">
                      <a:avLst/>
                    </a:prstGeom>
                    <a:noFill/>
                    <a:ln>
                      <a:noFill/>
                    </a:ln>
                  </pic:spPr>
                </pic:pic>
              </a:graphicData>
            </a:graphic>
          </wp:inline>
        </w:drawing>
      </w:r>
    </w:p>
    <w:p w:rsidR="00A66E79" w:rsidRPr="00DC3374" w:rsidP="00E81188" w14:paraId="3D64973B" w14:textId="77777777">
      <w:pPr>
        <w:spacing w:line="269" w:lineRule="auto"/>
        <w:jc w:val="center"/>
        <w:rPr>
          <w:b/>
          <w:bCs/>
          <w:rtl/>
        </w:rPr>
      </w:pPr>
    </w:p>
    <w:p w:rsidR="00A66E79" w:rsidRPr="00DC3374" w:rsidP="00E81188" w14:paraId="4B0A6739" w14:textId="15B7AB01">
      <w:pPr>
        <w:spacing w:line="269" w:lineRule="auto"/>
        <w:rPr>
          <w:rFonts w:asciiTheme="minorHAnsi" w:hAnsiTheme="minorHAnsi"/>
          <w:sz w:val="22"/>
          <w:rtl/>
        </w:rPr>
      </w:pPr>
      <w:r w:rsidRPr="00DC3374">
        <w:rPr>
          <w:rStyle w:val="5"/>
          <w:rFonts w:hint="cs"/>
          <w:rtl/>
        </w:rPr>
        <w:t>תפקיד ההסברה באירועי חירום לאומיים</w:t>
      </w:r>
      <w:r w:rsidR="009A11FC">
        <w:rPr>
          <w:rFonts w:asciiTheme="minorHAnsi" w:hAnsiTheme="minorHAnsi" w:hint="cs"/>
          <w:sz w:val="22"/>
          <w:rtl/>
        </w:rPr>
        <w:t xml:space="preserve"> </w:t>
      </w:r>
    </w:p>
    <w:p w:rsidR="00A66E79" w:rsidRPr="00DC3374" w:rsidP="00E81188" w14:paraId="6926C68D" w14:textId="15B4E6A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0F9C0F0E" w14:textId="77777777">
      <w:pPr>
        <w:spacing w:line="269" w:lineRule="auto"/>
        <w:rPr>
          <w:rtl/>
        </w:rPr>
      </w:pPr>
      <w:r w:rsidRPr="00DC3374">
        <w:rPr>
          <w:rFonts w:asciiTheme="minorHAnsi" w:hAnsiTheme="minorHAnsi" w:hint="cs"/>
          <w:sz w:val="22"/>
          <w:rtl/>
        </w:rPr>
        <w:t xml:space="preserve">ההסברה בעת חירום נדרשת לקיים תהליך רצוף ומתמשך של העברת מידע לציבור, המכוון להניעו לפעולה. </w:t>
      </w:r>
      <w:r w:rsidRPr="00DC3374">
        <w:rPr>
          <w:rFonts w:hint="cs"/>
          <w:rtl/>
        </w:rPr>
        <w:t xml:space="preserve">באירועי חירום לאומיים, דוגמת משבר הקורונה, נדרש הציבור להתמודד עם שינוי מציאות בלתי צפוי, הכולל איום על הסדר הקיים ולעיתים אף על חיי אדם ועם אי-ודאות לגבי </w:t>
      </w:r>
      <w:r w:rsidRPr="00DC3374">
        <w:rPr>
          <w:rFonts w:hint="cs"/>
          <w:rtl/>
        </w:rPr>
        <w:t>דרכי ההתגוננות. תפקיד גורמי ההסברה באירועים מסוג זה הוא להניע את הציבור ביעילות להתנהגות מצילת חיים</w:t>
      </w:r>
      <w:r>
        <w:rPr>
          <w:rStyle w:val="FootnoteReference1"/>
          <w:rtl/>
        </w:rPr>
        <w:footnoteReference w:id="3"/>
      </w:r>
      <w:r w:rsidRPr="00DC3374">
        <w:rPr>
          <w:rFonts w:hint="cs"/>
          <w:rtl/>
        </w:rPr>
        <w:t xml:space="preserve"> באמצעות שלושה מרכיבים עיקריים:</w:t>
      </w:r>
    </w:p>
    <w:p w:rsidR="00A66E79" w:rsidRPr="00DC3374" w:rsidP="00E81188" w14:paraId="70FA3AEA" w14:textId="5FA1D16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F26F18" w14:paraId="4AB31101" w14:textId="79156C60">
      <w:pPr>
        <w:pStyle w:val="ListParagraph"/>
        <w:numPr>
          <w:ilvl w:val="0"/>
          <w:numId w:val="38"/>
        </w:numPr>
        <w:spacing w:line="269" w:lineRule="auto"/>
      </w:pPr>
      <w:r w:rsidRPr="00F26F18">
        <w:rPr>
          <w:rStyle w:val="7"/>
          <w:rFonts w:hint="eastAsia"/>
          <w:rtl/>
        </w:rPr>
        <w:t>העברת</w:t>
      </w:r>
      <w:r w:rsidRPr="00F26F18">
        <w:rPr>
          <w:rStyle w:val="7"/>
          <w:rtl/>
        </w:rPr>
        <w:t xml:space="preserve"> </w:t>
      </w:r>
      <w:r w:rsidRPr="00F26F18">
        <w:rPr>
          <w:rStyle w:val="7"/>
          <w:rFonts w:hint="eastAsia"/>
          <w:rtl/>
        </w:rPr>
        <w:t>מידע</w:t>
      </w:r>
      <w:r w:rsidRPr="00F26F18">
        <w:rPr>
          <w:rStyle w:val="7"/>
          <w:rtl/>
        </w:rPr>
        <w:t xml:space="preserve"> </w:t>
      </w:r>
      <w:r w:rsidRPr="00F26F18">
        <w:rPr>
          <w:rStyle w:val="7"/>
          <w:rFonts w:hint="eastAsia"/>
          <w:rtl/>
        </w:rPr>
        <w:t>חיוני</w:t>
      </w:r>
      <w:r w:rsidRPr="00F26F18" w:rsidR="00F35839">
        <w:rPr>
          <w:rStyle w:val="7"/>
          <w:rtl/>
        </w:rPr>
        <w:t>:</w:t>
      </w:r>
      <w:r w:rsidRPr="00DC3374">
        <w:rPr>
          <w:rFonts w:hint="cs"/>
          <w:rtl/>
        </w:rPr>
        <w:t xml:space="preserve"> כדי להפחית את אי-הוודאות ולסייע לציבור בקבלת החלטות יעילה בנוגע לאופן התנהלותו במצב החירום, על גורמי ההסברה ליידע את הציבור בדבר מהות האיום ומאפייניו וכן להנחות את הציבור כיצד עליו להתגונן מפני האיום, בבחינת כללי "עשה ואל תעשה".</w:t>
      </w:r>
    </w:p>
    <w:p w:rsidR="00A66E79" w:rsidRPr="00DC3374" w:rsidP="00E81188" w14:paraId="52A01FB7" w14:textId="00E13FB9">
      <w:pPr>
        <w:pStyle w:val="a"/>
        <w:spacing w:line="269" w:lineRule="auto"/>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A66E79" w:rsidRPr="00DC3374" w:rsidP="00F26F18" w14:paraId="63ED8CD7" w14:textId="142C5CE8">
      <w:pPr>
        <w:pStyle w:val="ListParagraph"/>
        <w:numPr>
          <w:ilvl w:val="0"/>
          <w:numId w:val="38"/>
        </w:numPr>
        <w:spacing w:line="269" w:lineRule="auto"/>
      </w:pPr>
      <w:r w:rsidRPr="00F26F18">
        <w:rPr>
          <w:rStyle w:val="7"/>
          <w:rFonts w:hint="eastAsia"/>
          <w:rtl/>
        </w:rPr>
        <w:t>שכנוע</w:t>
      </w:r>
      <w:r w:rsidRPr="00F26F18">
        <w:rPr>
          <w:rStyle w:val="7"/>
          <w:rtl/>
        </w:rPr>
        <w:t xml:space="preserve"> </w:t>
      </w:r>
      <w:r w:rsidRPr="00F26F18">
        <w:rPr>
          <w:rStyle w:val="7"/>
          <w:rFonts w:hint="eastAsia"/>
          <w:rtl/>
        </w:rPr>
        <w:t>והנעה</w:t>
      </w:r>
      <w:r w:rsidRPr="00F26F18">
        <w:rPr>
          <w:rStyle w:val="7"/>
          <w:rtl/>
        </w:rPr>
        <w:t xml:space="preserve"> </w:t>
      </w:r>
      <w:r w:rsidRPr="00F26F18">
        <w:rPr>
          <w:rStyle w:val="7"/>
          <w:rFonts w:hint="eastAsia"/>
          <w:rtl/>
        </w:rPr>
        <w:t>לפעולה</w:t>
      </w:r>
      <w:r w:rsidRPr="00F26F18" w:rsidR="00F35839">
        <w:rPr>
          <w:rStyle w:val="7"/>
          <w:rtl/>
        </w:rPr>
        <w:t>:</w:t>
      </w:r>
      <w:r w:rsidRPr="00DC3374">
        <w:rPr>
          <w:rFonts w:hint="cs"/>
          <w:rtl/>
        </w:rPr>
        <w:t xml:space="preserve"> על גורמי ההסברה להביא לשינוי התנהגות הציבור בהתאם להנחיות גורמי המקצוע. לשם כך יש לוודא כי הציבור מבין את ההיגיון שבהנחיות ההתגוננות, וכן יש לחזק את אמון הציבור במענה הניתן למצב החירום ובמקבלי ההחלטות.</w:t>
      </w:r>
    </w:p>
    <w:p w:rsidR="00A66E79" w:rsidRPr="00DC3374" w:rsidP="00E81188" w14:paraId="2B40FA62" w14:textId="3BD380C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F26F18" w14:paraId="76D2591D" w14:textId="41D25B26">
      <w:pPr>
        <w:pStyle w:val="ListParagraph"/>
        <w:numPr>
          <w:ilvl w:val="0"/>
          <w:numId w:val="38"/>
        </w:numPr>
        <w:spacing w:line="269" w:lineRule="auto"/>
        <w:rPr>
          <w:rtl/>
        </w:rPr>
      </w:pPr>
      <w:r w:rsidRPr="00F26F18">
        <w:rPr>
          <w:rStyle w:val="7"/>
          <w:rFonts w:hint="eastAsia"/>
          <w:rtl/>
        </w:rPr>
        <w:t>חיזוק</w:t>
      </w:r>
      <w:r w:rsidRPr="00F26F18">
        <w:rPr>
          <w:rStyle w:val="7"/>
          <w:rtl/>
        </w:rPr>
        <w:t xml:space="preserve"> </w:t>
      </w:r>
      <w:r w:rsidRPr="00F26F18">
        <w:rPr>
          <w:rStyle w:val="7"/>
          <w:rFonts w:hint="eastAsia"/>
          <w:rtl/>
        </w:rPr>
        <w:t>החוסן</w:t>
      </w:r>
      <w:r w:rsidRPr="00F26F18">
        <w:rPr>
          <w:rStyle w:val="7"/>
          <w:rtl/>
        </w:rPr>
        <w:t xml:space="preserve"> </w:t>
      </w:r>
      <w:r w:rsidRPr="00F26F18">
        <w:rPr>
          <w:rStyle w:val="7"/>
          <w:rFonts w:hint="eastAsia"/>
          <w:rtl/>
        </w:rPr>
        <w:t>הציבורי</w:t>
      </w:r>
      <w:r w:rsidRPr="00F26F18" w:rsidR="00F35839">
        <w:rPr>
          <w:rStyle w:val="7"/>
          <w:rtl/>
        </w:rPr>
        <w:t>:</w:t>
      </w:r>
      <w:r w:rsidRPr="00DC3374">
        <w:rPr>
          <w:rFonts w:hint="cs"/>
          <w:rtl/>
        </w:rPr>
        <w:t>במצבי משבר יש לעודד בציבור תחושת מסוגלות ויכולת ליישם את הנחיות ההתגוננות. במשבר מתמשך ניכרת לעיתים שחיקה בנכונות של חלקים מהציבור להתמיד ולציית להנחיות לאורך זמן, ונדרשת תשומת לב מיוחדת לחסמים ולקשיים שעימם מתמודד הציבור ואשר מקשים עליו להמשיך ולציית להן</w:t>
      </w:r>
      <w:r>
        <w:rPr>
          <w:rStyle w:val="FootnoteReference1"/>
          <w:rtl/>
        </w:rPr>
        <w:footnoteReference w:id="4"/>
      </w:r>
      <w:r w:rsidRPr="00DC3374">
        <w:rPr>
          <w:rFonts w:hint="cs"/>
          <w:rtl/>
        </w:rPr>
        <w:t>.</w:t>
      </w:r>
    </w:p>
    <w:p w:rsidR="00A66E79" w:rsidRPr="00DC3374" w:rsidP="00E81188" w14:paraId="7EB1B3BA" w14:textId="3662EDB8">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A66E79" w:rsidRPr="00DC3374" w:rsidP="00E81188" w14:paraId="0248F311" w14:textId="77777777">
      <w:pPr>
        <w:spacing w:line="269" w:lineRule="auto"/>
        <w:rPr>
          <w:rtl/>
        </w:rPr>
      </w:pPr>
      <w:r w:rsidRPr="00DC3374">
        <w:rPr>
          <w:rFonts w:hint="cs"/>
          <w:rtl/>
        </w:rPr>
        <w:t>החברה הישראלית אינה עשויה מקשה אחת והיא מורכבת מקבוצות שונות הנבדלות זו מזו בהיבטים של דת, לאום, שפה, גיל, מצב חברתי, מצב כלכלי ועוד. בכל הנוגע להסברה לקבוצות אוכלוסייה ייחודיות, דוח זה מתייחס להיבטי ההסברה שנעשתה בנוגע</w:t>
      </w:r>
      <w:r w:rsidRPr="00DC3374">
        <w:rPr>
          <w:rFonts w:hint="cs"/>
        </w:rPr>
        <w:t xml:space="preserve"> </w:t>
      </w:r>
      <w:r w:rsidRPr="00DC3374">
        <w:rPr>
          <w:rFonts w:hint="cs"/>
          <w:rtl/>
        </w:rPr>
        <w:t>לשתי קבוצות האוכלוסייה המרכזיות בחברה הישראלית המתאפיינות בשונות תרבותית ודתית - החברה הערבית, ששיעורה באוכלוסייה היה בשנת 2020 כ-21%, והחברה החרדית, ששיעורה באוכלוסייה היה בשנת 2020 כ-12%. להלן תרשים המציג את קהלי היעד השונים שבמקרים המתאימים יש לתת להם מענה הסברתי ייחודי בשעת חירום ואת שיעורם באוכלוסייה הכללית:</w:t>
      </w:r>
      <w:r w:rsidRPr="00DC3374">
        <w:rPr>
          <w:rtl/>
        </w:rPr>
        <w:br w:type="page"/>
      </w:r>
    </w:p>
    <w:p w:rsidR="00A66E79" w:rsidRPr="00DC3374" w:rsidP="00E81188" w14:paraId="43A17678" w14:textId="17A4ABB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244AA247" w14:textId="77777777">
      <w:pPr>
        <w:spacing w:line="269" w:lineRule="auto"/>
        <w:jc w:val="center"/>
        <w:rPr>
          <w:b/>
          <w:bCs/>
          <w:rtl/>
        </w:rPr>
      </w:pPr>
      <w:r w:rsidRPr="00DC3374">
        <w:rPr>
          <w:rFonts w:hint="cs"/>
          <w:b/>
          <w:bCs/>
          <w:rtl/>
        </w:rPr>
        <w:t>תרשים 2: קבוצות אוכלוסייה שיש לתת להן מענה הסברתי ייחודי (מעוגל למספרים שלמים)</w:t>
      </w:r>
      <w:r>
        <w:rPr>
          <w:rStyle w:val="FootnoteReference1"/>
          <w:b/>
          <w:bCs/>
          <w:rtl/>
        </w:rPr>
        <w:footnoteReference w:id="5"/>
      </w:r>
    </w:p>
    <w:p w:rsidR="00A66E79" w:rsidRPr="00DC3374" w:rsidP="00E81188" w14:paraId="5E404F9D" w14:textId="77777777">
      <w:pPr>
        <w:spacing w:line="269" w:lineRule="auto"/>
        <w:jc w:val="center"/>
        <w:rPr>
          <w:b/>
          <w:bCs/>
          <w:rtl/>
        </w:rPr>
      </w:pPr>
      <w:r w:rsidRPr="00DC3374">
        <w:rPr>
          <w:noProof/>
        </w:rPr>
        <w:drawing>
          <wp:inline distT="0" distB="0" distL="0" distR="0">
            <wp:extent cx="5734050" cy="2487480"/>
            <wp:effectExtent l="19050" t="19050" r="19050" b="27305"/>
            <wp:docPr id="1743882406" name="תמונה 1743882406" descr="C:\Users\michal_re\AppData\Local\Microsoft\Windows\INetCache\Content.Word\MR-Tarsh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82955" name="Picture 3" descr="C:\Users\michal_re\AppData\Local\Microsoft\Windows\INetCache\Content.Word\MR-Tarshim-2.jpg"/>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4050" cy="2487480"/>
                    </a:xfrm>
                    <a:prstGeom prst="rect">
                      <a:avLst/>
                    </a:prstGeom>
                    <a:noFill/>
                    <a:ln w="3175">
                      <a:solidFill>
                        <a:schemeClr val="bg1">
                          <a:lumMod val="75000"/>
                        </a:schemeClr>
                      </a:solidFill>
                    </a:ln>
                  </pic:spPr>
                </pic:pic>
              </a:graphicData>
            </a:graphic>
          </wp:inline>
        </w:drawing>
      </w:r>
    </w:p>
    <w:p w:rsidR="00A66E79" w:rsidRPr="00DC3374" w:rsidP="00E81188" w14:paraId="643B215C" w14:textId="77777777">
      <w:pPr>
        <w:spacing w:line="269" w:lineRule="auto"/>
        <w:rPr>
          <w:szCs w:val="20"/>
          <w:rtl/>
        </w:rPr>
      </w:pPr>
      <w:r w:rsidRPr="00DC3374">
        <w:rPr>
          <w:rFonts w:hint="cs"/>
          <w:szCs w:val="20"/>
          <w:rtl/>
        </w:rPr>
        <w:t>המקור: נתוני למ"ס; דוח הוועדה המייעצת למטה לביטחון לאומי (להלן - מל"ל); המכון הישראלי לדמוקרטיה.</w:t>
      </w:r>
    </w:p>
    <w:p w:rsidR="00A66E79" w:rsidRPr="00DC3374" w:rsidP="00E81188" w14:paraId="4B7BB2C5" w14:textId="77777777">
      <w:pPr>
        <w:spacing w:line="269" w:lineRule="auto"/>
        <w:rPr>
          <w:szCs w:val="20"/>
          <w:rtl/>
        </w:rPr>
      </w:pPr>
      <w:r w:rsidRPr="00DC3374">
        <w:rPr>
          <w:rFonts w:hint="cs"/>
          <w:szCs w:val="20"/>
          <w:rtl/>
        </w:rPr>
        <w:t>* אנשים מגיל 20 ומעלה עם מוגבלות תפקודית חמורה.</w:t>
      </w:r>
    </w:p>
    <w:p w:rsidR="00A66E79" w:rsidRPr="00DC3374" w:rsidP="00E81188" w14:paraId="6385FC11" w14:textId="33BA6E3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2624037A" w14:textId="77777777">
      <w:pPr>
        <w:spacing w:line="269" w:lineRule="auto"/>
        <w:rPr>
          <w:rtl/>
        </w:rPr>
      </w:pPr>
      <w:r w:rsidRPr="00DC3374">
        <w:rPr>
          <w:rFonts w:hint="cs"/>
          <w:rtl/>
        </w:rPr>
        <w:t>כדי לממש את תפקידי ההסברה באופן אפקטיבי, על גורמי ההסברה להכיר היטב את החלקים השונים בציבור ולוודא כי הנחיות ההתנהגות לשעת חירום הגיעו</w:t>
      </w:r>
      <w:r w:rsidRPr="00DC3374">
        <w:rPr>
          <w:rtl/>
        </w:rPr>
        <w:t xml:space="preserve"> ל</w:t>
      </w:r>
      <w:r w:rsidRPr="00DC3374">
        <w:rPr>
          <w:rFonts w:hint="cs"/>
          <w:rtl/>
        </w:rPr>
        <w:t>כלל האוכלוסייה</w:t>
      </w:r>
      <w:r w:rsidRPr="00DC3374">
        <w:rPr>
          <w:rtl/>
        </w:rPr>
        <w:t xml:space="preserve">, </w:t>
      </w:r>
      <w:r w:rsidRPr="00DC3374">
        <w:rPr>
          <w:rFonts w:hint="cs"/>
          <w:rtl/>
        </w:rPr>
        <w:t xml:space="preserve">על כל מרכיביה וגווניה, </w:t>
      </w:r>
      <w:r w:rsidRPr="00DC3374">
        <w:rPr>
          <w:rtl/>
        </w:rPr>
        <w:t>הובנו והופנמו, והציבור נכון לנהוג</w:t>
      </w:r>
      <w:r w:rsidRPr="00DC3374">
        <w:rPr>
          <w:rFonts w:hint="cs"/>
          <w:rtl/>
        </w:rPr>
        <w:t xml:space="preserve"> לפיהן</w:t>
      </w:r>
      <w:r w:rsidRPr="00DC3374">
        <w:rPr>
          <w:rtl/>
        </w:rPr>
        <w:t>. לשם כך נדרש תהליך מעגלי מתמשך</w:t>
      </w:r>
      <w:r w:rsidRPr="00DC3374">
        <w:rPr>
          <w:rFonts w:hint="cs"/>
          <w:rtl/>
        </w:rPr>
        <w:t xml:space="preserve">, הכולל </w:t>
      </w:r>
      <w:r w:rsidRPr="00DC3374">
        <w:rPr>
          <w:rtl/>
        </w:rPr>
        <w:t>בדיק</w:t>
      </w:r>
      <w:r w:rsidRPr="00DC3374">
        <w:rPr>
          <w:rFonts w:hint="cs"/>
          <w:rtl/>
        </w:rPr>
        <w:t>ה</w:t>
      </w:r>
      <w:r w:rsidRPr="00DC3374">
        <w:rPr>
          <w:rtl/>
        </w:rPr>
        <w:t xml:space="preserve"> </w:t>
      </w:r>
      <w:r w:rsidRPr="00DC3374">
        <w:rPr>
          <w:rFonts w:hint="cs"/>
          <w:rtl/>
        </w:rPr>
        <w:t>של ה</w:t>
      </w:r>
      <w:r w:rsidRPr="00DC3374">
        <w:rPr>
          <w:rFonts w:hint="eastAsia"/>
          <w:rtl/>
        </w:rPr>
        <w:t>חוסרים</w:t>
      </w:r>
      <w:r w:rsidRPr="00DC3374">
        <w:rPr>
          <w:rtl/>
        </w:rPr>
        <w:t xml:space="preserve"> </w:t>
      </w:r>
      <w:r w:rsidRPr="00DC3374">
        <w:rPr>
          <w:rFonts w:hint="eastAsia"/>
          <w:rtl/>
        </w:rPr>
        <w:t>במידע</w:t>
      </w:r>
      <w:r w:rsidRPr="00DC3374">
        <w:rPr>
          <w:rtl/>
        </w:rPr>
        <w:t xml:space="preserve"> </w:t>
      </w:r>
      <w:r w:rsidRPr="00DC3374">
        <w:rPr>
          <w:rFonts w:hint="eastAsia"/>
          <w:rtl/>
        </w:rPr>
        <w:t>ו</w:t>
      </w:r>
      <w:r w:rsidRPr="00DC3374">
        <w:rPr>
          <w:rFonts w:hint="cs"/>
          <w:rtl/>
        </w:rPr>
        <w:t xml:space="preserve">של </w:t>
      </w:r>
      <w:r w:rsidRPr="00DC3374">
        <w:rPr>
          <w:rFonts w:hint="eastAsia"/>
          <w:rtl/>
        </w:rPr>
        <w:t>פערי</w:t>
      </w:r>
      <w:r w:rsidRPr="00DC3374">
        <w:rPr>
          <w:rtl/>
        </w:rPr>
        <w:t xml:space="preserve"> </w:t>
      </w:r>
      <w:r w:rsidRPr="00DC3374">
        <w:rPr>
          <w:rFonts w:hint="cs"/>
          <w:rtl/>
        </w:rPr>
        <w:t>ה</w:t>
      </w:r>
      <w:r w:rsidRPr="00DC3374">
        <w:rPr>
          <w:rFonts w:hint="eastAsia"/>
          <w:rtl/>
        </w:rPr>
        <w:t>תפיסה</w:t>
      </w:r>
      <w:r w:rsidRPr="00DC3374">
        <w:rPr>
          <w:rtl/>
        </w:rPr>
        <w:t xml:space="preserve"> בציבור, זיהוי חסמים</w:t>
      </w:r>
      <w:r w:rsidRPr="00DC3374">
        <w:rPr>
          <w:rFonts w:hint="cs"/>
          <w:rtl/>
        </w:rPr>
        <w:t xml:space="preserve"> בפני ציות להנחיות וגיבוש מסרים והפצתם לקהלי היעד השונים באופן המגשר על הפערים והחסמים שזוהו. לאחר ההפצה יש לבצע בקרה - האם המידע והמסרים נקלטו והופנמו כהלכה. בהתאם לממצאי הבדיקה</w:t>
      </w:r>
      <w:r w:rsidRPr="00DC3374">
        <w:rPr>
          <w:rtl/>
        </w:rPr>
        <w:t xml:space="preserve"> </w:t>
      </w:r>
      <w:r w:rsidRPr="00DC3374">
        <w:rPr>
          <w:rFonts w:hint="cs"/>
          <w:rtl/>
        </w:rPr>
        <w:t>יש לעדכן את המסרים, להפיצם, לבצע בקרה חוזרת וכן הלאה</w:t>
      </w:r>
      <w:r w:rsidRPr="00DC3374">
        <w:rPr>
          <w:rtl/>
        </w:rPr>
        <w:t>, כמתואר בתרשים שלהלן:</w:t>
      </w:r>
    </w:p>
    <w:p w:rsidR="00A66E79" w:rsidRPr="00DC3374" w:rsidP="00E81188" w14:paraId="4EA616FE" w14:textId="77777777">
      <w:pPr>
        <w:spacing w:line="269" w:lineRule="auto"/>
        <w:ind w:left="720" w:hanging="720"/>
        <w:rPr>
          <w:szCs w:val="20"/>
          <w:rtl/>
        </w:rPr>
      </w:pPr>
      <w:r w:rsidRPr="00DC3374">
        <w:rPr>
          <w:rtl/>
        </w:rPr>
        <w:br w:type="page"/>
      </w:r>
    </w:p>
    <w:p w:rsidR="00A66E79" w:rsidRPr="00DC3374" w:rsidP="00E81188" w14:paraId="54CCE68A" w14:textId="57ADA13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53B514EC" w14:textId="77777777">
      <w:pPr>
        <w:spacing w:line="269" w:lineRule="auto"/>
        <w:jc w:val="center"/>
        <w:rPr>
          <w:b/>
          <w:bCs/>
          <w:rtl/>
        </w:rPr>
      </w:pPr>
      <w:r w:rsidRPr="00DC3374">
        <w:rPr>
          <w:rFonts w:hint="cs"/>
          <w:b/>
          <w:bCs/>
          <w:rtl/>
        </w:rPr>
        <w:t xml:space="preserve">תרשים </w:t>
      </w:r>
      <w:r w:rsidRPr="00DC3374">
        <w:rPr>
          <w:b/>
          <w:bCs/>
          <w:rtl/>
        </w:rPr>
        <w:t xml:space="preserve">3: </w:t>
      </w:r>
      <w:r w:rsidRPr="00DC3374">
        <w:rPr>
          <w:rFonts w:hint="eastAsia"/>
          <w:b/>
          <w:bCs/>
          <w:rtl/>
        </w:rPr>
        <w:t>ההסברה</w:t>
      </w:r>
      <w:r w:rsidRPr="00DC3374">
        <w:rPr>
          <w:b/>
          <w:bCs/>
          <w:rtl/>
        </w:rPr>
        <w:t xml:space="preserve"> </w:t>
      </w:r>
      <w:r w:rsidRPr="00DC3374">
        <w:rPr>
          <w:rFonts w:hint="eastAsia"/>
          <w:b/>
          <w:bCs/>
          <w:rtl/>
        </w:rPr>
        <w:t>כתהליך</w:t>
      </w:r>
      <w:r w:rsidRPr="00DC3374">
        <w:rPr>
          <w:b/>
          <w:bCs/>
          <w:rtl/>
        </w:rPr>
        <w:t xml:space="preserve"> </w:t>
      </w:r>
      <w:r w:rsidRPr="00DC3374">
        <w:rPr>
          <w:rFonts w:hint="eastAsia"/>
          <w:b/>
          <w:bCs/>
          <w:rtl/>
        </w:rPr>
        <w:t>מעגלי</w:t>
      </w:r>
    </w:p>
    <w:p w:rsidR="00A66E79" w:rsidRPr="00DC3374" w:rsidP="00E81188" w14:paraId="64F084F0" w14:textId="77777777">
      <w:pPr>
        <w:spacing w:line="269" w:lineRule="auto"/>
        <w:jc w:val="center"/>
        <w:rPr>
          <w:rtl/>
        </w:rPr>
      </w:pPr>
      <w:r w:rsidRPr="00DC3374">
        <w:rPr>
          <w:noProof/>
        </w:rPr>
        <w:drawing>
          <wp:inline distT="0" distB="0" distL="0" distR="0">
            <wp:extent cx="4543425" cy="4562475"/>
            <wp:effectExtent l="0" t="0" r="9525" b="9525"/>
            <wp:docPr id="1743882407" name="תמונה 1743882407" descr="C:\Users\michal_re\AppData\Local\Microsoft\Windows\INetCache\Content.Word\MR-Tarsh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59365" name="Picture 5" descr="C:\Users\michal_re\AppData\Local\Microsoft\Windows\INetCache\Content.Word\MR-Tarshim-3.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43425" cy="4562475"/>
                    </a:xfrm>
                    <a:prstGeom prst="rect">
                      <a:avLst/>
                    </a:prstGeom>
                    <a:noFill/>
                    <a:ln>
                      <a:noFill/>
                    </a:ln>
                  </pic:spPr>
                </pic:pic>
              </a:graphicData>
            </a:graphic>
          </wp:inline>
        </w:drawing>
      </w:r>
    </w:p>
    <w:p w:rsidR="00A66E79" w:rsidRPr="00DC3374" w:rsidP="00E81188" w14:paraId="7A28D7E8" w14:textId="69D440F2">
      <w:pPr>
        <w:spacing w:line="269" w:lineRule="auto"/>
        <w:rPr>
          <w:szCs w:val="20"/>
          <w:rtl/>
        </w:rPr>
      </w:pPr>
      <w:r w:rsidRPr="00DC3374">
        <w:rPr>
          <w:rFonts w:hint="cs"/>
          <w:szCs w:val="20"/>
          <w:rtl/>
        </w:rPr>
        <w:t>על פי נתוני פיקוד העורף, בעיבוד משרד מבקר המדינה.</w:t>
      </w:r>
    </w:p>
    <w:p w:rsidR="00A66E79" w:rsidRPr="00DC3374" w:rsidP="00E81188" w14:paraId="0BEFCEA1" w14:textId="77777777">
      <w:pPr>
        <w:spacing w:line="269" w:lineRule="auto"/>
        <w:rPr>
          <w:rtl/>
        </w:rPr>
      </w:pPr>
    </w:p>
    <w:p w:rsidR="00A66E79" w:rsidRPr="00DC3374" w:rsidP="00E81188" w14:paraId="09D6A6F8" w14:textId="77777777">
      <w:pPr>
        <w:spacing w:line="269" w:lineRule="auto"/>
        <w:rPr>
          <w:rtl/>
        </w:rPr>
      </w:pPr>
      <w:r w:rsidRPr="00DC3374">
        <w:rPr>
          <w:rStyle w:val="5"/>
          <w:rFonts w:hint="eastAsia"/>
          <w:rtl/>
        </w:rPr>
        <w:t>פעילות</w:t>
      </w:r>
      <w:r w:rsidRPr="00DC3374">
        <w:rPr>
          <w:rStyle w:val="5"/>
          <w:rtl/>
        </w:rPr>
        <w:t xml:space="preserve"> </w:t>
      </w:r>
      <w:r w:rsidRPr="00DC3374">
        <w:rPr>
          <w:rStyle w:val="5"/>
          <w:rFonts w:hint="eastAsia"/>
          <w:rtl/>
        </w:rPr>
        <w:t>גורמי</w:t>
      </w:r>
      <w:r w:rsidRPr="00DC3374">
        <w:rPr>
          <w:rStyle w:val="5"/>
          <w:rtl/>
        </w:rPr>
        <w:t xml:space="preserve"> </w:t>
      </w:r>
      <w:r w:rsidRPr="00DC3374">
        <w:rPr>
          <w:rStyle w:val="5"/>
          <w:rFonts w:hint="eastAsia"/>
          <w:rtl/>
        </w:rPr>
        <w:t>ההסברה</w:t>
      </w:r>
      <w:r w:rsidRPr="00DC3374">
        <w:rPr>
          <w:rStyle w:val="5"/>
          <w:rtl/>
        </w:rPr>
        <w:t xml:space="preserve"> </w:t>
      </w:r>
      <w:r w:rsidRPr="00DC3374">
        <w:rPr>
          <w:rStyle w:val="5"/>
          <w:rFonts w:hint="eastAsia"/>
          <w:rtl/>
        </w:rPr>
        <w:t>המרכזיים</w:t>
      </w:r>
      <w:r w:rsidRPr="00DC3374">
        <w:rPr>
          <w:rStyle w:val="5"/>
          <w:rtl/>
        </w:rPr>
        <w:t xml:space="preserve"> </w:t>
      </w:r>
      <w:r w:rsidRPr="00DC3374">
        <w:rPr>
          <w:rStyle w:val="5"/>
          <w:rFonts w:hint="eastAsia"/>
          <w:rtl/>
        </w:rPr>
        <w:t>במשבר</w:t>
      </w:r>
      <w:r w:rsidRPr="00DC3374">
        <w:rPr>
          <w:rStyle w:val="5"/>
          <w:rtl/>
        </w:rPr>
        <w:t xml:space="preserve"> </w:t>
      </w:r>
      <w:r w:rsidRPr="00DC3374">
        <w:rPr>
          <w:rStyle w:val="5"/>
          <w:rFonts w:hint="eastAsia"/>
          <w:rtl/>
        </w:rPr>
        <w:t>הקורונה</w:t>
      </w:r>
      <w:r>
        <w:rPr>
          <w:rStyle w:val="FootnoteReference1"/>
          <w:b/>
          <w:bCs/>
          <w:rtl/>
        </w:rPr>
        <w:footnoteReference w:id="6"/>
      </w:r>
      <w:r w:rsidRPr="00DC3374">
        <w:rPr>
          <w:rFonts w:hint="cs"/>
          <w:rtl/>
        </w:rPr>
        <w:t xml:space="preserve"> </w:t>
      </w:r>
    </w:p>
    <w:p w:rsidR="00A66E79" w:rsidRPr="00DC3374" w:rsidP="00E81188" w14:paraId="0AD03F94" w14:textId="36399ED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7223CF2E" w14:textId="58F49487">
      <w:pPr>
        <w:spacing w:line="269" w:lineRule="auto"/>
        <w:rPr>
          <w:rtl/>
        </w:rPr>
      </w:pPr>
      <w:r w:rsidRPr="00DC3374">
        <w:rPr>
          <w:rFonts w:hint="cs"/>
          <w:rtl/>
        </w:rPr>
        <w:t xml:space="preserve">שלושה גופים מרכזיים עמדו במוקד ההסברה והעברת המידע לציבור בישראל בעת המשבר: מטה ההסברה הלאומי במשרד ראש הממשלה (להלן - משרד רה"ם), אשר על פי החלטת ממשלה משנת 2007 הופקד על </w:t>
      </w:r>
      <w:r w:rsidR="00496045">
        <w:rPr>
          <w:rFonts w:hint="cs"/>
          <w:rtl/>
        </w:rPr>
        <w:t xml:space="preserve">התיאום בין </w:t>
      </w:r>
      <w:r w:rsidRPr="00DC3374">
        <w:rPr>
          <w:rFonts w:hint="cs"/>
          <w:rtl/>
        </w:rPr>
        <w:t>כלל גורמי ההסברה הממשלתיים בישראל והנחייתם בשעת חירום</w:t>
      </w:r>
      <w:r>
        <w:rPr>
          <w:rStyle w:val="FootnoteReference1"/>
          <w:rtl/>
        </w:rPr>
        <w:footnoteReference w:id="7"/>
      </w:r>
      <w:r w:rsidRPr="00DC3374">
        <w:rPr>
          <w:rFonts w:hint="cs"/>
          <w:rtl/>
        </w:rPr>
        <w:t>; משרד הבריאות, אשר הופקד בפברואר 2020 על הובלת ההסברה במשבר הקורונה בהחלטה שהתקבלה בפורום שרי ממשלה וגורמי ביצוע, בראשות ראש הממשלה; ופיקוד העורף בצה"ל (להלן - פקע"ר), אשר שימש גורם מסייע במאמץ ההסברה במשבר הקורונה על פי החלטת שר הביטחון, ובהמשך על פי החלטת גורמי ביצוע מטעם הממשלה (כמפורט להלן בפרק בנושא "ההיערכות הלאומית להסברה במצב חירום אזרחי"). להלן עיקרי פעולות ההסברה שביצעו גופים אלה:</w:t>
      </w:r>
    </w:p>
    <w:p w:rsidR="00A66E79" w:rsidRPr="00DC3374" w:rsidP="00E81188" w14:paraId="62CFFD50" w14:textId="7D16F7A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6035CB97" w14:textId="77777777">
      <w:pPr>
        <w:pStyle w:val="ListParagraph"/>
        <w:numPr>
          <w:ilvl w:val="0"/>
          <w:numId w:val="2"/>
        </w:numPr>
        <w:spacing w:line="269" w:lineRule="auto"/>
        <w:ind w:left="312"/>
      </w:pPr>
      <w:r w:rsidRPr="00DC3374">
        <w:rPr>
          <w:rStyle w:val="7"/>
          <w:rFonts w:hint="eastAsia"/>
          <w:rtl/>
        </w:rPr>
        <w:t>מטה</w:t>
      </w:r>
      <w:r w:rsidRPr="00DC3374">
        <w:rPr>
          <w:rStyle w:val="7"/>
          <w:rtl/>
        </w:rPr>
        <w:t xml:space="preserve"> </w:t>
      </w:r>
      <w:r w:rsidRPr="00DC3374">
        <w:rPr>
          <w:rStyle w:val="7"/>
          <w:rFonts w:hint="eastAsia"/>
          <w:rtl/>
        </w:rPr>
        <w:t>ההסברה</w:t>
      </w:r>
      <w:r w:rsidRPr="00DC3374">
        <w:rPr>
          <w:rStyle w:val="7"/>
          <w:rtl/>
        </w:rPr>
        <w:t xml:space="preserve"> </w:t>
      </w:r>
      <w:r w:rsidRPr="00DC3374">
        <w:rPr>
          <w:rStyle w:val="7"/>
          <w:rFonts w:hint="eastAsia"/>
          <w:rtl/>
        </w:rPr>
        <w:t>הלאומי</w:t>
      </w:r>
      <w:r w:rsidRPr="00DC3374">
        <w:rPr>
          <w:rStyle w:val="7"/>
          <w:rFonts w:hint="cs"/>
          <w:rtl/>
        </w:rPr>
        <w:t>:</w:t>
      </w:r>
      <w:r w:rsidRPr="00DC3374">
        <w:rPr>
          <w:rFonts w:hint="cs"/>
          <w:rtl/>
        </w:rPr>
        <w:t xml:space="preserve"> המטה השתתף בקביעות בדיוני הערכת המצב של המל"ל והציג בהם תמונת מצב הסברתית; הוא הפיץ את מסרי הממשלה ותיאם באופן שוטף בין דוברי משרדי הממשלה, בין היתר במסגרת "פורום הסברה", כמפורט בהמשך. </w:t>
      </w:r>
    </w:p>
    <w:p w:rsidR="00A66E79" w:rsidRPr="00DC3374" w:rsidP="00E81188" w14:paraId="0AD03E6B" w14:textId="4B5D25D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71F74B30" w14:textId="77777777">
      <w:pPr>
        <w:pStyle w:val="ListParagraph"/>
        <w:numPr>
          <w:ilvl w:val="0"/>
          <w:numId w:val="2"/>
        </w:numPr>
        <w:spacing w:line="269" w:lineRule="auto"/>
        <w:ind w:left="312"/>
        <w:rPr>
          <w:rtl/>
        </w:rPr>
      </w:pPr>
      <w:r w:rsidRPr="00DC3374">
        <w:rPr>
          <w:rStyle w:val="7"/>
          <w:rFonts w:hint="eastAsia"/>
          <w:rtl/>
        </w:rPr>
        <w:t>משרד</w:t>
      </w:r>
      <w:r w:rsidRPr="00DC3374">
        <w:rPr>
          <w:rStyle w:val="7"/>
          <w:rtl/>
        </w:rPr>
        <w:t xml:space="preserve"> </w:t>
      </w:r>
      <w:r w:rsidRPr="00DC3374">
        <w:rPr>
          <w:rStyle w:val="7"/>
          <w:rFonts w:hint="eastAsia"/>
          <w:rtl/>
        </w:rPr>
        <w:t>הבריאות</w:t>
      </w:r>
      <w:r w:rsidRPr="00DC3374">
        <w:rPr>
          <w:rFonts w:hint="cs"/>
          <w:b/>
          <w:bCs/>
          <w:rtl/>
        </w:rPr>
        <w:t>:</w:t>
      </w:r>
      <w:r w:rsidRPr="00DC3374">
        <w:rPr>
          <w:rFonts w:hint="cs"/>
          <w:rtl/>
        </w:rPr>
        <w:t xml:space="preserve"> המשרד הוביל את מאמצי ההסברה של הממשלה במשבר הקורונה, העביר לציבור מידע, הנחיות התגוננות ועדכונים שוטפים בכלי התקשורת וברשתות החברתיות, באתר המרשתת (האינטרנט) ובאמצעות מוקד המידע הטלפוני "קול הבריאות". אלה כללו מידע חיוני וגם מסרים בעלי אופי רגשי כדי להטמיע את חשיבות ההקפדה על ההנחיות. ממרץ 2020 תגבר המשרד את ההסברה הייעודית לחברה הערבית ולחברה החרדית וכן פעל להפצת הסברה ייעודית לדוברי רוסית וליוצאי אתיופיה. המשרד גם תרגם חלק מהפרסומים לשפות שונות ובהן אנגלית, ערבית, רוסית, אמהרית, תיגרינית, צרפתית, סינית, תאית ושפת הסימנים. מאפריל 2020 ערך המשרד סקרי דעת קהל לצורך בדיקת עמדות הציבור בנוגע להנחיות ההתגוננות ולצורך חידוד מסרי ההסברה.</w:t>
      </w:r>
    </w:p>
    <w:p w:rsidR="00A66E79" w:rsidRPr="00DC3374" w:rsidP="00E81188" w14:paraId="370C52BF" w14:textId="74AC38D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6ECF28D9" w14:textId="77777777">
      <w:pPr>
        <w:pStyle w:val="ListParagraph"/>
        <w:numPr>
          <w:ilvl w:val="0"/>
          <w:numId w:val="2"/>
        </w:numPr>
        <w:spacing w:line="269" w:lineRule="auto"/>
      </w:pPr>
      <w:r w:rsidRPr="00DC3374">
        <w:rPr>
          <w:rStyle w:val="7"/>
          <w:rFonts w:hint="cs"/>
          <w:rtl/>
        </w:rPr>
        <w:t>פקע"ר:</w:t>
      </w:r>
      <w:r w:rsidRPr="00DC3374">
        <w:rPr>
          <w:rFonts w:hint="cs"/>
          <w:rtl/>
        </w:rPr>
        <w:t xml:space="preserve"> פקע"ר העביר לציבור מידע והנחיות של משרד הבריאות ושל גופים נוספים באמצעות אתר אינטרנט ייעודי - "פורטל החירום הלאומי", ובאמצעות הרשתות החברתיות; הפעיל מוקד חירום טלפוני; הפיק מסעות פרסום (קמפיינים) והפיץ חומרי הסברה; הדריך תלמידים במערכת החינוך; התאים תכנים לקהלי יעד ספציפיים, ובהם החברה הערבית, החברה החרדית, דוברי שפות שונות, ילדים ונוער; ביצע סקרי דעת קהל </w:t>
      </w:r>
      <w:r w:rsidRPr="00DC3374">
        <w:rPr>
          <w:rtl/>
        </w:rPr>
        <w:t>לצורך בדיקת עמדות הציבור בנוגע להנחיות ההתגוננות</w:t>
      </w:r>
      <w:r w:rsidRPr="00DC3374">
        <w:rPr>
          <w:rFonts w:hint="cs"/>
          <w:rtl/>
        </w:rPr>
        <w:t>;</w:t>
      </w:r>
      <w:r w:rsidRPr="00DC3374">
        <w:rPr>
          <w:rtl/>
        </w:rPr>
        <w:t xml:space="preserve"> </w:t>
      </w:r>
      <w:r w:rsidRPr="00DC3374">
        <w:rPr>
          <w:rFonts w:hint="cs"/>
          <w:rtl/>
        </w:rPr>
        <w:t>ו</w:t>
      </w:r>
      <w:r w:rsidRPr="00DC3374">
        <w:rPr>
          <w:rtl/>
        </w:rPr>
        <w:t xml:space="preserve">ביצע פעולות הסברה ברשויות המקומיות. </w:t>
      </w:r>
    </w:p>
    <w:p w:rsidR="00A66E79" w:rsidRPr="00DC3374" w:rsidP="00E81188" w14:paraId="1C5F0744" w14:textId="77777777">
      <w:pPr>
        <w:pStyle w:val="ListParagraph"/>
        <w:spacing w:line="269" w:lineRule="auto"/>
        <w:ind w:left="340"/>
        <w:rPr>
          <w:rtl/>
        </w:rPr>
      </w:pPr>
    </w:p>
    <w:p w:rsidR="00A66E79" w:rsidRPr="00DC3374" w:rsidP="00E81188" w14:paraId="04A68E0E" w14:textId="77777777">
      <w:pPr>
        <w:pStyle w:val="Heading5"/>
        <w:spacing w:line="269" w:lineRule="auto"/>
        <w:rPr>
          <w:rFonts w:eastAsiaTheme="minorHAnsi"/>
          <w:bCs w:val="0"/>
          <w:spacing w:val="0"/>
          <w:rtl/>
        </w:rPr>
      </w:pPr>
      <w:r w:rsidRPr="00DC3374">
        <w:rPr>
          <w:rFonts w:hint="eastAsia"/>
          <w:rtl/>
        </w:rPr>
        <w:t>תקציבי</w:t>
      </w:r>
      <w:r w:rsidRPr="00DC3374">
        <w:rPr>
          <w:rtl/>
        </w:rPr>
        <w:t xml:space="preserve"> </w:t>
      </w:r>
      <w:r w:rsidRPr="00DC3374">
        <w:rPr>
          <w:rFonts w:hint="eastAsia"/>
          <w:rtl/>
        </w:rPr>
        <w:t>ההסברה</w:t>
      </w:r>
      <w:r w:rsidRPr="00DC3374">
        <w:rPr>
          <w:rtl/>
        </w:rPr>
        <w:t xml:space="preserve"> </w:t>
      </w:r>
      <w:r w:rsidRPr="00DC3374">
        <w:rPr>
          <w:rFonts w:hint="eastAsia"/>
          <w:rtl/>
        </w:rPr>
        <w:t>במשבר</w:t>
      </w:r>
      <w:r w:rsidRPr="00DC3374">
        <w:rPr>
          <w:rtl/>
        </w:rPr>
        <w:t xml:space="preserve"> </w:t>
      </w:r>
      <w:r w:rsidRPr="00DC3374">
        <w:rPr>
          <w:rFonts w:hint="eastAsia"/>
          <w:rtl/>
        </w:rPr>
        <w:t>הקורונה</w:t>
      </w:r>
    </w:p>
    <w:p w:rsidR="00A66E79" w:rsidRPr="00DC3374" w:rsidP="00E81188" w14:paraId="04A4541B" w14:textId="249DAD4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2F3B38F2" w14:textId="77777777">
      <w:pPr>
        <w:spacing w:line="269" w:lineRule="auto"/>
        <w:rPr>
          <w:bCs/>
          <w:rtl/>
        </w:rPr>
      </w:pPr>
      <w:r w:rsidRPr="00DC3374">
        <w:rPr>
          <w:rFonts w:hint="cs"/>
          <w:rtl/>
        </w:rPr>
        <w:t>בשנת 2020 הוציאו משרד הבריאות, פקע"ר, וכן משרדי ממשלה נוספים, יחידות הסמך שלהם וגופים ציבוריים נוספים (להלן יחד - גופים הפועלים מטעם הממשלה) סכום כולל של 311 מיליון ש"ח על פעולות הסברה</w:t>
      </w:r>
      <w:r>
        <w:rPr>
          <w:rStyle w:val="FootnoteReference1"/>
          <w:rtl/>
        </w:rPr>
        <w:footnoteReference w:id="8"/>
      </w:r>
      <w:r w:rsidRPr="00DC3374">
        <w:rPr>
          <w:rFonts w:hint="cs"/>
          <w:rtl/>
        </w:rPr>
        <w:t>.להלן שני תרשימים המציגים את התפלגות ההוצאה הממשלתית על הסברת הקורונה בפילוח לפי הגופים השונים אשר ביצעו את פעולות ההסברה מטעמה ובפילוח לפי סוגי פעולות הסברה: בתרשים 4 - הוצאות משרד הבריאות ופקע"ר על פעולות הסברה וכן הוצאות גופים אחרים שפעלו מטעם הממשלה על מסעות פרסום; בתרשים 5 - הוצאות משרד הבריאות ופקע"ר על פעולות הסברה, בפילוח לסוגיהן</w:t>
      </w:r>
      <w:r>
        <w:rPr>
          <w:rStyle w:val="FootnoteReference1"/>
          <w:rtl/>
        </w:rPr>
        <w:footnoteReference w:id="9"/>
      </w:r>
      <w:r w:rsidRPr="00DC3374">
        <w:rPr>
          <w:rtl/>
        </w:rPr>
        <w:t>.</w:t>
      </w:r>
    </w:p>
    <w:p w:rsidR="00A66E79" w:rsidRPr="00DC3374" w:rsidP="00E81188" w14:paraId="0E046B0B" w14:textId="77777777">
      <w:pPr>
        <w:spacing w:line="269" w:lineRule="auto"/>
        <w:ind w:left="720" w:hanging="720"/>
        <w:rPr>
          <w:szCs w:val="20"/>
          <w:rtl/>
        </w:rPr>
      </w:pPr>
      <w:r w:rsidRPr="00DC3374">
        <w:rPr>
          <w:rtl/>
        </w:rPr>
        <w:br w:type="page"/>
      </w:r>
    </w:p>
    <w:p w:rsidR="00A66E79" w:rsidRPr="00DC3374" w:rsidP="00E81188" w14:paraId="5A8B3147" w14:textId="25F6AC0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28EE580C" w14:textId="77777777">
      <w:pPr>
        <w:spacing w:line="269" w:lineRule="auto"/>
        <w:jc w:val="center"/>
        <w:rPr>
          <w:b/>
          <w:bCs/>
          <w:sz w:val="24"/>
          <w:rtl/>
        </w:rPr>
      </w:pPr>
      <w:r w:rsidRPr="00DC3374">
        <w:rPr>
          <w:rFonts w:hint="eastAsia"/>
          <w:b/>
          <w:bCs/>
          <w:sz w:val="24"/>
          <w:rtl/>
        </w:rPr>
        <w:t>תרשים</w:t>
      </w:r>
      <w:r w:rsidRPr="00DC3374">
        <w:rPr>
          <w:b/>
          <w:bCs/>
          <w:sz w:val="24"/>
          <w:rtl/>
        </w:rPr>
        <w:t xml:space="preserve"> 4: נתוני ההוצאה על הסברת הקורונה</w:t>
      </w:r>
      <w:r w:rsidRPr="00DC3374">
        <w:rPr>
          <w:rFonts w:hint="cs"/>
          <w:b/>
          <w:bCs/>
          <w:sz w:val="24"/>
          <w:rtl/>
        </w:rPr>
        <w:t xml:space="preserve">, 2020 </w:t>
      </w:r>
      <w:r w:rsidRPr="00DC3374">
        <w:rPr>
          <w:b/>
          <w:bCs/>
          <w:sz w:val="24"/>
          <w:rtl/>
        </w:rPr>
        <w:t xml:space="preserve">(במיליון </w:t>
      </w:r>
      <w:r w:rsidRPr="00DC3374">
        <w:rPr>
          <w:rFonts w:hint="eastAsia"/>
          <w:b/>
          <w:bCs/>
          <w:sz w:val="24"/>
          <w:rtl/>
        </w:rPr>
        <w:t>ש</w:t>
      </w:r>
      <w:r w:rsidRPr="00DC3374">
        <w:rPr>
          <w:b/>
          <w:bCs/>
          <w:sz w:val="24"/>
          <w:rtl/>
        </w:rPr>
        <w:t>"ח)</w:t>
      </w:r>
    </w:p>
    <w:p w:rsidR="00A66E79" w:rsidP="00E81188" w14:paraId="5AB4835F" w14:textId="5BC40B76">
      <w:pPr>
        <w:spacing w:line="269" w:lineRule="auto"/>
        <w:jc w:val="center"/>
        <w:rPr>
          <w:b/>
          <w:bCs/>
          <w:sz w:val="24"/>
          <w:rtl/>
        </w:rPr>
      </w:pPr>
      <w:r w:rsidRPr="00DC3374">
        <w:rPr>
          <w:noProof/>
        </w:rPr>
        <w:drawing>
          <wp:inline distT="0" distB="0" distL="0" distR="0">
            <wp:extent cx="5699098" cy="1495425"/>
            <wp:effectExtent l="19050" t="19050" r="16510" b="9525"/>
            <wp:docPr id="1743882408" name="תמונה 1743882408" descr="C:\Users\michal_re\AppData\Local\Microsoft\Windows\INetCache\Content.Word\MR-Tarsh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67130" name="Picture 7" descr="C:\Users\michal_re\AppData\Local\Microsoft\Windows\INetCache\Content.Word\MR-Tarshim-4.jp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8534" cy="1505773"/>
                    </a:xfrm>
                    <a:prstGeom prst="rect">
                      <a:avLst/>
                    </a:prstGeom>
                    <a:noFill/>
                    <a:ln w="3175">
                      <a:solidFill>
                        <a:schemeClr val="bg1">
                          <a:lumMod val="75000"/>
                        </a:schemeClr>
                      </a:solidFill>
                    </a:ln>
                  </pic:spPr>
                </pic:pic>
              </a:graphicData>
            </a:graphic>
          </wp:inline>
        </w:drawing>
      </w:r>
    </w:p>
    <w:p w:rsidR="00A66E79" w:rsidRPr="00DC3374" w:rsidP="00E81188" w14:paraId="5A20CA7F" w14:textId="77777777">
      <w:pPr>
        <w:spacing w:line="269" w:lineRule="auto"/>
        <w:rPr>
          <w:szCs w:val="20"/>
          <w:rtl/>
        </w:rPr>
      </w:pPr>
      <w:r w:rsidRPr="00DC3374">
        <w:rPr>
          <w:rFonts w:hint="cs"/>
          <w:szCs w:val="20"/>
          <w:rtl/>
        </w:rPr>
        <w:t>על פי נתוני משרד הבריאות, לפ"ם ופקע"ר, בעיבוד משרד מבקר המדינה.</w:t>
      </w:r>
    </w:p>
    <w:p w:rsidR="00A66E79" w:rsidRPr="00DC3374" w:rsidP="00E81188" w14:paraId="3705550F" w14:textId="77777777">
      <w:pPr>
        <w:spacing w:line="269" w:lineRule="auto"/>
        <w:rPr>
          <w:rtl/>
        </w:rPr>
      </w:pPr>
      <w:r w:rsidRPr="00DC3374">
        <w:rPr>
          <w:rFonts w:hint="cs"/>
          <w:szCs w:val="20"/>
          <w:rtl/>
        </w:rPr>
        <w:t xml:space="preserve">* למעט משרד הבריאות ופקע"ר. הסכום כולל פרסומים שבוצעו באמצעות לפ"ם בלבד. </w:t>
      </w:r>
    </w:p>
    <w:p w:rsidR="00A66E79" w:rsidRPr="00DC3374" w:rsidP="00E81188" w14:paraId="629D0201" w14:textId="7A9FD77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3C62CD3C" w14:textId="77777777">
      <w:pPr>
        <w:spacing w:line="269" w:lineRule="auto"/>
        <w:jc w:val="center"/>
        <w:rPr>
          <w:b/>
          <w:bCs/>
          <w:rtl/>
        </w:rPr>
      </w:pPr>
      <w:r w:rsidRPr="00DC3374">
        <w:rPr>
          <w:rFonts w:hint="cs"/>
          <w:b/>
          <w:bCs/>
          <w:rtl/>
        </w:rPr>
        <w:t xml:space="preserve">תרשים 5: הוצאות משרד הבריאות ופקע"ר </w:t>
      </w:r>
    </w:p>
    <w:p w:rsidR="00A66E79" w:rsidRPr="00DC3374" w:rsidP="00E81188" w14:paraId="35684DB7" w14:textId="77777777">
      <w:pPr>
        <w:spacing w:line="269" w:lineRule="auto"/>
        <w:jc w:val="center"/>
        <w:rPr>
          <w:b/>
          <w:bCs/>
          <w:rtl/>
        </w:rPr>
      </w:pPr>
      <w:r w:rsidRPr="00DC3374">
        <w:rPr>
          <w:rFonts w:hint="cs"/>
          <w:b/>
          <w:bCs/>
          <w:rtl/>
        </w:rPr>
        <w:t xml:space="preserve">על פעולות הסברה </w:t>
      </w:r>
      <w:r w:rsidRPr="00DC3374">
        <w:rPr>
          <w:rFonts w:hint="eastAsia"/>
          <w:b/>
          <w:bCs/>
          <w:rtl/>
        </w:rPr>
        <w:t>בנושא</w:t>
      </w:r>
      <w:r w:rsidRPr="00DC3374">
        <w:rPr>
          <w:b/>
          <w:bCs/>
          <w:rtl/>
        </w:rPr>
        <w:t xml:space="preserve"> הקורונה</w:t>
      </w:r>
      <w:r w:rsidRPr="00DC3374">
        <w:rPr>
          <w:rFonts w:hint="cs"/>
          <w:b/>
          <w:bCs/>
          <w:rtl/>
        </w:rPr>
        <w:t xml:space="preserve">, 2020 </w:t>
      </w:r>
      <w:r w:rsidRPr="00DC3374">
        <w:rPr>
          <w:b/>
          <w:bCs/>
          <w:rtl/>
        </w:rPr>
        <w:t>(במיליון ש"ח)*</w:t>
      </w:r>
    </w:p>
    <w:p w:rsidR="00A66E79" w:rsidRPr="00DC3374" w:rsidP="00E81188" w14:paraId="5427121E" w14:textId="5F7354C8">
      <w:pPr>
        <w:spacing w:line="269" w:lineRule="auto"/>
        <w:jc w:val="center"/>
        <w:rPr>
          <w:b/>
          <w:bCs/>
          <w:rtl/>
        </w:rPr>
      </w:pPr>
      <w:r w:rsidRPr="00DC3374">
        <w:rPr>
          <w:noProof/>
        </w:rPr>
        <w:drawing>
          <wp:inline distT="0" distB="0" distL="0" distR="0">
            <wp:extent cx="5685814" cy="2108200"/>
            <wp:effectExtent l="19050" t="19050" r="10160" b="25400"/>
            <wp:docPr id="1" name="תמונה 1" descr="C:\Users\haim_sha\AppData\Local\Microsoft\Windows\INetCache\Content.Word\MR-Tarshi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37493" name="Picture 1" descr="C:\Users\haim_sha\AppData\Local\Microsoft\Windows\INetCache\Content.Word\MR-Tarshim-5.jp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686794" cy="2108563"/>
                    </a:xfrm>
                    <a:prstGeom prst="rect">
                      <a:avLst/>
                    </a:prstGeom>
                    <a:noFill/>
                    <a:ln w="3175">
                      <a:solidFill>
                        <a:sysClr val="window" lastClr="FFFFFF">
                          <a:lumMod val="75000"/>
                        </a:sysClr>
                      </a:solidFill>
                    </a:ln>
                  </pic:spPr>
                </pic:pic>
              </a:graphicData>
            </a:graphic>
          </wp:inline>
        </w:drawing>
      </w:r>
    </w:p>
    <w:p w:rsidR="00A66E79" w:rsidRPr="00DC3374" w:rsidP="00E81188" w14:paraId="79EEEF06" w14:textId="77777777">
      <w:pPr>
        <w:spacing w:line="269" w:lineRule="auto"/>
        <w:rPr>
          <w:szCs w:val="20"/>
          <w:rtl/>
        </w:rPr>
      </w:pPr>
      <w:r w:rsidRPr="00DC3374">
        <w:rPr>
          <w:rFonts w:hint="cs"/>
          <w:szCs w:val="20"/>
          <w:rtl/>
        </w:rPr>
        <w:t>על פי נתוני משרד הבריאות ונתוני פקע"ר, בעיבוד משרד מבקר המדינה.</w:t>
      </w:r>
    </w:p>
    <w:p w:rsidR="00A66E79" w:rsidRPr="00DC3374" w:rsidP="00E81188" w14:paraId="5E54A91F" w14:textId="77777777">
      <w:pPr>
        <w:spacing w:line="269" w:lineRule="auto"/>
        <w:ind w:right="-993"/>
        <w:rPr>
          <w:szCs w:val="20"/>
          <w:rtl/>
        </w:rPr>
      </w:pPr>
      <w:r w:rsidRPr="00DC3374">
        <w:rPr>
          <w:rFonts w:hint="cs"/>
          <w:szCs w:val="20"/>
          <w:rtl/>
        </w:rPr>
        <w:t>* הנתונים שהתקבלו מפקע"ר אינם כוללים הוצאה על כוח אדם, ולכן המידע לא נכלל בתרשים. הנתונים אינם כוללים את ההוצאה לשנת 2020 על הפעלת אגף ההסברה במשרד הבריאות (ללא יחב"ל) בסך 4.8 מיליון ש"ח. את נתוני משרד הבריאות מסר אגף התקציבים של המשרד.</w:t>
      </w:r>
    </w:p>
    <w:p w:rsidR="00A66E79" w:rsidRPr="00DC3374" w:rsidP="00E81188" w14:paraId="70E8F27C" w14:textId="3B1C990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33AB724A" w14:textId="77777777">
      <w:pPr>
        <w:spacing w:line="269" w:lineRule="auto"/>
        <w:rPr>
          <w:rtl/>
        </w:rPr>
      </w:pPr>
      <w:r w:rsidRPr="00DC3374">
        <w:rPr>
          <w:rFonts w:hint="eastAsia"/>
          <w:rtl/>
        </w:rPr>
        <w:t>מהתרשימים</w:t>
      </w:r>
      <w:r w:rsidRPr="00DC3374">
        <w:rPr>
          <w:rtl/>
        </w:rPr>
        <w:t xml:space="preserve"> </w:t>
      </w:r>
      <w:r w:rsidRPr="00DC3374">
        <w:rPr>
          <w:rFonts w:hint="eastAsia"/>
          <w:rtl/>
        </w:rPr>
        <w:t>עולה</w:t>
      </w:r>
      <w:r w:rsidRPr="00DC3374">
        <w:rPr>
          <w:rtl/>
        </w:rPr>
        <w:t xml:space="preserve"> </w:t>
      </w:r>
      <w:r w:rsidRPr="00DC3374">
        <w:rPr>
          <w:rFonts w:hint="eastAsia"/>
          <w:rtl/>
        </w:rPr>
        <w:t>כי</w:t>
      </w:r>
      <w:r w:rsidRPr="00DC3374">
        <w:rPr>
          <w:rFonts w:hint="cs"/>
          <w:rtl/>
        </w:rPr>
        <w:t xml:space="preserve"> רוב הוצאות ההסברה במשבר הקורונה היו הוצאות של משרד הבריאות, אשר עסק בעיקר בביצוע מסעות פרסום ובהפעלת מוקד מידע טלפוני. עם זאת, בהיעדר נתוני כוח האדם של פקע"ר, לא ניתן להעריך את היקף ההוצאות המלא שלו על ההסברה במשבר הקורונה. פעולות ההסברה של משרדי הממשלה כללו מסעות פרסום שעסקו בעיקר בנושאים כלכליים וכן בנושאי חינוך ורווחה.</w:t>
      </w:r>
    </w:p>
    <w:p w:rsidR="00A66E79" w:rsidRPr="00DC3374" w:rsidP="00E81188" w14:paraId="534C4272" w14:textId="77777777">
      <w:pPr>
        <w:spacing w:line="269" w:lineRule="auto"/>
        <w:ind w:left="720" w:hanging="720"/>
        <w:rPr>
          <w:rtl/>
        </w:rPr>
      </w:pPr>
      <w:r w:rsidRPr="00DC3374">
        <w:rPr>
          <w:rtl/>
        </w:rPr>
        <w:br w:type="page"/>
      </w:r>
    </w:p>
    <w:p w:rsidR="00A66E79" w:rsidRPr="00DC3374" w:rsidP="00E81188" w14:paraId="2F9DE6C8" w14:textId="77777777">
      <w:pPr>
        <w:pStyle w:val="Heading3"/>
        <w:spacing w:before="0" w:line="269" w:lineRule="auto"/>
        <w:rPr>
          <w:rtl/>
        </w:rPr>
      </w:pPr>
      <w:r w:rsidRPr="00DC3374">
        <w:rPr>
          <w:rFonts w:hint="cs"/>
          <w:rtl/>
        </w:rPr>
        <w:t>פעולות הביקורת</w:t>
      </w:r>
    </w:p>
    <w:p w:rsidR="00A66E79" w:rsidRPr="00DC3374" w:rsidP="00E81188" w14:paraId="57AB588D" w14:textId="4A0863C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63710784" w14:textId="77777777">
      <w:pPr>
        <w:spacing w:line="269" w:lineRule="auto"/>
        <w:rPr>
          <w:rtl/>
        </w:rPr>
      </w:pPr>
      <w:r w:rsidRPr="00DC3374">
        <w:rPr>
          <w:rFonts w:hint="cs"/>
          <w:rtl/>
        </w:rPr>
        <w:t>במשך השנים ביצע משרד מבקר המדינה כמה ביקורות שעסקו בניהול ההסברה בתקופת חירום</w:t>
      </w:r>
      <w:r>
        <w:rPr>
          <w:rStyle w:val="FootnoteReference1"/>
          <w:rtl/>
        </w:rPr>
        <w:footnoteReference w:id="10"/>
      </w:r>
      <w:r w:rsidRPr="00DC3374">
        <w:rPr>
          <w:rFonts w:hint="cs"/>
          <w:rtl/>
        </w:rPr>
        <w:t xml:space="preserve">. בחודשים מאי 2020 עד ינואר 2021 ביצע המשרד ביקורת בנושא "ההסברה לציבור במהלך משבר הקורונה". בביקורת נבדקו הנושאים האלה: אפקטיביות ההסברה ואמון הציבור; ההיערכות הלאומית להסברה במצב חירום אזרחי; </w:t>
      </w:r>
      <w:r w:rsidRPr="00DC3374">
        <w:rPr>
          <w:rtl/>
        </w:rPr>
        <w:t xml:space="preserve">מסירת מידע חיוני והנחיות לציבור באמצעות אתרי </w:t>
      </w:r>
      <w:r w:rsidRPr="00DC3374">
        <w:rPr>
          <w:rFonts w:hint="cs"/>
          <w:rtl/>
        </w:rPr>
        <w:t>ה</w:t>
      </w:r>
      <w:r w:rsidRPr="00DC3374">
        <w:rPr>
          <w:rtl/>
        </w:rPr>
        <w:t>אינטרנט ו</w:t>
      </w:r>
      <w:r w:rsidRPr="00DC3374">
        <w:rPr>
          <w:rFonts w:hint="cs"/>
          <w:rtl/>
        </w:rPr>
        <w:t>ה</w:t>
      </w:r>
      <w:r w:rsidRPr="00DC3374">
        <w:rPr>
          <w:rtl/>
        </w:rPr>
        <w:t xml:space="preserve">מוקדים </w:t>
      </w:r>
      <w:r w:rsidRPr="00DC3374">
        <w:rPr>
          <w:rFonts w:hint="cs"/>
          <w:rtl/>
        </w:rPr>
        <w:t>ה</w:t>
      </w:r>
      <w:r w:rsidRPr="00DC3374">
        <w:rPr>
          <w:rtl/>
        </w:rPr>
        <w:t>טלפוניים</w:t>
      </w:r>
      <w:r w:rsidRPr="00DC3374">
        <w:rPr>
          <w:rFonts w:hint="cs"/>
          <w:rtl/>
        </w:rPr>
        <w:t xml:space="preserve">; ההסברה לאוכלוסיות ייחודיות; </w:t>
      </w:r>
      <w:r w:rsidRPr="00DC3374">
        <w:rPr>
          <w:rtl/>
        </w:rPr>
        <w:t>הפרכת מידע כוזב והתמודדות עם עמדות הסותרות את המדיניות הממשלתית</w:t>
      </w:r>
      <w:r w:rsidRPr="00DC3374">
        <w:rPr>
          <w:rFonts w:hint="cs"/>
          <w:rtl/>
        </w:rPr>
        <w:t>. הביקורת התמקדה בחודשים ינואר עד אוקטובר 2020: לרבות בהיערכות שקדמה למשבר הקורונה בתקופת ההתרעה בטרם הגעת הנגיף לישראל, מינואר 2020; בחודשי הגל הראשון של המשבר והסגר הראשון במרץ 2020; עד סוף אוקטובר 2020 (לאחר סיום הסגר השני). הביקורת נעשתה במשרד רה"ם - במטה ההסברה הלאומי ובמל"ל; במשרד הבריאות; ובפקע"ר. בדיקות השלמה נעשו ברשות התקשוב הממשלתי, בלפ"ם ובמשטרת ישראל</w:t>
      </w:r>
      <w:r>
        <w:rPr>
          <w:rStyle w:val="FootnoteReference1"/>
          <w:rtl/>
        </w:rPr>
        <w:footnoteReference w:id="11"/>
      </w:r>
      <w:r w:rsidRPr="00DC3374">
        <w:rPr>
          <w:rFonts w:hint="cs"/>
          <w:rtl/>
        </w:rPr>
        <w:t>.</w:t>
      </w:r>
    </w:p>
    <w:p w:rsidR="00A66E79" w:rsidRPr="00DC3374" w:rsidP="00E81188" w14:paraId="023A3B2F" w14:textId="119D895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A66E79" w:rsidRPr="00DC3374" w:rsidP="00E81188" w14:paraId="0EFD2097" w14:textId="77777777">
      <w:pPr>
        <w:spacing w:line="269" w:lineRule="auto"/>
        <w:rPr>
          <w:rtl/>
        </w:rPr>
      </w:pPr>
      <w:r w:rsidRPr="00DC3374">
        <w:rPr>
          <w:rFonts w:hint="cs"/>
          <w:rtl/>
        </w:rPr>
        <w:t>נוסף על כך בחן משרד מבקר המדינה את עמדות הציבור בנוגע להסברה בתקופת הקורונה בשלושה אמצעים: האחד - סקר שנערך בחודש דצמבר 2020 והקיף 1,566 מרואיינים מהחברה היהודית הכללית, מהחברה הערבית ומהחברה החרדית, במדגמים מייצגים</w:t>
      </w:r>
      <w:r>
        <w:rPr>
          <w:rStyle w:val="FootnoteReference1"/>
          <w:rtl/>
        </w:rPr>
        <w:footnoteReference w:id="12"/>
      </w:r>
      <w:r w:rsidRPr="00DC3374">
        <w:rPr>
          <w:rFonts w:hint="cs"/>
          <w:rtl/>
        </w:rPr>
        <w:t>, בסיוע חברה שעוסקת במחקר סטטיסטי (להלן - הסקר); השני - מחקר הכולל ניתוח שיח ברשתות החברתיות ממרץ 2020 עד סוף אוקטובר 2020, בסיוע חברה שעוסקת באיסוף וניתוח מדיה חברתית. המחקר נערך בחודש דצמבר 2020 והקיף כ- 60,000 פוסטים שנוטרו ברשת</w:t>
      </w:r>
      <w:r>
        <w:rPr>
          <w:rStyle w:val="FootnoteReference1"/>
          <w:rtl/>
        </w:rPr>
        <w:footnoteReference w:id="13"/>
      </w:r>
      <w:r w:rsidRPr="00DC3374">
        <w:rPr>
          <w:rFonts w:hint="cs"/>
          <w:rtl/>
        </w:rPr>
        <w:t xml:space="preserve"> (להלן - ניתוח השיח ברשתות החברתיות); והשלישי -</w:t>
      </w:r>
      <w:r w:rsidRPr="00DC3374">
        <w:rPr>
          <w:rtl/>
        </w:rPr>
        <w:t xml:space="preserve"> במסגרת </w:t>
      </w:r>
      <w:r w:rsidRPr="00DC3374">
        <w:rPr>
          <w:rFonts w:hint="cs"/>
          <w:rtl/>
        </w:rPr>
        <w:t>המחקר לניתוח</w:t>
      </w:r>
      <w:r w:rsidRPr="00DC3374">
        <w:rPr>
          <w:rtl/>
        </w:rPr>
        <w:t xml:space="preserve"> השיח ברשתות החברתיות </w:t>
      </w:r>
      <w:r w:rsidRPr="00DC3374">
        <w:rPr>
          <w:rFonts w:hint="cs"/>
          <w:rtl/>
        </w:rPr>
        <w:t xml:space="preserve">נבחנה </w:t>
      </w:r>
      <w:r w:rsidRPr="00DC3374">
        <w:rPr>
          <w:rtl/>
        </w:rPr>
        <w:t>השפעת ההתבטאויות של מומחים הסותרות את המדיניות הממשלתית הרשמית על אמון הציבור ועמדותיו</w:t>
      </w:r>
      <w:r w:rsidRPr="00DC3374">
        <w:rPr>
          <w:rFonts w:hint="cs"/>
          <w:rtl/>
        </w:rPr>
        <w:t>.</w:t>
      </w:r>
    </w:p>
    <w:p w:rsidR="00A66E79" w:rsidRPr="00DC3374" w:rsidP="00E81188" w14:paraId="1FD80246" w14:textId="0DDC5A71">
      <w:pPr>
        <w:spacing w:line="269" w:lineRule="auto"/>
        <w:ind w:left="720" w:hanging="720"/>
        <w:rPr>
          <w:rtl/>
        </w:rPr>
      </w:pPr>
    </w:p>
    <w:p w:rsidR="000E0219" w:rsidP="00E81188" w14:paraId="71C23787" w14:textId="77777777">
      <w:pPr>
        <w:spacing w:line="269" w:lineRule="auto"/>
        <w:ind w:left="720" w:hanging="720"/>
        <w:rPr>
          <w:rFonts w:eastAsiaTheme="majorEastAsia"/>
          <w:bCs/>
          <w:szCs w:val="32"/>
          <w:rtl/>
        </w:rPr>
      </w:pPr>
      <w:r>
        <w:rPr>
          <w:rtl/>
        </w:rPr>
        <w:br w:type="page"/>
      </w:r>
    </w:p>
    <w:p w:rsidR="00E92F67" w:rsidRPr="00DC3374" w:rsidP="00E81188" w14:paraId="1C14BCBA" w14:textId="313FA5A3">
      <w:pPr>
        <w:pStyle w:val="Heading2"/>
        <w:spacing w:before="0" w:line="269" w:lineRule="auto"/>
        <w:rPr>
          <w:rtl/>
        </w:rPr>
      </w:pPr>
      <w:r w:rsidRPr="00DC3374">
        <w:rPr>
          <w:rFonts w:hint="cs"/>
          <w:rtl/>
        </w:rPr>
        <w:t>אפקטיביות ההסברה ואמון הציבור - תמונת מצב</w:t>
      </w:r>
    </w:p>
    <w:p w:rsidR="00E92F67" w:rsidRPr="00DC3374" w:rsidP="00E81188" w14:paraId="6298ED95" w14:textId="62661E5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FDF47F2" w14:textId="77777777">
      <w:pPr>
        <w:spacing w:line="269" w:lineRule="auto"/>
        <w:rPr>
          <w:rtl/>
        </w:rPr>
      </w:pPr>
      <w:r w:rsidRPr="00DC3374">
        <w:rPr>
          <w:rFonts w:asciiTheme="minorHAnsi" w:hAnsiTheme="minorHAnsi" w:hint="eastAsia"/>
          <w:sz w:val="22"/>
          <w:rtl/>
        </w:rPr>
        <w:t>אמון</w:t>
      </w:r>
      <w:r w:rsidRPr="00DC3374">
        <w:rPr>
          <w:rFonts w:asciiTheme="minorHAnsi" w:hAnsiTheme="minorHAnsi"/>
          <w:sz w:val="22"/>
          <w:rtl/>
        </w:rPr>
        <w:t xml:space="preserve"> </w:t>
      </w:r>
      <w:r w:rsidRPr="00DC3374">
        <w:rPr>
          <w:rFonts w:asciiTheme="minorHAnsi" w:hAnsiTheme="minorHAnsi" w:hint="eastAsia"/>
          <w:sz w:val="22"/>
          <w:rtl/>
        </w:rPr>
        <w:t>הציבור</w:t>
      </w:r>
      <w:r w:rsidRPr="00DC3374">
        <w:rPr>
          <w:rFonts w:asciiTheme="minorHAnsi" w:hAnsiTheme="minorHAnsi"/>
          <w:sz w:val="22"/>
          <w:rtl/>
        </w:rPr>
        <w:t xml:space="preserve"> </w:t>
      </w:r>
      <w:r w:rsidRPr="00DC3374">
        <w:rPr>
          <w:rFonts w:asciiTheme="minorHAnsi" w:hAnsiTheme="minorHAnsi" w:hint="eastAsia"/>
          <w:sz w:val="22"/>
          <w:rtl/>
        </w:rPr>
        <w:t>הוא</w:t>
      </w:r>
      <w:r w:rsidRPr="00DC3374">
        <w:rPr>
          <w:rFonts w:asciiTheme="minorHAnsi" w:hAnsiTheme="minorHAnsi"/>
          <w:sz w:val="22"/>
          <w:rtl/>
        </w:rPr>
        <w:t xml:space="preserve"> </w:t>
      </w:r>
      <w:r w:rsidRPr="00DC3374">
        <w:rPr>
          <w:rFonts w:asciiTheme="minorHAnsi" w:hAnsiTheme="minorHAnsi" w:hint="eastAsia"/>
          <w:sz w:val="22"/>
          <w:rtl/>
        </w:rPr>
        <w:t>עקרון</w:t>
      </w:r>
      <w:r w:rsidRPr="00DC3374">
        <w:rPr>
          <w:rFonts w:asciiTheme="minorHAnsi" w:hAnsiTheme="minorHAnsi"/>
          <w:sz w:val="22"/>
          <w:rtl/>
        </w:rPr>
        <w:t xml:space="preserve"> </w:t>
      </w:r>
      <w:r w:rsidRPr="00DC3374">
        <w:rPr>
          <w:rFonts w:asciiTheme="minorHAnsi" w:hAnsiTheme="minorHAnsi" w:hint="eastAsia"/>
          <w:sz w:val="22"/>
          <w:rtl/>
        </w:rPr>
        <w:t>מפתח</w:t>
      </w:r>
      <w:r w:rsidRPr="00DC3374">
        <w:rPr>
          <w:rFonts w:asciiTheme="minorHAnsi" w:hAnsiTheme="minorHAnsi"/>
          <w:sz w:val="22"/>
          <w:rtl/>
        </w:rPr>
        <w:t xml:space="preserve"> </w:t>
      </w:r>
      <w:r w:rsidRPr="00DC3374">
        <w:rPr>
          <w:rFonts w:asciiTheme="minorHAnsi" w:hAnsiTheme="minorHAnsi" w:hint="eastAsia"/>
          <w:sz w:val="22"/>
          <w:rtl/>
        </w:rPr>
        <w:t>בהתמודדות</w:t>
      </w:r>
      <w:r w:rsidRPr="00DC3374">
        <w:rPr>
          <w:rFonts w:asciiTheme="minorHAnsi" w:hAnsiTheme="minorHAnsi"/>
          <w:sz w:val="22"/>
          <w:rtl/>
        </w:rPr>
        <w:t xml:space="preserve"> </w:t>
      </w:r>
      <w:r w:rsidRPr="00DC3374">
        <w:rPr>
          <w:rFonts w:asciiTheme="minorHAnsi" w:hAnsiTheme="minorHAnsi" w:hint="cs"/>
          <w:sz w:val="22"/>
          <w:rtl/>
        </w:rPr>
        <w:t>ה</w:t>
      </w:r>
      <w:r w:rsidRPr="00DC3374">
        <w:rPr>
          <w:rFonts w:asciiTheme="minorHAnsi" w:hAnsiTheme="minorHAnsi" w:hint="eastAsia"/>
          <w:sz w:val="22"/>
          <w:rtl/>
        </w:rPr>
        <w:t>הסברתית</w:t>
      </w:r>
      <w:r w:rsidRPr="00DC3374">
        <w:rPr>
          <w:rFonts w:asciiTheme="minorHAnsi" w:hAnsiTheme="minorHAnsi"/>
          <w:sz w:val="22"/>
          <w:rtl/>
        </w:rPr>
        <w:t xml:space="preserve"> </w:t>
      </w:r>
      <w:r w:rsidRPr="00DC3374">
        <w:rPr>
          <w:rFonts w:asciiTheme="minorHAnsi" w:hAnsiTheme="minorHAnsi" w:hint="eastAsia"/>
          <w:sz w:val="22"/>
          <w:rtl/>
        </w:rPr>
        <w:t>עם</w:t>
      </w:r>
      <w:r w:rsidRPr="00DC3374">
        <w:rPr>
          <w:rFonts w:asciiTheme="minorHAnsi" w:hAnsiTheme="minorHAnsi"/>
          <w:sz w:val="22"/>
          <w:rtl/>
        </w:rPr>
        <w:t xml:space="preserve"> </w:t>
      </w:r>
      <w:r w:rsidRPr="00DC3374">
        <w:rPr>
          <w:rFonts w:asciiTheme="minorHAnsi" w:hAnsiTheme="minorHAnsi" w:hint="eastAsia"/>
          <w:sz w:val="22"/>
          <w:rtl/>
        </w:rPr>
        <w:t>משבר</w:t>
      </w:r>
      <w:r w:rsidRPr="00DC3374">
        <w:rPr>
          <w:rFonts w:asciiTheme="minorHAnsi" w:hAnsiTheme="minorHAnsi"/>
          <w:sz w:val="22"/>
          <w:rtl/>
        </w:rPr>
        <w:t xml:space="preserve"> </w:t>
      </w:r>
      <w:r w:rsidRPr="00DC3374">
        <w:rPr>
          <w:rFonts w:asciiTheme="minorHAnsi" w:hAnsiTheme="minorHAnsi" w:hint="eastAsia"/>
          <w:sz w:val="22"/>
          <w:rtl/>
        </w:rPr>
        <w:t>בריאותי</w:t>
      </w:r>
      <w:r w:rsidRPr="00DC3374">
        <w:rPr>
          <w:rFonts w:asciiTheme="minorHAnsi" w:hAnsiTheme="minorHAnsi" w:hint="cs"/>
          <w:sz w:val="22"/>
          <w:rtl/>
        </w:rPr>
        <w:t xml:space="preserve"> ואחת</w:t>
      </w:r>
      <w:r w:rsidRPr="00DC3374">
        <w:rPr>
          <w:rFonts w:asciiTheme="minorHAnsi" w:hAnsiTheme="minorHAnsi"/>
          <w:sz w:val="22"/>
          <w:rtl/>
        </w:rPr>
        <w:t xml:space="preserve"> </w:t>
      </w:r>
      <w:r w:rsidRPr="00DC3374">
        <w:rPr>
          <w:rFonts w:asciiTheme="minorHAnsi" w:hAnsiTheme="minorHAnsi" w:hint="eastAsia"/>
          <w:sz w:val="22"/>
          <w:rtl/>
        </w:rPr>
        <w:t>ממטרות</w:t>
      </w:r>
      <w:r w:rsidRPr="00DC3374">
        <w:rPr>
          <w:rFonts w:asciiTheme="minorHAnsi" w:hAnsiTheme="minorHAnsi"/>
          <w:sz w:val="22"/>
          <w:rtl/>
        </w:rPr>
        <w:t xml:space="preserve"> </w:t>
      </w:r>
      <w:r w:rsidRPr="00DC3374">
        <w:rPr>
          <w:rFonts w:asciiTheme="minorHAnsi" w:hAnsiTheme="minorHAnsi" w:hint="eastAsia"/>
          <w:sz w:val="22"/>
          <w:rtl/>
        </w:rPr>
        <w:t>ההסברה</w:t>
      </w:r>
      <w:r w:rsidRPr="00DC3374">
        <w:rPr>
          <w:rFonts w:asciiTheme="minorHAnsi" w:hAnsiTheme="minorHAnsi" w:hint="cs"/>
          <w:sz w:val="22"/>
          <w:rtl/>
        </w:rPr>
        <w:t>, והשגתו תלויה בכמה משתנים וגורמים</w:t>
      </w:r>
      <w:r w:rsidRPr="00DC3374">
        <w:rPr>
          <w:rFonts w:asciiTheme="minorHAnsi" w:hAnsiTheme="minorHAnsi"/>
          <w:sz w:val="22"/>
          <w:rtl/>
        </w:rPr>
        <w:t xml:space="preserve">. </w:t>
      </w:r>
      <w:r w:rsidRPr="00DC3374">
        <w:rPr>
          <w:rFonts w:asciiTheme="minorHAnsi" w:hAnsiTheme="minorHAnsi" w:hint="eastAsia"/>
          <w:sz w:val="22"/>
          <w:rtl/>
        </w:rPr>
        <w:t>כאשר</w:t>
      </w:r>
      <w:r w:rsidRPr="00DC3374">
        <w:rPr>
          <w:rFonts w:asciiTheme="minorHAnsi" w:hAnsiTheme="minorHAnsi"/>
          <w:sz w:val="22"/>
          <w:rtl/>
        </w:rPr>
        <w:t xml:space="preserve"> הציבור נותן </w:t>
      </w:r>
      <w:r w:rsidRPr="00DC3374">
        <w:rPr>
          <w:rFonts w:asciiTheme="minorHAnsi" w:hAnsiTheme="minorHAnsi" w:hint="eastAsia"/>
          <w:sz w:val="22"/>
          <w:rtl/>
        </w:rPr>
        <w:t>אמון</w:t>
      </w:r>
      <w:r w:rsidRPr="00DC3374">
        <w:rPr>
          <w:rFonts w:asciiTheme="minorHAnsi" w:hAnsiTheme="minorHAnsi"/>
          <w:sz w:val="22"/>
          <w:rtl/>
        </w:rPr>
        <w:t xml:space="preserve"> בגורמי הממשל ובהנחיותיהם, </w:t>
      </w:r>
      <w:r w:rsidRPr="00DC3374">
        <w:rPr>
          <w:rFonts w:asciiTheme="minorHAnsi" w:hAnsiTheme="minorHAnsi" w:hint="eastAsia"/>
          <w:sz w:val="22"/>
          <w:rtl/>
        </w:rPr>
        <w:t>גדל</w:t>
      </w:r>
      <w:r w:rsidRPr="00DC3374">
        <w:rPr>
          <w:rFonts w:asciiTheme="minorHAnsi" w:hAnsiTheme="minorHAnsi"/>
          <w:sz w:val="22"/>
          <w:rtl/>
        </w:rPr>
        <w:t xml:space="preserve"> </w:t>
      </w:r>
      <w:r w:rsidRPr="00DC3374">
        <w:rPr>
          <w:rFonts w:asciiTheme="minorHAnsi" w:hAnsiTheme="minorHAnsi" w:hint="eastAsia"/>
          <w:sz w:val="22"/>
          <w:rtl/>
        </w:rPr>
        <w:t>הסיכוי</w:t>
      </w:r>
      <w:r w:rsidRPr="00DC3374">
        <w:rPr>
          <w:rFonts w:asciiTheme="minorHAnsi" w:hAnsiTheme="minorHAnsi"/>
          <w:sz w:val="22"/>
          <w:rtl/>
        </w:rPr>
        <w:t xml:space="preserve"> </w:t>
      </w:r>
      <w:r w:rsidRPr="00DC3374">
        <w:rPr>
          <w:rFonts w:asciiTheme="minorHAnsi" w:hAnsiTheme="minorHAnsi" w:hint="eastAsia"/>
          <w:sz w:val="22"/>
          <w:rtl/>
        </w:rPr>
        <w:t>שהוא</w:t>
      </w:r>
      <w:r w:rsidRPr="00DC3374">
        <w:rPr>
          <w:rFonts w:asciiTheme="minorHAnsi" w:hAnsiTheme="minorHAnsi"/>
          <w:sz w:val="22"/>
          <w:rtl/>
        </w:rPr>
        <w:t xml:space="preserve"> </w:t>
      </w:r>
      <w:r w:rsidRPr="00DC3374">
        <w:rPr>
          <w:rFonts w:asciiTheme="minorHAnsi" w:hAnsiTheme="minorHAnsi" w:hint="eastAsia"/>
          <w:sz w:val="22"/>
          <w:rtl/>
        </w:rPr>
        <w:t>יציית</w:t>
      </w:r>
      <w:r w:rsidRPr="00DC3374">
        <w:rPr>
          <w:rFonts w:asciiTheme="minorHAnsi" w:hAnsiTheme="minorHAnsi"/>
          <w:sz w:val="22"/>
          <w:rtl/>
        </w:rPr>
        <w:t xml:space="preserve"> </w:t>
      </w:r>
      <w:r w:rsidRPr="00DC3374">
        <w:rPr>
          <w:rFonts w:asciiTheme="minorHAnsi" w:hAnsiTheme="minorHAnsi" w:hint="eastAsia"/>
          <w:sz w:val="22"/>
          <w:rtl/>
        </w:rPr>
        <w:t>להן</w:t>
      </w:r>
      <w:r w:rsidRPr="00DC3374">
        <w:rPr>
          <w:rFonts w:asciiTheme="minorHAnsi" w:hAnsiTheme="minorHAnsi"/>
          <w:sz w:val="22"/>
          <w:rtl/>
        </w:rPr>
        <w:t xml:space="preserve">. כדי לזכות באמון הציבור ולשמר אותו יש </w:t>
      </w:r>
      <w:r w:rsidRPr="00DC3374">
        <w:rPr>
          <w:rFonts w:asciiTheme="minorHAnsi" w:hAnsiTheme="minorHAnsi" w:hint="eastAsia"/>
          <w:sz w:val="22"/>
          <w:rtl/>
        </w:rPr>
        <w:t>לשקף</w:t>
      </w:r>
      <w:r w:rsidRPr="00DC3374">
        <w:rPr>
          <w:rFonts w:asciiTheme="minorHAnsi" w:hAnsiTheme="minorHAnsi"/>
          <w:sz w:val="22"/>
          <w:rtl/>
        </w:rPr>
        <w:t xml:space="preserve"> לו את </w:t>
      </w:r>
      <w:r w:rsidRPr="00DC3374">
        <w:rPr>
          <w:rFonts w:asciiTheme="minorHAnsi" w:hAnsiTheme="minorHAnsi" w:hint="eastAsia"/>
          <w:sz w:val="22"/>
          <w:rtl/>
        </w:rPr>
        <w:t>המידע</w:t>
      </w:r>
      <w:r w:rsidRPr="00DC3374">
        <w:rPr>
          <w:rFonts w:asciiTheme="minorHAnsi" w:hAnsiTheme="minorHAnsi"/>
          <w:sz w:val="22"/>
          <w:rtl/>
        </w:rPr>
        <w:t xml:space="preserve"> שבידי </w:t>
      </w:r>
      <w:r w:rsidRPr="00DC3374">
        <w:rPr>
          <w:rFonts w:asciiTheme="minorHAnsi" w:hAnsiTheme="minorHAnsi" w:hint="eastAsia"/>
          <w:sz w:val="22"/>
          <w:rtl/>
        </w:rPr>
        <w:t>רשויות</w:t>
      </w:r>
      <w:r w:rsidRPr="00DC3374">
        <w:rPr>
          <w:rFonts w:asciiTheme="minorHAnsi" w:hAnsiTheme="minorHAnsi"/>
          <w:sz w:val="22"/>
          <w:rtl/>
        </w:rPr>
        <w:t xml:space="preserve"> הממשל; </w:t>
      </w:r>
      <w:r w:rsidRPr="00DC3374">
        <w:rPr>
          <w:rFonts w:asciiTheme="minorHAnsi" w:hAnsiTheme="minorHAnsi" w:hint="eastAsia"/>
          <w:sz w:val="22"/>
          <w:rtl/>
        </w:rPr>
        <w:t>להציג</w:t>
      </w:r>
      <w:r w:rsidRPr="00DC3374">
        <w:rPr>
          <w:rFonts w:asciiTheme="minorHAnsi" w:hAnsiTheme="minorHAnsi"/>
          <w:sz w:val="22"/>
          <w:rtl/>
        </w:rPr>
        <w:t xml:space="preserve"> לו את שיקולי הממשל בבחירה בין חלופות שונות לדרכי התמודדות עם המשבר </w:t>
      </w:r>
      <w:r w:rsidRPr="00DC3374">
        <w:rPr>
          <w:rFonts w:asciiTheme="minorHAnsi" w:hAnsiTheme="minorHAnsi" w:hint="eastAsia"/>
          <w:sz w:val="22"/>
          <w:rtl/>
        </w:rPr>
        <w:t>ולהעריך</w:t>
      </w:r>
      <w:r w:rsidRPr="00DC3374">
        <w:rPr>
          <w:rFonts w:asciiTheme="minorHAnsi" w:hAnsiTheme="minorHAnsi"/>
          <w:sz w:val="22"/>
          <w:rtl/>
        </w:rPr>
        <w:t xml:space="preserve"> </w:t>
      </w:r>
      <w:r w:rsidRPr="00DC3374">
        <w:rPr>
          <w:rFonts w:asciiTheme="minorHAnsi" w:hAnsiTheme="minorHAnsi" w:hint="eastAsia"/>
          <w:sz w:val="22"/>
          <w:rtl/>
        </w:rPr>
        <w:t>את</w:t>
      </w:r>
      <w:r w:rsidRPr="00DC3374">
        <w:rPr>
          <w:rFonts w:asciiTheme="minorHAnsi" w:hAnsiTheme="minorHAnsi"/>
          <w:sz w:val="22"/>
          <w:rtl/>
        </w:rPr>
        <w:t xml:space="preserve"> </w:t>
      </w:r>
      <w:r w:rsidRPr="00DC3374">
        <w:rPr>
          <w:rFonts w:asciiTheme="minorHAnsi" w:hAnsiTheme="minorHAnsi" w:hint="eastAsia"/>
          <w:sz w:val="22"/>
          <w:rtl/>
        </w:rPr>
        <w:t>הסיכונים</w:t>
      </w:r>
      <w:r w:rsidRPr="00DC3374">
        <w:rPr>
          <w:rFonts w:asciiTheme="minorHAnsi" w:hAnsiTheme="minorHAnsi"/>
          <w:sz w:val="22"/>
          <w:rtl/>
        </w:rPr>
        <w:t xml:space="preserve"> </w:t>
      </w:r>
      <w:r w:rsidRPr="00DC3374">
        <w:rPr>
          <w:rFonts w:asciiTheme="minorHAnsi" w:hAnsiTheme="minorHAnsi" w:hint="eastAsia"/>
          <w:sz w:val="22"/>
          <w:rtl/>
        </w:rPr>
        <w:t>הטמונים</w:t>
      </w:r>
      <w:r w:rsidRPr="00DC3374">
        <w:rPr>
          <w:rFonts w:asciiTheme="minorHAnsi" w:hAnsiTheme="minorHAnsi"/>
          <w:sz w:val="22"/>
          <w:rtl/>
        </w:rPr>
        <w:t xml:space="preserve"> בחלופות </w:t>
      </w:r>
      <w:r w:rsidRPr="00DC3374">
        <w:rPr>
          <w:rFonts w:asciiTheme="minorHAnsi" w:hAnsiTheme="minorHAnsi" w:hint="eastAsia"/>
          <w:sz w:val="22"/>
          <w:rtl/>
        </w:rPr>
        <w:t>השונות</w:t>
      </w:r>
      <w:r w:rsidRPr="00DC3374">
        <w:rPr>
          <w:rFonts w:asciiTheme="minorHAnsi" w:hAnsiTheme="minorHAnsi"/>
          <w:sz w:val="22"/>
          <w:rtl/>
        </w:rPr>
        <w:t xml:space="preserve">; </w:t>
      </w:r>
      <w:r w:rsidRPr="00DC3374">
        <w:rPr>
          <w:rFonts w:asciiTheme="minorHAnsi" w:hAnsiTheme="minorHAnsi" w:hint="cs"/>
          <w:sz w:val="22"/>
          <w:rtl/>
        </w:rPr>
        <w:t>להציג אסטרטגיה בהירה לטווח הארוך</w:t>
      </w:r>
      <w:r w:rsidRPr="00DC3374">
        <w:rPr>
          <w:rFonts w:asciiTheme="minorHAnsi" w:hAnsiTheme="minorHAnsi"/>
          <w:sz w:val="22"/>
          <w:rtl/>
        </w:rPr>
        <w:t xml:space="preserve">; </w:t>
      </w:r>
      <w:r w:rsidRPr="00DC3374">
        <w:rPr>
          <w:rFonts w:hint="cs"/>
          <w:rtl/>
        </w:rPr>
        <w:t>ולהעדיף ניסוח הנחיות באמצעות מסרים המעודדים את הציבור להירתם למאמץ על פני מסרי הרתעה ואיום בענישה על אלו שלא יצייתו</w:t>
      </w:r>
      <w:r w:rsidRPr="00DC3374">
        <w:rPr>
          <w:rFonts w:asciiTheme="minorHAnsi" w:hAnsiTheme="minorHAnsi"/>
          <w:sz w:val="22"/>
          <w:rtl/>
        </w:rPr>
        <w:t xml:space="preserve">. </w:t>
      </w:r>
    </w:p>
    <w:p w:rsidR="00E92F67" w:rsidRPr="00DC3374" w:rsidP="00E81188" w14:paraId="53D7C815" w14:textId="161877B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823BE2D" w14:textId="77777777">
      <w:pPr>
        <w:spacing w:line="269" w:lineRule="auto"/>
        <w:rPr>
          <w:rtl/>
        </w:rPr>
      </w:pPr>
      <w:r w:rsidRPr="00DC3374">
        <w:rPr>
          <w:rFonts w:hint="cs"/>
          <w:rtl/>
        </w:rPr>
        <w:t>ה</w:t>
      </w:r>
      <w:r w:rsidRPr="00DC3374">
        <w:rPr>
          <w:rFonts w:hint="eastAsia"/>
          <w:rtl/>
        </w:rPr>
        <w:t>צורך</w:t>
      </w:r>
      <w:r w:rsidRPr="00DC3374">
        <w:rPr>
          <w:rtl/>
        </w:rPr>
        <w:t xml:space="preserve"> </w:t>
      </w:r>
      <w:r w:rsidRPr="00DC3374">
        <w:rPr>
          <w:rFonts w:hint="cs"/>
          <w:rtl/>
        </w:rPr>
        <w:t>ה</w:t>
      </w:r>
      <w:r w:rsidRPr="00DC3374">
        <w:rPr>
          <w:rtl/>
        </w:rPr>
        <w:t xml:space="preserve">מרכזי של </w:t>
      </w:r>
      <w:r w:rsidRPr="00DC3374">
        <w:rPr>
          <w:rFonts w:hint="eastAsia"/>
          <w:rtl/>
        </w:rPr>
        <w:t>תושב</w:t>
      </w:r>
      <w:r w:rsidRPr="00DC3374">
        <w:rPr>
          <w:rtl/>
        </w:rPr>
        <w:t xml:space="preserve"> המדינה </w:t>
      </w:r>
      <w:r w:rsidRPr="00DC3374">
        <w:rPr>
          <w:rFonts w:hint="eastAsia"/>
          <w:rtl/>
        </w:rPr>
        <w:t>בהתמודדות</w:t>
      </w:r>
      <w:r w:rsidRPr="00DC3374">
        <w:rPr>
          <w:rtl/>
        </w:rPr>
        <w:t xml:space="preserve"> </w:t>
      </w:r>
      <w:r w:rsidRPr="00DC3374">
        <w:rPr>
          <w:rFonts w:hint="eastAsia"/>
          <w:rtl/>
        </w:rPr>
        <w:t>עם</w:t>
      </w:r>
      <w:r w:rsidRPr="00DC3374">
        <w:rPr>
          <w:rtl/>
        </w:rPr>
        <w:t xml:space="preserve"> אירוע חירום </w:t>
      </w:r>
      <w:r w:rsidRPr="00DC3374">
        <w:rPr>
          <w:rFonts w:hint="eastAsia"/>
          <w:rtl/>
        </w:rPr>
        <w:t>הוא</w:t>
      </w:r>
      <w:r w:rsidRPr="00DC3374">
        <w:rPr>
          <w:rtl/>
        </w:rPr>
        <w:t xml:space="preserve"> ב</w:t>
      </w:r>
      <w:r w:rsidRPr="00DC3374">
        <w:rPr>
          <w:rFonts w:hint="cs"/>
          <w:rtl/>
        </w:rPr>
        <w:t>קבלת מ</w:t>
      </w:r>
      <w:r w:rsidRPr="00DC3374">
        <w:rPr>
          <w:rtl/>
        </w:rPr>
        <w:t>ידע</w:t>
      </w:r>
      <w:r w:rsidRPr="00DC3374">
        <w:rPr>
          <w:rFonts w:hint="cs"/>
          <w:rtl/>
        </w:rPr>
        <w:t>, ובכלל זה מידע כללי הנוגע למשבר ודרכי הפעולה שנוקטים גורמי הממשל להתמודדות איתו, לרבות ההגבלות על שגרת החיים</w:t>
      </w:r>
      <w:r w:rsidRPr="00DC3374">
        <w:rPr>
          <w:rtl/>
        </w:rPr>
        <w:t xml:space="preserve">. </w:t>
      </w:r>
      <w:r w:rsidRPr="00DC3374">
        <w:rPr>
          <w:rFonts w:hint="eastAsia"/>
          <w:rtl/>
        </w:rPr>
        <w:t>את</w:t>
      </w:r>
      <w:r w:rsidRPr="00DC3374">
        <w:rPr>
          <w:rtl/>
        </w:rPr>
        <w:t xml:space="preserve"> </w:t>
      </w:r>
      <w:r w:rsidRPr="00DC3374">
        <w:rPr>
          <w:rFonts w:hint="eastAsia"/>
          <w:rtl/>
        </w:rPr>
        <w:t>המידע</w:t>
      </w:r>
      <w:r w:rsidRPr="00DC3374">
        <w:rPr>
          <w:rtl/>
        </w:rPr>
        <w:t xml:space="preserve"> </w:t>
      </w:r>
      <w:r w:rsidRPr="00DC3374">
        <w:rPr>
          <w:rFonts w:hint="eastAsia"/>
          <w:rtl/>
        </w:rPr>
        <w:t>יש</w:t>
      </w:r>
      <w:r w:rsidRPr="00DC3374">
        <w:rPr>
          <w:rtl/>
        </w:rPr>
        <w:t xml:space="preserve"> </w:t>
      </w:r>
      <w:r w:rsidRPr="00DC3374">
        <w:rPr>
          <w:rFonts w:hint="eastAsia"/>
          <w:rtl/>
        </w:rPr>
        <w:t>להעביר</w:t>
      </w:r>
      <w:r w:rsidRPr="00DC3374">
        <w:rPr>
          <w:rtl/>
        </w:rPr>
        <w:t xml:space="preserve"> </w:t>
      </w:r>
      <w:r w:rsidRPr="00DC3374">
        <w:rPr>
          <w:rFonts w:hint="eastAsia"/>
          <w:rtl/>
        </w:rPr>
        <w:t>בשפה</w:t>
      </w:r>
      <w:r w:rsidRPr="00DC3374">
        <w:rPr>
          <w:rtl/>
        </w:rPr>
        <w:t xml:space="preserve"> </w:t>
      </w:r>
      <w:r w:rsidRPr="00DC3374">
        <w:rPr>
          <w:rFonts w:hint="eastAsia"/>
          <w:rtl/>
        </w:rPr>
        <w:t>בהירה</w:t>
      </w:r>
      <w:r w:rsidRPr="00DC3374">
        <w:rPr>
          <w:rtl/>
        </w:rPr>
        <w:t xml:space="preserve"> </w:t>
      </w:r>
      <w:r w:rsidRPr="00DC3374">
        <w:rPr>
          <w:rFonts w:hint="eastAsia"/>
          <w:rtl/>
        </w:rPr>
        <w:t>ופשוטה</w:t>
      </w:r>
      <w:r w:rsidRPr="00DC3374">
        <w:rPr>
          <w:rtl/>
        </w:rPr>
        <w:t xml:space="preserve"> </w:t>
      </w:r>
      <w:r w:rsidRPr="00DC3374">
        <w:rPr>
          <w:rFonts w:hint="eastAsia"/>
          <w:rtl/>
        </w:rPr>
        <w:t>המובנת</w:t>
      </w:r>
      <w:r w:rsidRPr="00DC3374">
        <w:rPr>
          <w:rtl/>
        </w:rPr>
        <w:t xml:space="preserve"> </w:t>
      </w:r>
      <w:r w:rsidRPr="00DC3374">
        <w:rPr>
          <w:rFonts w:hint="eastAsia"/>
          <w:rtl/>
        </w:rPr>
        <w:t>לכל</w:t>
      </w:r>
      <w:r w:rsidRPr="00DC3374">
        <w:rPr>
          <w:rtl/>
        </w:rPr>
        <w:t xml:space="preserve">. </w:t>
      </w:r>
      <w:r w:rsidRPr="00DC3374">
        <w:rPr>
          <w:rFonts w:hint="eastAsia"/>
          <w:rtl/>
        </w:rPr>
        <w:t>כדי</w:t>
      </w:r>
      <w:r w:rsidRPr="00DC3374">
        <w:rPr>
          <w:rtl/>
        </w:rPr>
        <w:t xml:space="preserve"> שהציבור יאמין למידע </w:t>
      </w:r>
      <w:r w:rsidRPr="00DC3374">
        <w:rPr>
          <w:rFonts w:hint="eastAsia"/>
          <w:rtl/>
        </w:rPr>
        <w:t>הנמסר</w:t>
      </w:r>
      <w:r w:rsidRPr="00DC3374">
        <w:rPr>
          <w:rtl/>
        </w:rPr>
        <w:t xml:space="preserve"> </w:t>
      </w:r>
      <w:r w:rsidRPr="00DC3374">
        <w:rPr>
          <w:rFonts w:hint="eastAsia"/>
          <w:rtl/>
        </w:rPr>
        <w:t>לו</w:t>
      </w:r>
      <w:r w:rsidRPr="00DC3374">
        <w:rPr>
          <w:rtl/>
        </w:rPr>
        <w:t xml:space="preserve">, </w:t>
      </w:r>
      <w:r w:rsidRPr="00DC3374">
        <w:rPr>
          <w:rFonts w:hint="eastAsia"/>
          <w:rtl/>
        </w:rPr>
        <w:t>יש</w:t>
      </w:r>
      <w:r w:rsidRPr="00DC3374">
        <w:rPr>
          <w:rtl/>
        </w:rPr>
        <w:t xml:space="preserve"> </w:t>
      </w:r>
      <w:r w:rsidRPr="00DC3374">
        <w:rPr>
          <w:rFonts w:hint="eastAsia"/>
          <w:rtl/>
        </w:rPr>
        <w:t>מקום</w:t>
      </w:r>
      <w:r w:rsidRPr="00DC3374">
        <w:rPr>
          <w:rtl/>
        </w:rPr>
        <w:t xml:space="preserve"> </w:t>
      </w:r>
      <w:r w:rsidRPr="00DC3374">
        <w:rPr>
          <w:rFonts w:hint="eastAsia"/>
          <w:rtl/>
        </w:rPr>
        <w:t>שמקור</w:t>
      </w:r>
      <w:r w:rsidRPr="00DC3374">
        <w:rPr>
          <w:rtl/>
        </w:rPr>
        <w:t xml:space="preserve"> </w:t>
      </w:r>
      <w:r w:rsidRPr="00DC3374">
        <w:rPr>
          <w:rFonts w:hint="eastAsia"/>
          <w:rtl/>
        </w:rPr>
        <w:t>המידע</w:t>
      </w:r>
      <w:r w:rsidRPr="00DC3374">
        <w:rPr>
          <w:rtl/>
        </w:rPr>
        <w:t xml:space="preserve"> </w:t>
      </w:r>
      <w:r w:rsidRPr="00DC3374">
        <w:rPr>
          <w:rFonts w:hint="eastAsia"/>
          <w:rtl/>
        </w:rPr>
        <w:t>יהיה</w:t>
      </w:r>
      <w:r w:rsidRPr="00DC3374">
        <w:rPr>
          <w:rtl/>
        </w:rPr>
        <w:t xml:space="preserve"> </w:t>
      </w:r>
      <w:r w:rsidRPr="00DC3374">
        <w:rPr>
          <w:rFonts w:hint="cs"/>
          <w:rtl/>
        </w:rPr>
        <w:t xml:space="preserve">גורם ממשלתי </w:t>
      </w:r>
      <w:r w:rsidRPr="00DC3374">
        <w:rPr>
          <w:rFonts w:hint="eastAsia"/>
          <w:rtl/>
        </w:rPr>
        <w:t>מוכר</w:t>
      </w:r>
      <w:r w:rsidRPr="00DC3374">
        <w:rPr>
          <w:rtl/>
        </w:rPr>
        <w:t xml:space="preserve"> </w:t>
      </w:r>
      <w:r w:rsidRPr="00DC3374">
        <w:rPr>
          <w:rFonts w:hint="eastAsia"/>
          <w:rtl/>
        </w:rPr>
        <w:t>לציבור</w:t>
      </w:r>
      <w:r w:rsidRPr="00DC3374">
        <w:rPr>
          <w:rtl/>
        </w:rPr>
        <w:t xml:space="preserve">. </w:t>
      </w:r>
      <w:r w:rsidRPr="00DC3374">
        <w:rPr>
          <w:rFonts w:hint="eastAsia"/>
          <w:rtl/>
        </w:rPr>
        <w:t>ככל</w:t>
      </w:r>
      <w:r w:rsidRPr="00DC3374">
        <w:rPr>
          <w:rtl/>
        </w:rPr>
        <w:t xml:space="preserve"> שהמידע יהיה שלם ואמין, </w:t>
      </w:r>
      <w:r w:rsidRPr="00DC3374">
        <w:rPr>
          <w:rFonts w:hint="cs"/>
          <w:rtl/>
        </w:rPr>
        <w:t>כך י</w:t>
      </w:r>
      <w:r w:rsidRPr="00DC3374">
        <w:rPr>
          <w:rtl/>
        </w:rPr>
        <w:t xml:space="preserve">פחת הסיכון של הסתמכות הציבור על </w:t>
      </w:r>
      <w:r w:rsidRPr="00DC3374">
        <w:rPr>
          <w:rFonts w:hint="eastAsia"/>
          <w:rtl/>
        </w:rPr>
        <w:t>מקורות</w:t>
      </w:r>
      <w:r w:rsidRPr="00DC3374">
        <w:rPr>
          <w:rtl/>
        </w:rPr>
        <w:t xml:space="preserve"> </w:t>
      </w:r>
      <w:r w:rsidRPr="00DC3374">
        <w:rPr>
          <w:rFonts w:hint="eastAsia"/>
          <w:rtl/>
        </w:rPr>
        <w:t>מידע</w:t>
      </w:r>
      <w:r w:rsidRPr="00DC3374">
        <w:rPr>
          <w:rtl/>
        </w:rPr>
        <w:t xml:space="preserve"> </w:t>
      </w:r>
      <w:r w:rsidRPr="00DC3374">
        <w:rPr>
          <w:rFonts w:hint="eastAsia"/>
          <w:rtl/>
        </w:rPr>
        <w:t>שאינם</w:t>
      </w:r>
      <w:r w:rsidRPr="00DC3374">
        <w:rPr>
          <w:rtl/>
        </w:rPr>
        <w:t xml:space="preserve"> </w:t>
      </w:r>
      <w:r w:rsidRPr="00DC3374">
        <w:rPr>
          <w:rFonts w:hint="eastAsia"/>
          <w:rtl/>
        </w:rPr>
        <w:t>אמינים</w:t>
      </w:r>
      <w:r w:rsidRPr="00DC3374">
        <w:rPr>
          <w:rtl/>
        </w:rPr>
        <w:t xml:space="preserve">, </w:t>
      </w:r>
      <w:r w:rsidRPr="00DC3374">
        <w:rPr>
          <w:rFonts w:hint="eastAsia"/>
          <w:rtl/>
        </w:rPr>
        <w:t>כגון</w:t>
      </w:r>
      <w:r w:rsidRPr="00DC3374">
        <w:rPr>
          <w:rtl/>
        </w:rPr>
        <w:t xml:space="preserve"> </w:t>
      </w:r>
      <w:r w:rsidRPr="00DC3374">
        <w:rPr>
          <w:rFonts w:hint="eastAsia"/>
          <w:rtl/>
        </w:rPr>
        <w:t>אתרי</w:t>
      </w:r>
      <w:r w:rsidRPr="00DC3374">
        <w:rPr>
          <w:rtl/>
        </w:rPr>
        <w:t xml:space="preserve"> </w:t>
      </w:r>
      <w:r w:rsidRPr="00DC3374">
        <w:rPr>
          <w:rFonts w:hint="cs"/>
          <w:rtl/>
        </w:rPr>
        <w:t>אינטרנט</w:t>
      </w:r>
      <w:r w:rsidRPr="00DC3374">
        <w:rPr>
          <w:rtl/>
        </w:rPr>
        <w:t xml:space="preserve"> </w:t>
      </w:r>
      <w:r w:rsidRPr="00DC3374">
        <w:rPr>
          <w:rFonts w:hint="eastAsia"/>
          <w:rtl/>
        </w:rPr>
        <w:t>של</w:t>
      </w:r>
      <w:r w:rsidRPr="00DC3374">
        <w:rPr>
          <w:rtl/>
        </w:rPr>
        <w:t xml:space="preserve"> </w:t>
      </w:r>
      <w:r w:rsidRPr="00DC3374">
        <w:rPr>
          <w:rFonts w:hint="eastAsia"/>
          <w:rtl/>
        </w:rPr>
        <w:t>מידע</w:t>
      </w:r>
      <w:r w:rsidRPr="00DC3374">
        <w:rPr>
          <w:rtl/>
        </w:rPr>
        <w:t xml:space="preserve"> </w:t>
      </w:r>
      <w:r w:rsidRPr="00DC3374">
        <w:rPr>
          <w:rFonts w:hint="eastAsia"/>
          <w:rtl/>
        </w:rPr>
        <w:t>כוזב</w:t>
      </w:r>
      <w:r>
        <w:rPr>
          <w:vertAlign w:val="superscript"/>
          <w:rtl/>
        </w:rPr>
        <w:footnoteReference w:id="14"/>
      </w:r>
      <w:r w:rsidRPr="00DC3374">
        <w:rPr>
          <w:rtl/>
        </w:rPr>
        <w:t xml:space="preserve">. </w:t>
      </w:r>
      <w:r w:rsidRPr="00DC3374">
        <w:rPr>
          <w:rFonts w:hint="cs"/>
          <w:rtl/>
        </w:rPr>
        <w:t>מידע איכותי יאפשר לפרט לקבל החלטות לגבי התנהלותו במהלך המשבר בהתבסס על הבנת המצב.</w:t>
      </w:r>
    </w:p>
    <w:p w:rsidR="00E92F67" w:rsidRPr="00DC3374" w:rsidP="00E81188" w14:paraId="2E437115" w14:textId="463EC96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C55F6F6" w14:textId="77777777">
      <w:pPr>
        <w:spacing w:line="269" w:lineRule="auto"/>
        <w:contextualSpacing/>
        <w:rPr>
          <w:rtl/>
        </w:rPr>
      </w:pPr>
      <w:r w:rsidRPr="00DC3374">
        <w:rPr>
          <w:rFonts w:asciiTheme="minorHAnsi" w:hAnsiTheme="minorHAnsi" w:hint="cs"/>
          <w:sz w:val="22"/>
          <w:rtl/>
        </w:rPr>
        <w:t>בזמן משבר הקורונה הציבור תפס את ההסברה כאחת המשימות החשובות של הממשל בבואו לסייע לתושבי המדינה להגן על עצמם ועל משפחתם.</w:t>
      </w:r>
      <w:r w:rsidRPr="00DC3374">
        <w:rPr>
          <w:rFonts w:hint="cs"/>
          <w:rtl/>
        </w:rPr>
        <w:t xml:space="preserve"> בבדיקת האפקטיביות של פעולות ההסברה במשבר הקורונה יש לבחון את מרכיבי התהליך ותוצאותיו, כמוצג בתרשים שלהלן.</w:t>
      </w:r>
    </w:p>
    <w:p w:rsidR="00E92F67" w:rsidRPr="00DC3374" w:rsidP="00E81188" w14:paraId="61F62F9E" w14:textId="04B15A4D">
      <w:pPr>
        <w:pStyle w:val="a"/>
        <w:spacing w:line="269" w:lineRule="auto"/>
        <w:rPr>
          <w:noProof/>
          <w:rtl/>
        </w:rPr>
      </w:pPr>
      <w:r w:rsidRPr="00DC3374">
        <w:rPr>
          <w:noProof/>
          <w:rtl/>
        </w:rPr>
        <w:fldChar w:fldCharType="begin"/>
      </w:r>
      <w:r w:rsidRPr="00DC3374">
        <w:rPr>
          <w:noProof/>
          <w:rtl/>
        </w:rPr>
        <w:instrText xml:space="preserve"> </w:instrText>
      </w:r>
      <w:r w:rsidRPr="00DC3374">
        <w:rPr>
          <w:noProof/>
        </w:rPr>
        <w:instrText>AUTONUMLGL \e  \* MERGEFORMAT</w:instrText>
      </w:r>
      <w:r w:rsidRPr="00DC3374">
        <w:rPr>
          <w:noProof/>
          <w:rtl/>
        </w:rPr>
        <w:instrText xml:space="preserve"> </w:instrText>
      </w:r>
      <w:r w:rsidRPr="00DC3374">
        <w:rPr>
          <w:noProof/>
          <w:rtl/>
        </w:rPr>
        <w:fldChar w:fldCharType="end"/>
      </w:r>
    </w:p>
    <w:p w:rsidR="00E92F67" w:rsidRPr="00DC3374" w:rsidP="00E81188" w14:paraId="3C8DBBCE" w14:textId="77777777">
      <w:pPr>
        <w:spacing w:line="269" w:lineRule="auto"/>
        <w:ind w:left="-1"/>
        <w:jc w:val="center"/>
        <w:rPr>
          <w:b/>
          <w:bCs/>
          <w:noProof/>
          <w:rtl/>
        </w:rPr>
      </w:pPr>
      <w:r w:rsidRPr="00DC3374">
        <w:rPr>
          <w:rFonts w:hint="eastAsia"/>
          <w:b/>
          <w:bCs/>
          <w:noProof/>
          <w:rtl/>
        </w:rPr>
        <w:t>תרשים</w:t>
      </w:r>
      <w:r w:rsidRPr="00DC3374">
        <w:rPr>
          <w:b/>
          <w:bCs/>
          <w:noProof/>
          <w:rtl/>
        </w:rPr>
        <w:t xml:space="preserve"> </w:t>
      </w:r>
      <w:r w:rsidRPr="00DC3374">
        <w:rPr>
          <w:rFonts w:hint="cs"/>
          <w:b/>
          <w:bCs/>
          <w:noProof/>
          <w:rtl/>
        </w:rPr>
        <w:t>6</w:t>
      </w:r>
      <w:r w:rsidRPr="00DC3374">
        <w:rPr>
          <w:b/>
          <w:bCs/>
          <w:noProof/>
          <w:rtl/>
        </w:rPr>
        <w:t xml:space="preserve">: </w:t>
      </w:r>
      <w:r w:rsidRPr="00DC3374">
        <w:rPr>
          <w:rFonts w:hint="eastAsia"/>
          <w:b/>
          <w:bCs/>
          <w:noProof/>
          <w:rtl/>
        </w:rPr>
        <w:t>מרכיבי</w:t>
      </w:r>
      <w:r w:rsidRPr="00DC3374">
        <w:rPr>
          <w:b/>
          <w:bCs/>
          <w:noProof/>
          <w:rtl/>
        </w:rPr>
        <w:t xml:space="preserve"> </w:t>
      </w:r>
      <w:r w:rsidRPr="00DC3374">
        <w:rPr>
          <w:rFonts w:hint="eastAsia"/>
          <w:b/>
          <w:bCs/>
          <w:noProof/>
          <w:rtl/>
        </w:rPr>
        <w:t>תהליך</w:t>
      </w:r>
      <w:r w:rsidRPr="00DC3374">
        <w:rPr>
          <w:b/>
          <w:bCs/>
          <w:noProof/>
          <w:rtl/>
        </w:rPr>
        <w:t xml:space="preserve"> </w:t>
      </w:r>
      <w:r w:rsidRPr="00DC3374">
        <w:rPr>
          <w:rFonts w:hint="eastAsia"/>
          <w:b/>
          <w:bCs/>
          <w:noProof/>
          <w:rtl/>
        </w:rPr>
        <w:t>ההסברה</w:t>
      </w:r>
      <w:r w:rsidRPr="00DC3374">
        <w:rPr>
          <w:b/>
          <w:bCs/>
          <w:noProof/>
          <w:rtl/>
        </w:rPr>
        <w:t xml:space="preserve"> </w:t>
      </w:r>
      <w:r w:rsidRPr="00DC3374">
        <w:rPr>
          <w:rFonts w:hint="eastAsia"/>
          <w:b/>
          <w:bCs/>
          <w:noProof/>
          <w:rtl/>
        </w:rPr>
        <w:t>ותוצאותיו</w:t>
      </w:r>
    </w:p>
    <w:p w:rsidR="00E92F67" w:rsidRPr="00DC3374" w:rsidP="00E81188" w14:paraId="246AADE5" w14:textId="77777777">
      <w:pPr>
        <w:spacing w:line="269" w:lineRule="auto"/>
        <w:ind w:left="-1"/>
        <w:jc w:val="center"/>
        <w:rPr>
          <w:b/>
          <w:bCs/>
          <w:noProof/>
          <w:rtl/>
        </w:rPr>
      </w:pPr>
      <w:r w:rsidRPr="00DC3374">
        <w:rPr>
          <w:noProof/>
        </w:rPr>
        <w:drawing>
          <wp:inline distT="0" distB="0" distL="0" distR="0">
            <wp:extent cx="4676775" cy="3886200"/>
            <wp:effectExtent l="0" t="0" r="9525" b="0"/>
            <wp:docPr id="36" name="תמונה 36" descr="C:\Users\haim_sha\AppData\Local\Microsoft\Windows\INetCache\Content.Word\MR-Tarshi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20050" name="Picture 1" descr="C:\Users\haim_sha\AppData\Local\Microsoft\Windows\INetCache\Content.Word\MR-Tarshim-6.jp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6775" cy="3886200"/>
                    </a:xfrm>
                    <a:prstGeom prst="rect">
                      <a:avLst/>
                    </a:prstGeom>
                    <a:noFill/>
                    <a:ln>
                      <a:noFill/>
                    </a:ln>
                  </pic:spPr>
                </pic:pic>
              </a:graphicData>
            </a:graphic>
          </wp:inline>
        </w:drawing>
      </w:r>
    </w:p>
    <w:p w:rsidR="00E92F67" w:rsidRPr="00DC3374" w:rsidP="00E81188" w14:paraId="2B9DFEC9" w14:textId="5C451E1C">
      <w:pPr>
        <w:spacing w:line="269" w:lineRule="auto"/>
        <w:rPr>
          <w:b/>
          <w:bCs/>
          <w:noProof/>
          <w:szCs w:val="20"/>
          <w:rtl/>
        </w:rPr>
      </w:pPr>
      <w:r w:rsidRPr="00DC3374">
        <w:rPr>
          <w:rFonts w:hint="cs"/>
          <w:szCs w:val="20"/>
          <w:rtl/>
        </w:rPr>
        <w:t xml:space="preserve">על פי </w:t>
      </w:r>
      <w:r w:rsidRPr="00DC3374">
        <w:rPr>
          <w:szCs w:val="20"/>
          <w:rtl/>
        </w:rPr>
        <w:t>מרכז המידע והידע הלאומי למערכה בקורונה, "ההסברה לאזרח מהווה כלי מרכזי בהתמודדות העולמית עם נגיף הקורונה</w:t>
      </w:r>
      <w:r w:rsidRPr="00DC3374">
        <w:rPr>
          <w:rFonts w:hint="cs"/>
          <w:szCs w:val="20"/>
          <w:rtl/>
        </w:rPr>
        <w:t>", בעיבוד משרד מבקר המדינה.</w:t>
      </w:r>
    </w:p>
    <w:p w:rsidR="00E92F67" w:rsidRPr="00DC3374" w:rsidP="00E81188" w14:paraId="674441A1" w14:textId="7125871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4096AACF" w14:textId="77777777">
      <w:pPr>
        <w:spacing w:line="269" w:lineRule="auto"/>
      </w:pPr>
      <w:r w:rsidRPr="00DC3374">
        <w:rPr>
          <w:rFonts w:asciiTheme="minorHAnsi" w:hAnsiTheme="minorHAnsi" w:hint="eastAsia"/>
          <w:sz w:val="22"/>
          <w:rtl/>
        </w:rPr>
        <w:t>משרד</w:t>
      </w:r>
      <w:r w:rsidRPr="00DC3374">
        <w:rPr>
          <w:rFonts w:asciiTheme="minorHAnsi" w:hAnsiTheme="minorHAnsi"/>
          <w:sz w:val="22"/>
          <w:rtl/>
        </w:rPr>
        <w:t xml:space="preserve"> מבקר המדינה בדק את אפקטיביות </w:t>
      </w:r>
      <w:r w:rsidRPr="00DC3374">
        <w:rPr>
          <w:rFonts w:asciiTheme="minorHAnsi" w:hAnsiTheme="minorHAnsi" w:hint="eastAsia"/>
          <w:sz w:val="22"/>
          <w:rtl/>
        </w:rPr>
        <w:t>ההסברה</w:t>
      </w:r>
      <w:r w:rsidRPr="00DC3374">
        <w:rPr>
          <w:rFonts w:asciiTheme="minorHAnsi" w:hAnsiTheme="minorHAnsi"/>
          <w:sz w:val="22"/>
          <w:rtl/>
        </w:rPr>
        <w:t xml:space="preserve">, </w:t>
      </w:r>
      <w:r w:rsidRPr="00DC3374">
        <w:rPr>
          <w:rFonts w:asciiTheme="minorHAnsi" w:hAnsiTheme="minorHAnsi" w:hint="eastAsia"/>
          <w:sz w:val="22"/>
          <w:rtl/>
        </w:rPr>
        <w:t>לרבות</w:t>
      </w:r>
      <w:r w:rsidRPr="00DC3374">
        <w:rPr>
          <w:rFonts w:asciiTheme="minorHAnsi" w:hAnsiTheme="minorHAnsi"/>
          <w:sz w:val="22"/>
          <w:rtl/>
        </w:rPr>
        <w:t xml:space="preserve"> אופן </w:t>
      </w:r>
      <w:r w:rsidRPr="00DC3374">
        <w:rPr>
          <w:rFonts w:asciiTheme="minorHAnsi" w:hAnsiTheme="minorHAnsi" w:hint="eastAsia"/>
          <w:sz w:val="22"/>
          <w:rtl/>
        </w:rPr>
        <w:t>העברת</w:t>
      </w:r>
      <w:r w:rsidRPr="00DC3374">
        <w:rPr>
          <w:rFonts w:asciiTheme="minorHAnsi" w:hAnsiTheme="minorHAnsi"/>
          <w:sz w:val="22"/>
          <w:rtl/>
        </w:rPr>
        <w:t xml:space="preserve"> </w:t>
      </w:r>
      <w:r w:rsidRPr="00DC3374">
        <w:rPr>
          <w:rFonts w:asciiTheme="minorHAnsi" w:hAnsiTheme="minorHAnsi" w:hint="eastAsia"/>
          <w:sz w:val="22"/>
          <w:rtl/>
        </w:rPr>
        <w:t>המידע</w:t>
      </w:r>
      <w:r w:rsidRPr="00DC3374">
        <w:rPr>
          <w:rFonts w:asciiTheme="minorHAnsi" w:hAnsiTheme="minorHAnsi"/>
          <w:sz w:val="22"/>
          <w:rtl/>
        </w:rPr>
        <w:t xml:space="preserve"> </w:t>
      </w:r>
      <w:r w:rsidRPr="00DC3374">
        <w:rPr>
          <w:rFonts w:asciiTheme="minorHAnsi" w:hAnsiTheme="minorHAnsi" w:hint="eastAsia"/>
          <w:sz w:val="22"/>
          <w:rtl/>
        </w:rPr>
        <w:t>לציבור</w:t>
      </w:r>
      <w:r w:rsidRPr="00DC3374">
        <w:rPr>
          <w:rFonts w:asciiTheme="minorHAnsi" w:hAnsiTheme="minorHAnsi"/>
          <w:sz w:val="22"/>
          <w:rtl/>
        </w:rPr>
        <w:t xml:space="preserve">, מידת ההבנה של הציבור את </w:t>
      </w:r>
      <w:r w:rsidRPr="00DC3374">
        <w:rPr>
          <w:rFonts w:asciiTheme="minorHAnsi" w:hAnsiTheme="minorHAnsi" w:hint="cs"/>
          <w:sz w:val="22"/>
          <w:rtl/>
        </w:rPr>
        <w:t>ההנחיות</w:t>
      </w:r>
      <w:r w:rsidRPr="00DC3374">
        <w:rPr>
          <w:rFonts w:asciiTheme="minorHAnsi" w:hAnsiTheme="minorHAnsi"/>
          <w:sz w:val="22"/>
          <w:rtl/>
        </w:rPr>
        <w:t>, מידת השכנוע של הציבור בנחיצות</w:t>
      </w:r>
      <w:r w:rsidRPr="00DC3374">
        <w:rPr>
          <w:rFonts w:asciiTheme="minorHAnsi" w:hAnsiTheme="minorHAnsi" w:hint="cs"/>
          <w:sz w:val="22"/>
          <w:rtl/>
        </w:rPr>
        <w:t>ן</w:t>
      </w:r>
      <w:r w:rsidRPr="00DC3374">
        <w:rPr>
          <w:rFonts w:asciiTheme="minorHAnsi" w:hAnsiTheme="minorHAnsi"/>
          <w:sz w:val="22"/>
          <w:rtl/>
        </w:rPr>
        <w:t xml:space="preserve">, מידת האמון של הציבור בגורמי הממשל ומידת הציות </w:t>
      </w:r>
      <w:r w:rsidRPr="00DC3374">
        <w:rPr>
          <w:rFonts w:asciiTheme="minorHAnsi" w:hAnsiTheme="minorHAnsi" w:hint="cs"/>
          <w:sz w:val="22"/>
          <w:rtl/>
        </w:rPr>
        <w:t xml:space="preserve">להנחיות </w:t>
      </w:r>
      <w:r w:rsidRPr="00DC3374">
        <w:rPr>
          <w:rFonts w:asciiTheme="minorHAnsi" w:hAnsiTheme="minorHAnsi"/>
          <w:sz w:val="22"/>
          <w:rtl/>
        </w:rPr>
        <w:t>או הכוונה לציית</w:t>
      </w:r>
      <w:r w:rsidRPr="00DC3374">
        <w:rPr>
          <w:rFonts w:asciiTheme="minorHAnsi" w:hAnsiTheme="minorHAnsi" w:hint="cs"/>
          <w:sz w:val="22"/>
          <w:rtl/>
        </w:rPr>
        <w:t xml:space="preserve"> להן</w:t>
      </w:r>
      <w:r w:rsidRPr="00DC3374">
        <w:rPr>
          <w:rFonts w:asciiTheme="minorHAnsi" w:hAnsiTheme="minorHAnsi"/>
          <w:sz w:val="22"/>
          <w:rtl/>
        </w:rPr>
        <w:t xml:space="preserve">. הבדיקה נעשתה </w:t>
      </w:r>
      <w:r w:rsidRPr="00DC3374">
        <w:rPr>
          <w:rFonts w:asciiTheme="minorHAnsi" w:hAnsiTheme="minorHAnsi" w:hint="eastAsia"/>
          <w:sz w:val="22"/>
          <w:rtl/>
        </w:rPr>
        <w:t>באמצעות</w:t>
      </w:r>
      <w:r w:rsidRPr="00DC3374">
        <w:rPr>
          <w:rFonts w:asciiTheme="minorHAnsi" w:hAnsiTheme="minorHAnsi"/>
          <w:sz w:val="22"/>
          <w:rtl/>
        </w:rPr>
        <w:t xml:space="preserve"> </w:t>
      </w:r>
      <w:r w:rsidRPr="00DC3374">
        <w:rPr>
          <w:rFonts w:asciiTheme="minorHAnsi" w:hAnsiTheme="minorHAnsi" w:hint="eastAsia"/>
          <w:sz w:val="22"/>
          <w:rtl/>
        </w:rPr>
        <w:t>שני</w:t>
      </w:r>
      <w:r w:rsidRPr="00DC3374">
        <w:rPr>
          <w:rFonts w:asciiTheme="minorHAnsi" w:hAnsiTheme="minorHAnsi"/>
          <w:sz w:val="22"/>
          <w:rtl/>
        </w:rPr>
        <w:t xml:space="preserve"> </w:t>
      </w:r>
      <w:r w:rsidRPr="00DC3374">
        <w:rPr>
          <w:rFonts w:asciiTheme="minorHAnsi" w:hAnsiTheme="minorHAnsi" w:hint="eastAsia"/>
          <w:sz w:val="22"/>
          <w:rtl/>
        </w:rPr>
        <w:t>כלים</w:t>
      </w:r>
      <w:r w:rsidRPr="00DC3374">
        <w:rPr>
          <w:rFonts w:asciiTheme="minorHAnsi" w:hAnsiTheme="minorHAnsi"/>
          <w:sz w:val="22"/>
          <w:rtl/>
        </w:rPr>
        <w:t xml:space="preserve"> </w:t>
      </w:r>
      <w:r w:rsidRPr="00DC3374">
        <w:rPr>
          <w:rFonts w:asciiTheme="minorHAnsi" w:hAnsiTheme="minorHAnsi" w:hint="eastAsia"/>
          <w:sz w:val="22"/>
          <w:rtl/>
        </w:rPr>
        <w:t>מרכזיים</w:t>
      </w:r>
      <w:r w:rsidRPr="00DC3374">
        <w:rPr>
          <w:rFonts w:asciiTheme="minorHAnsi" w:hAnsiTheme="minorHAnsi"/>
          <w:sz w:val="22"/>
          <w:rtl/>
        </w:rPr>
        <w:t>:</w:t>
      </w:r>
      <w:r w:rsidRPr="00DC3374">
        <w:rPr>
          <w:rFonts w:hint="cs"/>
          <w:rtl/>
        </w:rPr>
        <w:t xml:space="preserve"> ה</w:t>
      </w:r>
      <w:r w:rsidRPr="00DC3374">
        <w:rPr>
          <w:rFonts w:asciiTheme="minorHAnsi" w:hAnsiTheme="minorHAnsi"/>
          <w:sz w:val="22"/>
          <w:rtl/>
        </w:rPr>
        <w:t xml:space="preserve">סקר </w:t>
      </w:r>
      <w:r w:rsidRPr="00DC3374">
        <w:rPr>
          <w:rFonts w:asciiTheme="minorHAnsi" w:hAnsiTheme="minorHAnsi" w:hint="cs"/>
          <w:sz w:val="22"/>
          <w:rtl/>
        </w:rPr>
        <w:t>שנערך בדצמבר 2020</w:t>
      </w:r>
      <w:r w:rsidRPr="00DC3374">
        <w:rPr>
          <w:rFonts w:asciiTheme="minorHAnsi" w:hAnsiTheme="minorHAnsi"/>
          <w:sz w:val="22"/>
          <w:rtl/>
        </w:rPr>
        <w:t xml:space="preserve">; </w:t>
      </w:r>
      <w:r w:rsidRPr="00DC3374">
        <w:rPr>
          <w:rFonts w:asciiTheme="minorHAnsi" w:hAnsiTheme="minorHAnsi" w:hint="eastAsia"/>
          <w:sz w:val="22"/>
          <w:rtl/>
        </w:rPr>
        <w:t>וניתוח</w:t>
      </w:r>
      <w:r w:rsidRPr="00DC3374">
        <w:rPr>
          <w:rFonts w:asciiTheme="minorHAnsi" w:hAnsiTheme="minorHAnsi"/>
          <w:sz w:val="22"/>
          <w:rtl/>
        </w:rPr>
        <w:t xml:space="preserve"> </w:t>
      </w:r>
      <w:r w:rsidRPr="00DC3374">
        <w:rPr>
          <w:rFonts w:hint="cs"/>
          <w:rtl/>
        </w:rPr>
        <w:t xml:space="preserve">השיח </w:t>
      </w:r>
      <w:r w:rsidRPr="00DC3374">
        <w:rPr>
          <w:rFonts w:asciiTheme="minorHAnsi" w:hAnsiTheme="minorHAnsi"/>
          <w:sz w:val="22"/>
          <w:rtl/>
        </w:rPr>
        <w:t>ברשת</w:t>
      </w:r>
      <w:r w:rsidRPr="00DC3374">
        <w:rPr>
          <w:rFonts w:asciiTheme="minorHAnsi" w:hAnsiTheme="minorHAnsi" w:hint="cs"/>
          <w:sz w:val="22"/>
          <w:rtl/>
        </w:rPr>
        <w:t xml:space="preserve">ות החברתיות מ-10.3.20 עד 30.10.20. </w:t>
      </w:r>
    </w:p>
    <w:p w:rsidR="00E92F67" w:rsidRPr="00DC3374" w:rsidP="00E81188" w14:paraId="6F23A18F" w14:textId="77777777">
      <w:pPr>
        <w:spacing w:line="269" w:lineRule="auto"/>
        <w:rPr>
          <w:rtl/>
        </w:rPr>
      </w:pPr>
    </w:p>
    <w:p w:rsidR="00E92F67" w:rsidRPr="00DC3374" w:rsidP="00E81188" w14:paraId="44F9ED66" w14:textId="77777777">
      <w:pPr>
        <w:pStyle w:val="Heading3"/>
        <w:spacing w:before="0" w:line="269" w:lineRule="auto"/>
        <w:rPr>
          <w:rtl/>
        </w:rPr>
      </w:pPr>
      <w:r w:rsidRPr="00DC3374">
        <w:rPr>
          <w:rFonts w:hint="cs"/>
          <w:rtl/>
        </w:rPr>
        <w:t>ממצאי הסקר בדבר הבנת ההגבלות והשכנוע בנחיצותן</w:t>
      </w:r>
    </w:p>
    <w:p w:rsidR="00E92F67" w:rsidRPr="00DC3374" w:rsidP="00E81188" w14:paraId="43154509" w14:textId="0508E0C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2064216" w14:textId="77777777">
      <w:pPr>
        <w:spacing w:line="269" w:lineRule="auto"/>
        <w:rPr>
          <w:szCs w:val="20"/>
          <w:rtl/>
        </w:rPr>
      </w:pPr>
      <w:r w:rsidRPr="00DC3374">
        <w:rPr>
          <w:rFonts w:hint="cs"/>
          <w:rtl/>
        </w:rPr>
        <w:t>משרד מבקר המדינה בדק באמצעות הסקר את מידת ההבנה של הציבור את ההגבלות שהוטלו עליו במהלך משבר הקורונה ואת המידה שבה שוכנע שהן חיוניות לצורך ההתמודדות עם המשבר. ההבנה, כאמור בתרשים 7, מתייחסת למידה שבה ה</w:t>
      </w:r>
      <w:r w:rsidRPr="00DC3374">
        <w:rPr>
          <w:rtl/>
        </w:rPr>
        <w:t xml:space="preserve">ציבור </w:t>
      </w:r>
      <w:r w:rsidRPr="00DC3374">
        <w:rPr>
          <w:rFonts w:hint="cs"/>
          <w:rtl/>
        </w:rPr>
        <w:t xml:space="preserve">הבין </w:t>
      </w:r>
      <w:r w:rsidRPr="00DC3374">
        <w:rPr>
          <w:rtl/>
        </w:rPr>
        <w:t>את הנדרש ממנו, לרבות ההגבלות שהוטלו על שגרת חייו</w:t>
      </w:r>
      <w:r w:rsidRPr="00DC3374">
        <w:rPr>
          <w:rFonts w:hint="cs"/>
          <w:rtl/>
        </w:rPr>
        <w:t>, והשכנוע, כאמור בתרשים זה, מתייחס למידה שבה הציבור קיבל את דר</w:t>
      </w:r>
      <w:r w:rsidRPr="00DC3374">
        <w:rPr>
          <w:rtl/>
        </w:rPr>
        <w:t xml:space="preserve">כי הפעולה שקבע הממשל להתמודדות עם המשבר </w:t>
      </w:r>
      <w:r w:rsidRPr="00DC3374">
        <w:rPr>
          <w:rFonts w:hint="cs"/>
          <w:rtl/>
        </w:rPr>
        <w:t xml:space="preserve">כנחוצות, </w:t>
      </w:r>
      <w:r w:rsidRPr="00DC3374">
        <w:rPr>
          <w:rtl/>
        </w:rPr>
        <w:t>לרבות ההגבלות על שגרת החיים</w:t>
      </w:r>
      <w:r w:rsidRPr="00DC3374">
        <w:rPr>
          <w:rFonts w:hint="cs"/>
          <w:rtl/>
        </w:rPr>
        <w:t>.</w:t>
      </w:r>
    </w:p>
    <w:p w:rsidR="00E92F67" w:rsidRPr="00DC3374" w:rsidP="00E81188" w14:paraId="65221B55" w14:textId="772B420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87F87CF" w14:textId="77777777">
      <w:pPr>
        <w:spacing w:line="269" w:lineRule="auto"/>
        <w:rPr>
          <w:b/>
          <w:rtl/>
        </w:rPr>
      </w:pPr>
      <w:r w:rsidRPr="00DC3374">
        <w:rPr>
          <w:rFonts w:hint="cs"/>
          <w:b/>
          <w:rtl/>
        </w:rPr>
        <w:t xml:space="preserve">המשיבים לשאלות שבסקר נתבקשו לדרג את מידת הסכמתם עם ההיגדים האלה: ההגבלות הוסברו באופן ברור; </w:t>
      </w:r>
      <w:r w:rsidRPr="00DC3374">
        <w:rPr>
          <w:b/>
          <w:rtl/>
        </w:rPr>
        <w:t>ההיגיון ב</w:t>
      </w:r>
      <w:r w:rsidRPr="00DC3374">
        <w:rPr>
          <w:rFonts w:hint="cs"/>
          <w:b/>
          <w:rtl/>
        </w:rPr>
        <w:t>ה</w:t>
      </w:r>
      <w:r w:rsidRPr="00DC3374">
        <w:rPr>
          <w:b/>
          <w:rtl/>
        </w:rPr>
        <w:t>גבלות </w:t>
      </w:r>
      <w:r w:rsidRPr="00DC3374">
        <w:rPr>
          <w:rFonts w:hint="cs"/>
          <w:b/>
          <w:rtl/>
        </w:rPr>
        <w:t>(סגירת</w:t>
      </w:r>
      <w:r w:rsidRPr="00DC3374">
        <w:rPr>
          <w:b/>
          <w:rtl/>
        </w:rPr>
        <w:t xml:space="preserve"> מוסדות חינוך</w:t>
      </w:r>
      <w:r w:rsidRPr="00DC3374">
        <w:rPr>
          <w:rFonts w:hint="cs"/>
          <w:b/>
          <w:rtl/>
        </w:rPr>
        <w:t xml:space="preserve"> ובתי עסק, </w:t>
      </w:r>
      <w:r w:rsidRPr="00DC3374">
        <w:rPr>
          <w:b/>
          <w:rtl/>
        </w:rPr>
        <w:t>הגבלת התקהלות והגבלות תנועה</w:t>
      </w:r>
      <w:r w:rsidRPr="00DC3374">
        <w:rPr>
          <w:rFonts w:hint="cs"/>
          <w:b/>
          <w:rtl/>
        </w:rPr>
        <w:t xml:space="preserve">) מובן היטב; </w:t>
      </w:r>
      <w:r w:rsidRPr="00DC3374">
        <w:rPr>
          <w:b/>
          <w:rtl/>
        </w:rPr>
        <w:t>ההגבלות היו יעילות וסייעו לצמצם את התפשטות המגפה</w:t>
      </w:r>
      <w:r w:rsidRPr="00DC3374">
        <w:rPr>
          <w:rFonts w:hint="cs"/>
          <w:b/>
          <w:rtl/>
        </w:rPr>
        <w:t xml:space="preserve">. </w:t>
      </w:r>
      <w:r w:rsidRPr="00DC3374">
        <w:rPr>
          <w:rFonts w:hint="eastAsia"/>
          <w:b/>
          <w:rtl/>
        </w:rPr>
        <w:t>סיכום</w:t>
      </w:r>
      <w:r w:rsidRPr="00DC3374">
        <w:rPr>
          <w:b/>
          <w:rtl/>
        </w:rPr>
        <w:t xml:space="preserve"> </w:t>
      </w:r>
      <w:r w:rsidRPr="00DC3374">
        <w:rPr>
          <w:rFonts w:hint="eastAsia"/>
          <w:b/>
          <w:rtl/>
        </w:rPr>
        <w:t>הממצאים</w:t>
      </w:r>
      <w:r w:rsidRPr="00DC3374">
        <w:rPr>
          <w:rFonts w:hint="cs"/>
          <w:b/>
          <w:rtl/>
        </w:rPr>
        <w:t xml:space="preserve"> מוצג בתרשים שלהלן.</w:t>
      </w:r>
    </w:p>
    <w:p w:rsidR="00E92F67" w:rsidRPr="00DC3374" w:rsidP="00E81188" w14:paraId="7F89FAAB" w14:textId="2B3927D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B627698" w14:textId="77777777">
      <w:pPr>
        <w:spacing w:line="269" w:lineRule="auto"/>
        <w:ind w:left="-1"/>
        <w:jc w:val="center"/>
        <w:rPr>
          <w:b/>
          <w:bCs/>
          <w:noProof/>
        </w:rPr>
      </w:pPr>
      <w:r w:rsidRPr="00DC3374">
        <w:rPr>
          <w:rFonts w:hint="eastAsia"/>
          <w:b/>
          <w:bCs/>
          <w:noProof/>
          <w:rtl/>
        </w:rPr>
        <w:t>תרשים</w:t>
      </w:r>
      <w:r w:rsidRPr="00DC3374">
        <w:rPr>
          <w:b/>
          <w:bCs/>
          <w:noProof/>
          <w:rtl/>
        </w:rPr>
        <w:t xml:space="preserve"> </w:t>
      </w:r>
      <w:r w:rsidRPr="00DC3374">
        <w:rPr>
          <w:rFonts w:hint="cs"/>
          <w:b/>
          <w:bCs/>
          <w:noProof/>
          <w:rtl/>
        </w:rPr>
        <w:t>7</w:t>
      </w:r>
      <w:r w:rsidRPr="00DC3374">
        <w:rPr>
          <w:b/>
          <w:bCs/>
          <w:noProof/>
          <w:rtl/>
        </w:rPr>
        <w:t xml:space="preserve">: </w:t>
      </w:r>
      <w:r w:rsidRPr="00DC3374">
        <w:rPr>
          <w:rFonts w:hint="eastAsia"/>
          <w:b/>
          <w:bCs/>
          <w:noProof/>
          <w:rtl/>
        </w:rPr>
        <w:t>הבנת</w:t>
      </w:r>
      <w:r w:rsidRPr="00DC3374">
        <w:rPr>
          <w:b/>
          <w:bCs/>
          <w:noProof/>
          <w:rtl/>
        </w:rPr>
        <w:t xml:space="preserve"> </w:t>
      </w:r>
      <w:r w:rsidRPr="00DC3374">
        <w:rPr>
          <w:rFonts w:hint="eastAsia"/>
          <w:b/>
          <w:bCs/>
          <w:noProof/>
          <w:rtl/>
        </w:rPr>
        <w:t>ההגבלות</w:t>
      </w:r>
      <w:r w:rsidRPr="00DC3374">
        <w:rPr>
          <w:b/>
          <w:bCs/>
          <w:noProof/>
          <w:rtl/>
        </w:rPr>
        <w:t xml:space="preserve"> </w:t>
      </w:r>
      <w:r w:rsidRPr="00DC3374">
        <w:rPr>
          <w:rFonts w:hint="eastAsia"/>
          <w:b/>
          <w:bCs/>
          <w:noProof/>
          <w:rtl/>
        </w:rPr>
        <w:t>ושכנוע</w:t>
      </w:r>
      <w:r w:rsidRPr="00DC3374">
        <w:rPr>
          <w:b/>
          <w:bCs/>
          <w:noProof/>
          <w:rtl/>
        </w:rPr>
        <w:t xml:space="preserve"> </w:t>
      </w:r>
      <w:r w:rsidRPr="00DC3374">
        <w:rPr>
          <w:rFonts w:hint="eastAsia"/>
          <w:b/>
          <w:bCs/>
          <w:noProof/>
          <w:rtl/>
        </w:rPr>
        <w:t>בנחיצותן</w:t>
      </w:r>
    </w:p>
    <w:p w:rsidR="00E92F67" w:rsidRPr="00DC3374" w:rsidP="00E81188" w14:paraId="3B6C8474" w14:textId="77777777">
      <w:pPr>
        <w:spacing w:line="269" w:lineRule="auto"/>
        <w:ind w:left="-1"/>
        <w:jc w:val="center"/>
        <w:rPr>
          <w:b/>
          <w:bCs/>
          <w:noProof/>
          <w:rtl/>
        </w:rPr>
      </w:pPr>
      <w:r w:rsidRPr="00DC3374">
        <w:rPr>
          <w:rFonts w:hint="cs"/>
          <w:b/>
          <w:bCs/>
          <w:noProof/>
        </w:rPr>
        <w:drawing>
          <wp:inline distT="0" distB="0" distL="0" distR="0">
            <wp:extent cx="5219700" cy="3533775"/>
            <wp:effectExtent l="0" t="0" r="0" b="9525"/>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24637" name="Picture 3"/>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3533775"/>
                    </a:xfrm>
                    <a:prstGeom prst="rect">
                      <a:avLst/>
                    </a:prstGeom>
                    <a:noFill/>
                    <a:ln>
                      <a:noFill/>
                    </a:ln>
                  </pic:spPr>
                </pic:pic>
              </a:graphicData>
            </a:graphic>
          </wp:inline>
        </w:drawing>
      </w:r>
    </w:p>
    <w:p w:rsidR="00E92F67" w:rsidRPr="00DC3374" w:rsidP="00E81188" w14:paraId="4D222AE2" w14:textId="77777777">
      <w:pPr>
        <w:spacing w:line="269" w:lineRule="auto"/>
        <w:rPr>
          <w:szCs w:val="20"/>
          <w:rtl/>
        </w:rPr>
      </w:pPr>
      <w:r w:rsidRPr="00DC3374">
        <w:rPr>
          <w:rFonts w:hint="cs"/>
          <w:szCs w:val="20"/>
          <w:rtl/>
        </w:rPr>
        <w:t>על פי נתוני הסקר מדצמבר 2020, בעיבוד משרד מבקר המדינה</w:t>
      </w:r>
      <w:r w:rsidRPr="00DC3374">
        <w:rPr>
          <w:szCs w:val="20"/>
          <w:rtl/>
        </w:rPr>
        <w:t>.</w:t>
      </w:r>
    </w:p>
    <w:p w:rsidR="00E92F67" w:rsidRPr="00DC3374" w:rsidP="00E81188" w14:paraId="32D40AA7" w14:textId="7DE0DA3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BA96763" w14:textId="77777777">
      <w:pPr>
        <w:spacing w:line="269" w:lineRule="auto"/>
        <w:ind w:left="-1"/>
        <w:rPr>
          <w:b/>
          <w:bCs/>
          <w:noProof/>
          <w:rtl/>
        </w:rPr>
      </w:pPr>
      <w:r w:rsidRPr="00DC3374">
        <w:rPr>
          <w:rFonts w:hint="cs"/>
          <w:b/>
          <w:bCs/>
          <w:noProof/>
          <w:rtl/>
        </w:rPr>
        <w:t xml:space="preserve">מהתרשים עולה שכ-34% מכלל הציבור סברו שההגבלות לא הוסברו באופן ברור, ו-36% סברו כי ההיגיון שבהן לא היה מובן. </w:t>
      </w:r>
    </w:p>
    <w:p w:rsidR="00E92F67" w:rsidRPr="00DC3374" w:rsidP="00E81188" w14:paraId="7CEFF5B6" w14:textId="0BF2D42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CB24287" w14:textId="0D572538">
      <w:pPr>
        <w:spacing w:line="269" w:lineRule="auto"/>
        <w:rPr>
          <w:b/>
          <w:bCs/>
          <w:rtl/>
        </w:rPr>
      </w:pPr>
      <w:r w:rsidRPr="00DC3374">
        <w:rPr>
          <w:rFonts w:hint="cs"/>
          <w:b/>
          <w:bCs/>
          <w:rtl/>
        </w:rPr>
        <w:t xml:space="preserve">מניתוח עומק של ממצאי הסקר עולה כי עמדות המשיבים הושפעו משורה של גורמים, לרבות: פגיעה כלכלית, תחלואה בקורונה, גיל והשתייכות למגזר דתי. בחברה היהודית הכללית, משיבים שנפגעו כלכלית ממשבר הקורונה נטו לציין בשיעורים גבוהים מאחרים כי ההגבלות לא </w:t>
      </w:r>
      <w:r w:rsidRPr="00DC3374">
        <w:rPr>
          <w:rFonts w:hint="cs"/>
          <w:b/>
          <w:bCs/>
          <w:rtl/>
        </w:rPr>
        <w:t>הוסברו היטב ולא הובן ההיגיון שבבסיסן</w:t>
      </w:r>
      <w:r>
        <w:rPr>
          <w:rStyle w:val="FootnoteReference1"/>
          <w:b/>
          <w:bCs/>
          <w:rtl/>
        </w:rPr>
        <w:footnoteReference w:id="15"/>
      </w:r>
      <w:r w:rsidRPr="00DC3374">
        <w:rPr>
          <w:rFonts w:hint="cs"/>
          <w:b/>
          <w:bCs/>
          <w:rtl/>
        </w:rPr>
        <w:t>;</w:t>
      </w:r>
      <w:r w:rsidRPr="00DC3374">
        <w:rPr>
          <w:rStyle w:val="FootnoteReference1"/>
          <w:b/>
          <w:bCs/>
          <w:rtl/>
        </w:rPr>
        <w:t xml:space="preserve"> </w:t>
      </w:r>
      <w:r w:rsidRPr="00DC3374">
        <w:rPr>
          <w:rFonts w:hint="cs"/>
          <w:b/>
          <w:bCs/>
          <w:rtl/>
        </w:rPr>
        <w:t>משיבים שנדבקו בקורונה הביעו הסכמה רחבה יותר, בהשוואה לאחרים, עם ההיגיון שבהגבלות</w:t>
      </w:r>
      <w:r>
        <w:rPr>
          <w:rStyle w:val="FootnoteReference1"/>
          <w:b/>
          <w:bCs/>
          <w:rtl/>
        </w:rPr>
        <w:footnoteReference w:id="16"/>
      </w:r>
      <w:r w:rsidRPr="00DC3374">
        <w:rPr>
          <w:rFonts w:hint="cs"/>
          <w:b/>
          <w:bCs/>
          <w:rtl/>
        </w:rPr>
        <w:t>; בני הנוער בגילים 15 עד 17 הסכימו יותר משאר האוכלוסייה כי ההגבלות הוסברו היטב וההיגיון בבסיסן היה מובן</w:t>
      </w:r>
      <w:r>
        <w:rPr>
          <w:rStyle w:val="FootnoteReference1"/>
          <w:b/>
          <w:bCs/>
          <w:rtl/>
        </w:rPr>
        <w:footnoteReference w:id="17"/>
      </w:r>
      <w:r w:rsidRPr="00DC3374">
        <w:rPr>
          <w:rFonts w:hint="cs"/>
          <w:b/>
          <w:bCs/>
          <w:rtl/>
        </w:rPr>
        <w:t>; בני 45 ומעלה מקרב החברה החרדית דיווחו שההגבלות הוסברו היטב וההיגיון שבהן היה מובן, בהשוואה לצעירים יותר</w:t>
      </w:r>
      <w:r>
        <w:rPr>
          <w:rStyle w:val="FootnoteReference1"/>
          <w:b/>
          <w:bCs/>
          <w:rtl/>
        </w:rPr>
        <w:footnoteReference w:id="18"/>
      </w:r>
      <w:r w:rsidRPr="00DC3374">
        <w:rPr>
          <w:rFonts w:hint="cs"/>
          <w:b/>
          <w:bCs/>
          <w:rtl/>
        </w:rPr>
        <w:t>; ובחברה הערבית התמונה הפוכה</w:t>
      </w:r>
      <w:r>
        <w:rPr>
          <w:rStyle w:val="FootnoteReference1"/>
          <w:b/>
          <w:bCs/>
          <w:rtl/>
        </w:rPr>
        <w:footnoteReference w:id="19"/>
      </w:r>
      <w:r>
        <w:rPr>
          <w:rFonts w:hint="cs"/>
          <w:b/>
          <w:bCs/>
          <w:rtl/>
        </w:rPr>
        <w:t>.</w:t>
      </w:r>
      <w:r w:rsidRPr="00DC3374">
        <w:rPr>
          <w:rFonts w:hint="cs"/>
          <w:b/>
          <w:bCs/>
          <w:rtl/>
        </w:rPr>
        <w:t xml:space="preserve"> הציבור המסורתי והדתי </w:t>
      </w:r>
      <w:r w:rsidR="00D20DD8">
        <w:rPr>
          <w:rFonts w:hint="cs"/>
          <w:b/>
          <w:bCs/>
          <w:rtl/>
        </w:rPr>
        <w:t xml:space="preserve">בחברה היהודית הכללית, </w:t>
      </w:r>
      <w:r w:rsidRPr="00DC3374">
        <w:rPr>
          <w:rFonts w:hint="cs"/>
          <w:b/>
          <w:bCs/>
          <w:rtl/>
        </w:rPr>
        <w:t>הסכים יותר מהציבור החילוני ש</w:t>
      </w:r>
      <w:r w:rsidRPr="00DC3374">
        <w:rPr>
          <w:b/>
          <w:bCs/>
          <w:rtl/>
        </w:rPr>
        <w:t>ה</w:t>
      </w:r>
      <w:r w:rsidRPr="00DC3374">
        <w:rPr>
          <w:rFonts w:hint="cs"/>
          <w:b/>
          <w:bCs/>
          <w:rtl/>
        </w:rPr>
        <w:t>הגבלות</w:t>
      </w:r>
      <w:r w:rsidRPr="00DC3374">
        <w:rPr>
          <w:b/>
          <w:bCs/>
          <w:rtl/>
        </w:rPr>
        <w:t xml:space="preserve"> הוסברו היטב ו</w:t>
      </w:r>
      <w:r w:rsidRPr="00DC3374">
        <w:rPr>
          <w:rFonts w:hint="cs"/>
          <w:b/>
          <w:bCs/>
          <w:rtl/>
        </w:rPr>
        <w:t>ש</w:t>
      </w:r>
      <w:r w:rsidRPr="00DC3374">
        <w:rPr>
          <w:b/>
          <w:bCs/>
          <w:rtl/>
        </w:rPr>
        <w:t>הובן ההיגיון שבבסיסן</w:t>
      </w:r>
      <w:r>
        <w:rPr>
          <w:rStyle w:val="FootnoteReference1"/>
          <w:b/>
          <w:bCs/>
          <w:rtl/>
        </w:rPr>
        <w:footnoteReference w:id="20"/>
      </w:r>
      <w:r w:rsidRPr="00DC3374">
        <w:rPr>
          <w:rFonts w:hint="cs"/>
          <w:b/>
          <w:bCs/>
          <w:rtl/>
        </w:rPr>
        <w:t>.</w:t>
      </w:r>
    </w:p>
    <w:p w:rsidR="00E92F67" w:rsidRPr="00DC3374" w:rsidP="00E81188" w14:paraId="7DAEEECF" w14:textId="77777777">
      <w:pPr>
        <w:spacing w:line="269" w:lineRule="auto"/>
        <w:rPr>
          <w:rtl/>
        </w:rPr>
      </w:pPr>
    </w:p>
    <w:p w:rsidR="00E92F67" w:rsidRPr="000E0219" w:rsidP="00E81188" w14:paraId="3B0C7D20" w14:textId="77777777">
      <w:pPr>
        <w:pStyle w:val="Heading4"/>
        <w:spacing w:before="0" w:line="269" w:lineRule="auto"/>
        <w:rPr>
          <w:rtl/>
        </w:rPr>
      </w:pPr>
      <w:r w:rsidRPr="000E0219">
        <w:rPr>
          <w:rFonts w:hint="cs"/>
          <w:rtl/>
        </w:rPr>
        <w:t xml:space="preserve">הקשר שבין </w:t>
      </w:r>
      <w:r w:rsidRPr="000E0219">
        <w:rPr>
          <w:rtl/>
        </w:rPr>
        <w:t>הבנת ההגבלות</w:t>
      </w:r>
      <w:r w:rsidRPr="000E0219">
        <w:rPr>
          <w:rFonts w:hint="cs"/>
          <w:rtl/>
        </w:rPr>
        <w:t>,</w:t>
      </w:r>
      <w:r w:rsidRPr="000E0219">
        <w:rPr>
          <w:rtl/>
        </w:rPr>
        <w:t xml:space="preserve"> השכנוע בנחיצותן</w:t>
      </w:r>
      <w:r w:rsidRPr="000E0219">
        <w:rPr>
          <w:rFonts w:hint="cs"/>
          <w:rtl/>
        </w:rPr>
        <w:t>, האמון בגורמים האחראים לניהול המשבר והציות של הציבור</w:t>
      </w:r>
    </w:p>
    <w:p w:rsidR="00E81188" w:rsidP="00E81188" w14:paraId="09044D50" w14:textId="77777777">
      <w:pPr>
        <w:pStyle w:val="Heading5"/>
        <w:spacing w:line="269" w:lineRule="auto"/>
        <w:rPr>
          <w:rtl/>
        </w:rPr>
      </w:pPr>
    </w:p>
    <w:p w:rsidR="00E92F67" w:rsidRPr="000E0219" w:rsidP="00E81188" w14:paraId="69290D43" w14:textId="1F408392">
      <w:pPr>
        <w:pStyle w:val="Heading5"/>
        <w:spacing w:line="269" w:lineRule="auto"/>
        <w:rPr>
          <w:rtl/>
        </w:rPr>
      </w:pPr>
      <w:r w:rsidRPr="000E0219">
        <w:rPr>
          <w:rFonts w:hint="cs"/>
          <w:rtl/>
        </w:rPr>
        <w:t>אמון הציבור</w:t>
      </w:r>
    </w:p>
    <w:p w:rsidR="00E92F67" w:rsidRPr="00DC3374" w:rsidP="00E81188" w14:paraId="66EEBEF8" w14:textId="2ABEF6D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021250E" w14:textId="77777777">
      <w:pPr>
        <w:pStyle w:val="ListParagraph"/>
        <w:numPr>
          <w:ilvl w:val="0"/>
          <w:numId w:val="7"/>
        </w:numPr>
        <w:spacing w:line="269" w:lineRule="auto"/>
        <w:ind w:left="312"/>
      </w:pPr>
      <w:r w:rsidRPr="00DC3374">
        <w:rPr>
          <w:rFonts w:hint="cs"/>
          <w:rtl/>
        </w:rPr>
        <w:t>משרד מבקר המדינה בחן, באמצעות הסקר, באיזו מידה הציבור נתן אמון בגורמים האחראים לניהול המשבר בשתי נקודות זמן: בתקופת הסגר הראשון (באפריל 2020), ובדצמבר 2020, לאחר סיום הסגר השני ולפני הסגר השלישי</w:t>
      </w:r>
      <w:r>
        <w:rPr>
          <w:rStyle w:val="FootnoteReference1"/>
          <w:rtl/>
        </w:rPr>
        <w:footnoteReference w:id="21"/>
      </w:r>
      <w:r w:rsidRPr="00DC3374">
        <w:rPr>
          <w:rFonts w:hint="cs"/>
          <w:rtl/>
        </w:rPr>
        <w:t>. להלן בתרשים ממצאי הסקר. יצוין כי בתרשים מוצגים נתונים סטטיסטיים מובהקים - על משיבים שהביעו אמון רב ועל משיבים שהביעו אמון מצומצם, ולא מוצגים נתונים על שאר המשיבים, שכן נתונים אלה לא היו מובהקים סטטיסטית.</w:t>
      </w:r>
    </w:p>
    <w:p w:rsidR="00E92F67" w:rsidRPr="00DC3374" w:rsidP="00E81188" w14:paraId="429778AE" w14:textId="771DA6C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47FD88F2" w14:textId="77777777">
      <w:pPr>
        <w:spacing w:line="269" w:lineRule="auto"/>
        <w:jc w:val="center"/>
        <w:rPr>
          <w:b/>
          <w:bCs/>
          <w:rtl/>
        </w:rPr>
      </w:pPr>
      <w:r w:rsidRPr="00DC3374">
        <w:rPr>
          <w:b/>
          <w:bCs/>
          <w:rtl/>
        </w:rPr>
        <w:t>תרשים</w:t>
      </w:r>
      <w:r w:rsidRPr="00DC3374">
        <w:rPr>
          <w:rFonts w:hint="cs"/>
          <w:b/>
          <w:bCs/>
          <w:rtl/>
        </w:rPr>
        <w:t xml:space="preserve"> 8</w:t>
      </w:r>
      <w:r w:rsidRPr="00DC3374">
        <w:rPr>
          <w:b/>
          <w:bCs/>
          <w:rtl/>
        </w:rPr>
        <w:t xml:space="preserve">: </w:t>
      </w:r>
      <w:r w:rsidRPr="00DC3374">
        <w:rPr>
          <w:rFonts w:hint="cs"/>
          <w:b/>
          <w:bCs/>
          <w:rtl/>
        </w:rPr>
        <w:t>מידת האמון בגורמים האחראים לניהול המשבר</w:t>
      </w:r>
    </w:p>
    <w:p w:rsidR="00E92F67" w:rsidRPr="00DC3374" w:rsidP="00E81188" w14:paraId="647B8EAB" w14:textId="77777777">
      <w:pPr>
        <w:spacing w:line="269" w:lineRule="auto"/>
        <w:jc w:val="center"/>
        <w:rPr>
          <w:b/>
          <w:bCs/>
          <w:rtl/>
        </w:rPr>
      </w:pPr>
      <w:r w:rsidRPr="00DC3374">
        <w:rPr>
          <w:b/>
          <w:bCs/>
          <w:noProof/>
        </w:rPr>
        <w:drawing>
          <wp:inline distT="0" distB="0" distL="0" distR="0">
            <wp:extent cx="5200650" cy="1600200"/>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9532" name="Picture 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l="183" r="-1" b="11579"/>
                    <a:stretch>
                      <a:fillRect/>
                    </a:stretch>
                  </pic:blipFill>
                  <pic:spPr bwMode="auto">
                    <a:xfrm>
                      <a:off x="0" y="0"/>
                      <a:ext cx="5200650" cy="16002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F26F18" w14:paraId="731D1F64" w14:textId="20526021">
      <w:pPr>
        <w:spacing w:line="269" w:lineRule="auto"/>
        <w:ind w:left="312"/>
        <w:rPr>
          <w:szCs w:val="20"/>
          <w:rtl/>
        </w:rPr>
      </w:pPr>
      <w:r>
        <w:rPr>
          <w:rFonts w:hint="cs"/>
          <w:szCs w:val="20"/>
          <w:rtl/>
        </w:rPr>
        <w:t xml:space="preserve"> </w:t>
      </w:r>
      <w:r w:rsidRPr="00DC3374">
        <w:rPr>
          <w:rFonts w:hint="cs"/>
          <w:szCs w:val="20"/>
          <w:rtl/>
        </w:rPr>
        <w:t>על פי נתוני הסקר מדצמבר 2020, בעיבוד משרד מבקר המדינה.</w:t>
      </w:r>
    </w:p>
    <w:p w:rsidR="00E92F67" w:rsidRPr="00DC3374" w:rsidP="00E81188" w14:paraId="3F4A4766" w14:textId="712D49C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FA1E880" w14:textId="3B20F16A">
      <w:pPr>
        <w:spacing w:line="269" w:lineRule="auto"/>
        <w:ind w:left="312"/>
        <w:rPr>
          <w:rtl/>
        </w:rPr>
      </w:pPr>
      <w:r w:rsidRPr="00DC3374">
        <w:rPr>
          <w:rFonts w:asciiTheme="minorHAnsi" w:hAnsiTheme="minorHAnsi" w:hint="cs"/>
          <w:b/>
          <w:bCs/>
          <w:sz w:val="22"/>
          <w:rtl/>
        </w:rPr>
        <w:t xml:space="preserve">מהתרשים עולה כי בין תקופת הסגר הראשון (אפריל 2020) ועד לתקופה שלפני הסגר השלישי (דצמבר 2020) חלה ירידה ניכרת במידת האמון של כלל האוכלוסייה בגורמים האחראים לניהול המשבר. בתחילת המשבר 45% מכלל האוכלוסייה הביעו מידה רבה של </w:t>
      </w:r>
      <w:r w:rsidRPr="00DC3374">
        <w:rPr>
          <w:rFonts w:asciiTheme="minorHAnsi" w:hAnsiTheme="minorHAnsi" w:hint="cs"/>
          <w:b/>
          <w:bCs/>
          <w:sz w:val="22"/>
          <w:rtl/>
        </w:rPr>
        <w:t xml:space="preserve">אמון בגורמים האחראים לניהול המשבר, ואילו כעבור </w:t>
      </w:r>
      <w:r>
        <w:rPr>
          <w:rFonts w:asciiTheme="minorHAnsi" w:hAnsiTheme="minorHAnsi" w:hint="cs"/>
          <w:b/>
          <w:bCs/>
          <w:sz w:val="22"/>
          <w:rtl/>
        </w:rPr>
        <w:t>9</w:t>
      </w:r>
      <w:r w:rsidRPr="00DC3374">
        <w:rPr>
          <w:rFonts w:asciiTheme="minorHAnsi" w:hAnsiTheme="minorHAnsi" w:hint="cs"/>
          <w:b/>
          <w:bCs/>
          <w:sz w:val="22"/>
          <w:rtl/>
        </w:rPr>
        <w:t xml:space="preserve"> חודשים רק 19% הביעו מידה רבה של אמון בהם. </w:t>
      </w:r>
    </w:p>
    <w:p w:rsidR="00E92F67" w:rsidRPr="00DC3374" w:rsidP="00E81188" w14:paraId="2BA79E8C" w14:textId="6878FCA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87A3A79" w14:textId="77777777">
      <w:pPr>
        <w:spacing w:line="269" w:lineRule="auto"/>
        <w:ind w:left="312"/>
        <w:rPr>
          <w:szCs w:val="20"/>
          <w:rtl/>
        </w:rPr>
      </w:pPr>
      <w:r w:rsidRPr="00DC3374">
        <w:rPr>
          <w:rFonts w:asciiTheme="minorHAnsi" w:hAnsiTheme="minorHAnsi" w:hint="cs"/>
          <w:sz w:val="22"/>
          <w:rtl/>
        </w:rPr>
        <w:t>הירידה בשיעור האמון עולה גם מסקרים שביצע פקע"ר לאורך תקופת משבר הקורונה, ובהם נשאל הציבור האם הוא סומך על רשויות המדינה ועל יכולתן להתמודד עם הנגיף בארץ. להלן סיכום הממצאים מ-15 סקרים כלל-ארציים שביצע פקע"ר באמצעות שאלונים מקוונים</w:t>
      </w:r>
      <w:r>
        <w:rPr>
          <w:rStyle w:val="FootnoteReference1"/>
          <w:rFonts w:asciiTheme="minorHAnsi" w:hAnsiTheme="minorHAnsi"/>
          <w:sz w:val="22"/>
          <w:rtl/>
        </w:rPr>
        <w:footnoteReference w:id="22"/>
      </w:r>
      <w:r w:rsidRPr="00DC3374">
        <w:rPr>
          <w:rFonts w:asciiTheme="minorHAnsi" w:hAnsiTheme="minorHAnsi" w:hint="cs"/>
          <w:sz w:val="22"/>
          <w:rtl/>
        </w:rPr>
        <w:t>, שנערכו במרווחים של ימים, שבועות או חודשים.</w:t>
      </w:r>
    </w:p>
    <w:p w:rsidR="00E92F67" w:rsidRPr="00DC3374" w:rsidP="00E81188" w14:paraId="64221716" w14:textId="447A1BB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ADC8CC0" w14:textId="77777777">
      <w:pPr>
        <w:spacing w:line="269" w:lineRule="auto"/>
        <w:ind w:left="312"/>
        <w:jc w:val="center"/>
        <w:rPr>
          <w:rtl/>
        </w:rPr>
      </w:pPr>
      <w:r w:rsidRPr="00DC3374">
        <w:rPr>
          <w:rFonts w:asciiTheme="minorHAnsi" w:hAnsiTheme="minorHAnsi" w:hint="eastAsia"/>
          <w:b/>
          <w:bCs/>
          <w:sz w:val="22"/>
          <w:rtl/>
        </w:rPr>
        <w:t>תרשים</w:t>
      </w:r>
      <w:r w:rsidRPr="00DC3374">
        <w:rPr>
          <w:rFonts w:asciiTheme="minorHAnsi" w:hAnsiTheme="minorHAnsi"/>
          <w:b/>
          <w:bCs/>
          <w:sz w:val="22"/>
          <w:rtl/>
        </w:rPr>
        <w:t xml:space="preserve"> </w:t>
      </w:r>
      <w:r w:rsidRPr="00DC3374">
        <w:rPr>
          <w:rFonts w:asciiTheme="minorHAnsi" w:hAnsiTheme="minorHAnsi" w:hint="cs"/>
          <w:b/>
          <w:bCs/>
          <w:sz w:val="22"/>
          <w:rtl/>
        </w:rPr>
        <w:t>9</w:t>
      </w:r>
      <w:r w:rsidRPr="00DC3374">
        <w:rPr>
          <w:rFonts w:asciiTheme="minorHAnsi" w:hAnsiTheme="minorHAnsi"/>
          <w:b/>
          <w:bCs/>
          <w:sz w:val="22"/>
          <w:rtl/>
        </w:rPr>
        <w:t xml:space="preserve">: </w:t>
      </w:r>
      <w:r w:rsidRPr="00DC3374">
        <w:rPr>
          <w:rFonts w:asciiTheme="minorHAnsi" w:hAnsiTheme="minorHAnsi" w:hint="eastAsia"/>
          <w:b/>
          <w:bCs/>
          <w:sz w:val="22"/>
          <w:rtl/>
        </w:rPr>
        <w:t>שיעור</w:t>
      </w:r>
      <w:r w:rsidRPr="00DC3374">
        <w:rPr>
          <w:rFonts w:asciiTheme="minorHAnsi" w:hAnsiTheme="minorHAnsi"/>
          <w:b/>
          <w:bCs/>
          <w:sz w:val="22"/>
          <w:rtl/>
        </w:rPr>
        <w:t xml:space="preserve"> </w:t>
      </w:r>
      <w:r w:rsidRPr="00DC3374">
        <w:rPr>
          <w:rFonts w:asciiTheme="minorHAnsi" w:hAnsiTheme="minorHAnsi" w:hint="eastAsia"/>
          <w:b/>
          <w:bCs/>
          <w:sz w:val="22"/>
          <w:rtl/>
        </w:rPr>
        <w:t>המשיבים</w:t>
      </w:r>
      <w:r w:rsidRPr="00DC3374">
        <w:rPr>
          <w:rFonts w:asciiTheme="minorHAnsi" w:hAnsiTheme="minorHAnsi"/>
          <w:b/>
          <w:bCs/>
          <w:sz w:val="22"/>
          <w:rtl/>
        </w:rPr>
        <w:t xml:space="preserve"> </w:t>
      </w:r>
      <w:r w:rsidRPr="00DC3374">
        <w:rPr>
          <w:rFonts w:asciiTheme="minorHAnsi" w:hAnsiTheme="minorHAnsi" w:hint="eastAsia"/>
          <w:b/>
          <w:bCs/>
          <w:sz w:val="22"/>
          <w:rtl/>
        </w:rPr>
        <w:t>כי</w:t>
      </w:r>
      <w:r w:rsidRPr="00DC3374">
        <w:rPr>
          <w:rFonts w:asciiTheme="minorHAnsi" w:hAnsiTheme="minorHAnsi"/>
          <w:b/>
          <w:bCs/>
          <w:sz w:val="22"/>
          <w:rtl/>
        </w:rPr>
        <w:t xml:space="preserve"> </w:t>
      </w:r>
      <w:r w:rsidRPr="00DC3374">
        <w:rPr>
          <w:rFonts w:asciiTheme="minorHAnsi" w:hAnsiTheme="minorHAnsi" w:hint="eastAsia"/>
          <w:b/>
          <w:bCs/>
          <w:sz w:val="22"/>
          <w:rtl/>
        </w:rPr>
        <w:t>הם</w:t>
      </w:r>
      <w:r w:rsidRPr="00DC3374">
        <w:rPr>
          <w:rFonts w:asciiTheme="minorHAnsi" w:hAnsiTheme="minorHAnsi"/>
          <w:b/>
          <w:bCs/>
          <w:sz w:val="22"/>
          <w:rtl/>
        </w:rPr>
        <w:t xml:space="preserve"> </w:t>
      </w:r>
      <w:r w:rsidRPr="00DC3374">
        <w:rPr>
          <w:rFonts w:asciiTheme="minorHAnsi" w:hAnsiTheme="minorHAnsi" w:hint="eastAsia"/>
          <w:b/>
          <w:bCs/>
          <w:sz w:val="22"/>
          <w:rtl/>
        </w:rPr>
        <w:t>סומכים</w:t>
      </w:r>
      <w:r w:rsidRPr="00DC3374">
        <w:rPr>
          <w:rFonts w:asciiTheme="minorHAnsi" w:hAnsiTheme="minorHAnsi"/>
          <w:b/>
          <w:bCs/>
          <w:sz w:val="22"/>
          <w:rtl/>
        </w:rPr>
        <w:t xml:space="preserve"> </w:t>
      </w:r>
      <w:r w:rsidRPr="00DC3374">
        <w:rPr>
          <w:rFonts w:asciiTheme="minorHAnsi" w:hAnsiTheme="minorHAnsi" w:hint="eastAsia"/>
          <w:b/>
          <w:bCs/>
          <w:sz w:val="22"/>
          <w:rtl/>
        </w:rPr>
        <w:t>על</w:t>
      </w:r>
      <w:r w:rsidRPr="00DC3374">
        <w:rPr>
          <w:rFonts w:asciiTheme="minorHAnsi" w:hAnsiTheme="minorHAnsi"/>
          <w:b/>
          <w:bCs/>
          <w:sz w:val="22"/>
          <w:rtl/>
        </w:rPr>
        <w:t xml:space="preserve"> </w:t>
      </w:r>
      <w:r w:rsidRPr="00DC3374">
        <w:rPr>
          <w:rFonts w:asciiTheme="minorHAnsi" w:hAnsiTheme="minorHAnsi" w:hint="eastAsia"/>
          <w:b/>
          <w:bCs/>
          <w:sz w:val="22"/>
          <w:rtl/>
        </w:rPr>
        <w:t>רשויות</w:t>
      </w:r>
      <w:r w:rsidRPr="00DC3374">
        <w:rPr>
          <w:rFonts w:asciiTheme="minorHAnsi" w:hAnsiTheme="minorHAnsi"/>
          <w:b/>
          <w:bCs/>
          <w:sz w:val="22"/>
          <w:rtl/>
        </w:rPr>
        <w:t xml:space="preserve"> </w:t>
      </w:r>
      <w:r w:rsidRPr="00DC3374">
        <w:rPr>
          <w:rFonts w:asciiTheme="minorHAnsi" w:hAnsiTheme="minorHAnsi" w:hint="eastAsia"/>
          <w:b/>
          <w:bCs/>
          <w:sz w:val="22"/>
          <w:rtl/>
        </w:rPr>
        <w:t>המדינה</w:t>
      </w:r>
      <w:r w:rsidRPr="00DC3374">
        <w:rPr>
          <w:rFonts w:asciiTheme="minorHAnsi" w:hAnsiTheme="minorHAnsi" w:hint="cs"/>
          <w:b/>
          <w:bCs/>
          <w:sz w:val="22"/>
          <w:rtl/>
        </w:rPr>
        <w:t xml:space="preserve"> בסקרים של פקע"ר</w:t>
      </w:r>
      <w:r w:rsidRPr="00DC3374">
        <w:rPr>
          <w:rFonts w:asciiTheme="minorHAnsi" w:hAnsiTheme="minorHAnsi"/>
          <w:b/>
          <w:bCs/>
          <w:sz w:val="22"/>
          <w:rtl/>
        </w:rPr>
        <w:t xml:space="preserve">* </w:t>
      </w:r>
    </w:p>
    <w:p w:rsidR="00E92F67" w:rsidRPr="00DC3374" w:rsidP="00E81188" w14:paraId="4A10487D" w14:textId="77777777">
      <w:pPr>
        <w:spacing w:line="269" w:lineRule="auto"/>
        <w:ind w:left="-568"/>
        <w:jc w:val="center"/>
        <w:rPr>
          <w:rtl/>
        </w:rPr>
      </w:pPr>
      <w:r w:rsidRPr="00DC3374">
        <w:rPr>
          <w:noProof/>
        </w:rPr>
        <w:drawing>
          <wp:inline distT="0" distB="0" distL="0" distR="0">
            <wp:extent cx="6190936" cy="4893310"/>
            <wp:effectExtent l="0" t="0" r="635" b="2540"/>
            <wp:docPr id="1743882426" name="תמונה 174388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3646" name="Picture 6"/>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199610" cy="4900166"/>
                    </a:xfrm>
                    <a:prstGeom prst="rect">
                      <a:avLst/>
                    </a:prstGeom>
                    <a:noFill/>
                  </pic:spPr>
                </pic:pic>
              </a:graphicData>
            </a:graphic>
          </wp:inline>
        </w:drawing>
      </w:r>
    </w:p>
    <w:p w:rsidR="00E92F67" w:rsidRPr="00DC3374" w:rsidP="00E81188" w14:paraId="6DB9B9BA" w14:textId="77777777">
      <w:pPr>
        <w:spacing w:line="269" w:lineRule="auto"/>
        <w:ind w:left="-567"/>
        <w:rPr>
          <w:rFonts w:asciiTheme="minorHAnsi" w:hAnsiTheme="minorHAnsi"/>
          <w:szCs w:val="20"/>
          <w:rtl/>
        </w:rPr>
      </w:pPr>
      <w:r w:rsidRPr="00DC3374">
        <w:rPr>
          <w:rFonts w:asciiTheme="minorHAnsi" w:hAnsiTheme="minorHAnsi" w:hint="cs"/>
          <w:szCs w:val="20"/>
          <w:rtl/>
        </w:rPr>
        <w:t>על פי נתוני</w:t>
      </w:r>
      <w:r w:rsidRPr="00DC3374">
        <w:rPr>
          <w:rFonts w:asciiTheme="minorHAnsi" w:hAnsiTheme="minorHAnsi"/>
          <w:szCs w:val="20"/>
          <w:rtl/>
        </w:rPr>
        <w:t xml:space="preserve"> </w:t>
      </w:r>
      <w:r w:rsidRPr="00DC3374">
        <w:rPr>
          <w:rFonts w:asciiTheme="minorHAnsi" w:hAnsiTheme="minorHAnsi" w:hint="cs"/>
          <w:szCs w:val="20"/>
          <w:rtl/>
        </w:rPr>
        <w:t xml:space="preserve">פקע"ר - </w:t>
      </w:r>
      <w:r w:rsidRPr="00DC3374">
        <w:rPr>
          <w:rFonts w:asciiTheme="minorHAnsi" w:hAnsiTheme="minorHAnsi" w:hint="eastAsia"/>
          <w:szCs w:val="20"/>
          <w:rtl/>
        </w:rPr>
        <w:t>מדור</w:t>
      </w:r>
      <w:r w:rsidRPr="00DC3374">
        <w:rPr>
          <w:rFonts w:asciiTheme="minorHAnsi" w:hAnsiTheme="minorHAnsi"/>
          <w:szCs w:val="20"/>
          <w:rtl/>
        </w:rPr>
        <w:t xml:space="preserve"> </w:t>
      </w:r>
      <w:r w:rsidRPr="00DC3374">
        <w:rPr>
          <w:rFonts w:asciiTheme="minorHAnsi" w:hAnsiTheme="minorHAnsi" w:hint="eastAsia"/>
          <w:szCs w:val="20"/>
          <w:rtl/>
        </w:rPr>
        <w:t>מחקר</w:t>
      </w:r>
      <w:r w:rsidRPr="00DC3374">
        <w:rPr>
          <w:rFonts w:asciiTheme="minorHAnsi" w:hAnsiTheme="minorHAnsi"/>
          <w:szCs w:val="20"/>
          <w:rtl/>
        </w:rPr>
        <w:t xml:space="preserve"> </w:t>
      </w:r>
      <w:r w:rsidRPr="00DC3374">
        <w:rPr>
          <w:rFonts w:asciiTheme="minorHAnsi" w:hAnsiTheme="minorHAnsi" w:hint="eastAsia"/>
          <w:szCs w:val="20"/>
          <w:rtl/>
        </w:rPr>
        <w:t>ותודעה</w:t>
      </w:r>
      <w:r w:rsidRPr="00DC3374">
        <w:rPr>
          <w:rFonts w:asciiTheme="minorHAnsi" w:hAnsiTheme="minorHAnsi" w:hint="cs"/>
          <w:szCs w:val="20"/>
          <w:rtl/>
        </w:rPr>
        <w:t>, בעיבוד משרד מבקר המדינה</w:t>
      </w:r>
      <w:r w:rsidRPr="00DC3374">
        <w:rPr>
          <w:rFonts w:asciiTheme="minorHAnsi" w:hAnsiTheme="minorHAnsi"/>
          <w:szCs w:val="20"/>
          <w:rtl/>
        </w:rPr>
        <w:t xml:space="preserve">. </w:t>
      </w:r>
    </w:p>
    <w:p w:rsidR="00E92F67" w:rsidRPr="00DC3374" w:rsidP="00E81188" w14:paraId="0916F801" w14:textId="77777777">
      <w:pPr>
        <w:pStyle w:val="ListParagraph"/>
        <w:spacing w:line="269" w:lineRule="auto"/>
        <w:ind w:left="-207" w:hanging="362"/>
        <w:rPr>
          <w:rFonts w:asciiTheme="minorHAnsi" w:hAnsiTheme="minorHAnsi"/>
          <w:szCs w:val="20"/>
          <w:rtl/>
        </w:rPr>
      </w:pPr>
      <w:r w:rsidRPr="00DC3374">
        <w:rPr>
          <w:rFonts w:asciiTheme="minorHAnsi" w:hAnsiTheme="minorHAnsi" w:hint="cs"/>
          <w:szCs w:val="20"/>
          <w:rtl/>
        </w:rPr>
        <w:t xml:space="preserve">* </w:t>
      </w:r>
      <w:r w:rsidRPr="00DC3374">
        <w:rPr>
          <w:rFonts w:asciiTheme="minorHAnsi" w:hAnsiTheme="minorHAnsi" w:hint="eastAsia"/>
          <w:szCs w:val="20"/>
          <w:rtl/>
        </w:rPr>
        <w:t>הקו</w:t>
      </w:r>
      <w:r w:rsidRPr="00DC3374">
        <w:rPr>
          <w:rFonts w:asciiTheme="minorHAnsi" w:hAnsiTheme="minorHAnsi"/>
          <w:szCs w:val="20"/>
          <w:rtl/>
        </w:rPr>
        <w:t xml:space="preserve"> </w:t>
      </w:r>
      <w:r w:rsidRPr="00DC3374">
        <w:rPr>
          <w:rFonts w:asciiTheme="minorHAnsi" w:hAnsiTheme="minorHAnsi" w:hint="eastAsia"/>
          <w:szCs w:val="20"/>
          <w:rtl/>
        </w:rPr>
        <w:t>המקווקו</w:t>
      </w:r>
      <w:r w:rsidRPr="00DC3374">
        <w:rPr>
          <w:rFonts w:asciiTheme="minorHAnsi" w:hAnsiTheme="minorHAnsi"/>
          <w:szCs w:val="20"/>
          <w:rtl/>
        </w:rPr>
        <w:t xml:space="preserve"> </w:t>
      </w:r>
      <w:r w:rsidRPr="00DC3374">
        <w:rPr>
          <w:rFonts w:asciiTheme="minorHAnsi" w:hAnsiTheme="minorHAnsi" w:hint="eastAsia"/>
          <w:szCs w:val="20"/>
          <w:rtl/>
        </w:rPr>
        <w:t>מסמן</w:t>
      </w:r>
      <w:r w:rsidRPr="00DC3374">
        <w:rPr>
          <w:rFonts w:asciiTheme="minorHAnsi" w:hAnsiTheme="minorHAnsi"/>
          <w:szCs w:val="20"/>
          <w:rtl/>
        </w:rPr>
        <w:t xml:space="preserve"> </w:t>
      </w:r>
      <w:r w:rsidRPr="00DC3374">
        <w:rPr>
          <w:rFonts w:asciiTheme="minorHAnsi" w:hAnsiTheme="minorHAnsi" w:hint="cs"/>
          <w:szCs w:val="20"/>
          <w:rtl/>
        </w:rPr>
        <w:t xml:space="preserve">שעברו </w:t>
      </w:r>
      <w:r w:rsidRPr="00DC3374">
        <w:rPr>
          <w:rFonts w:asciiTheme="minorHAnsi" w:hAnsiTheme="minorHAnsi"/>
          <w:szCs w:val="20"/>
          <w:rtl/>
        </w:rPr>
        <w:t>יותר מחודשיים בין שני סקרים</w:t>
      </w:r>
      <w:r w:rsidRPr="00DC3374">
        <w:rPr>
          <w:rFonts w:asciiTheme="minorHAnsi" w:hAnsiTheme="minorHAnsi" w:hint="cs"/>
          <w:szCs w:val="20"/>
          <w:rtl/>
        </w:rPr>
        <w:t xml:space="preserve"> עוקבים.</w:t>
      </w:r>
    </w:p>
    <w:p w:rsidR="00E92F67" w:rsidRPr="00DC3374" w:rsidP="00E81188" w14:paraId="5134F356" w14:textId="0329DC9E">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E92F67" w:rsidRPr="00DC3374" w:rsidP="00E81188" w14:paraId="77681430" w14:textId="77777777">
      <w:pPr>
        <w:spacing w:line="269" w:lineRule="auto"/>
        <w:ind w:left="312"/>
        <w:rPr>
          <w:szCs w:val="20"/>
          <w:rtl/>
        </w:rPr>
      </w:pPr>
      <w:r w:rsidRPr="00DC3374">
        <w:rPr>
          <w:rFonts w:asciiTheme="minorHAnsi" w:hAnsiTheme="minorHAnsi" w:hint="cs"/>
          <w:b/>
          <w:bCs/>
          <w:sz w:val="22"/>
          <w:rtl/>
        </w:rPr>
        <w:t>מהתרשים עולה כי בתחילת המשבר, בחודש מרץ 2020, רוב המשיבים - כ-60% - ענו כי הם סומכים על רשויות המדינה בהתמודדות עם משבר הקורונה, ומיולי עד אמצע אוקטובר 2020 שיעור המשיבים כך היה קטן במידה ניכרת - כ-20% בלבד.</w:t>
      </w:r>
    </w:p>
    <w:p w:rsidR="00E92F67" w:rsidRPr="00DC3374" w:rsidP="00E81188" w14:paraId="6EDB6F7E" w14:textId="77777777">
      <w:pPr>
        <w:spacing w:line="269" w:lineRule="auto"/>
        <w:ind w:left="720" w:hanging="720"/>
        <w:rPr>
          <w:szCs w:val="20"/>
          <w:rtl/>
        </w:rPr>
      </w:pPr>
      <w:r w:rsidRPr="00DC3374">
        <w:rPr>
          <w:rtl/>
        </w:rPr>
        <w:br w:type="page"/>
      </w:r>
    </w:p>
    <w:p w:rsidR="00E92F67" w:rsidRPr="00DC3374" w:rsidP="00E81188" w14:paraId="735130ED" w14:textId="2D8125D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CCEF38E" w14:textId="77777777">
      <w:pPr>
        <w:pStyle w:val="ListParagraph"/>
        <w:numPr>
          <w:ilvl w:val="0"/>
          <w:numId w:val="7"/>
        </w:numPr>
        <w:spacing w:line="269" w:lineRule="auto"/>
      </w:pPr>
      <w:r w:rsidRPr="00DC3374">
        <w:rPr>
          <w:rFonts w:hint="cs"/>
          <w:rtl/>
        </w:rPr>
        <w:t>משרד מבקר המדינה בדק, באמצעות הסקר, מהם הגורמים העיקריים לירידה באמון הציבור בגורמים האחראים לניהול המשבר כאמור לעיל</w:t>
      </w:r>
      <w:r>
        <w:rPr>
          <w:rStyle w:val="FootnoteReference1"/>
          <w:rtl/>
        </w:rPr>
        <w:footnoteReference w:id="23"/>
      </w:r>
      <w:r w:rsidRPr="00DC3374">
        <w:rPr>
          <w:rFonts w:hint="cs"/>
          <w:rtl/>
        </w:rPr>
        <w:t>. בתרשים שלהלן עיקרי התשובות שעלו בקרב שלוש קבוצות האוכלוסייה.</w:t>
      </w:r>
    </w:p>
    <w:p w:rsidR="00E92F67" w:rsidRPr="00DC3374" w:rsidP="00E81188" w14:paraId="7A624102" w14:textId="398A814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664F34C" w14:textId="77777777">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10</w:t>
      </w:r>
      <w:r w:rsidRPr="00DC3374">
        <w:rPr>
          <w:b/>
          <w:bCs/>
          <w:rtl/>
        </w:rPr>
        <w:t xml:space="preserve">: </w:t>
      </w:r>
      <w:r w:rsidRPr="00DC3374">
        <w:rPr>
          <w:rFonts w:hint="eastAsia"/>
          <w:b/>
          <w:bCs/>
          <w:rtl/>
        </w:rPr>
        <w:t>הסיבות</w:t>
      </w:r>
      <w:r w:rsidRPr="00DC3374">
        <w:rPr>
          <w:b/>
          <w:bCs/>
          <w:rtl/>
        </w:rPr>
        <w:t xml:space="preserve"> </w:t>
      </w:r>
      <w:r w:rsidRPr="00DC3374">
        <w:rPr>
          <w:rFonts w:hint="eastAsia"/>
          <w:b/>
          <w:bCs/>
          <w:rtl/>
        </w:rPr>
        <w:t>העיקריות</w:t>
      </w:r>
      <w:r w:rsidRPr="00DC3374">
        <w:rPr>
          <w:b/>
          <w:bCs/>
          <w:rtl/>
        </w:rPr>
        <w:t xml:space="preserve"> </w:t>
      </w:r>
      <w:r w:rsidRPr="00DC3374">
        <w:rPr>
          <w:rFonts w:hint="eastAsia"/>
          <w:b/>
          <w:bCs/>
          <w:rtl/>
        </w:rPr>
        <w:t>לאי</w:t>
      </w:r>
      <w:r w:rsidRPr="00DC3374">
        <w:rPr>
          <w:rFonts w:hint="cs"/>
          <w:b/>
          <w:bCs/>
          <w:rtl/>
        </w:rPr>
        <w:t>-ה</w:t>
      </w:r>
      <w:r w:rsidRPr="00DC3374">
        <w:rPr>
          <w:rFonts w:hint="eastAsia"/>
          <w:b/>
          <w:bCs/>
          <w:rtl/>
        </w:rPr>
        <w:t>אמון</w:t>
      </w:r>
      <w:r w:rsidRPr="00DC3374">
        <w:rPr>
          <w:b/>
          <w:bCs/>
          <w:rtl/>
        </w:rPr>
        <w:t xml:space="preserve"> </w:t>
      </w:r>
      <w:r w:rsidRPr="00DC3374">
        <w:rPr>
          <w:rFonts w:hint="eastAsia"/>
          <w:b/>
          <w:bCs/>
          <w:rtl/>
        </w:rPr>
        <w:t>בגורמים</w:t>
      </w:r>
      <w:r w:rsidRPr="00DC3374">
        <w:rPr>
          <w:b/>
          <w:bCs/>
          <w:rtl/>
        </w:rPr>
        <w:t xml:space="preserve"> </w:t>
      </w:r>
      <w:r w:rsidRPr="00DC3374">
        <w:rPr>
          <w:rFonts w:hint="eastAsia"/>
          <w:b/>
          <w:bCs/>
          <w:rtl/>
        </w:rPr>
        <w:t>האחראים</w:t>
      </w:r>
      <w:r w:rsidRPr="00DC3374">
        <w:rPr>
          <w:b/>
          <w:bCs/>
          <w:rtl/>
        </w:rPr>
        <w:t xml:space="preserve"> </w:t>
      </w:r>
      <w:r w:rsidRPr="00DC3374">
        <w:rPr>
          <w:rFonts w:hint="eastAsia"/>
          <w:b/>
          <w:bCs/>
          <w:rtl/>
        </w:rPr>
        <w:t>לניהול</w:t>
      </w:r>
      <w:r w:rsidRPr="00DC3374">
        <w:rPr>
          <w:b/>
          <w:bCs/>
          <w:rtl/>
        </w:rPr>
        <w:t xml:space="preserve"> </w:t>
      </w:r>
      <w:r w:rsidRPr="00DC3374">
        <w:rPr>
          <w:rFonts w:hint="eastAsia"/>
          <w:b/>
          <w:bCs/>
          <w:rtl/>
        </w:rPr>
        <w:t>המשבר</w:t>
      </w:r>
      <w:r w:rsidRPr="00DC3374">
        <w:rPr>
          <w:rFonts w:hint="cs"/>
          <w:b/>
          <w:bCs/>
          <w:rtl/>
        </w:rPr>
        <w:t>*</w:t>
      </w:r>
    </w:p>
    <w:p w:rsidR="00E92F67" w:rsidRPr="00DC3374" w:rsidP="00E81188" w14:paraId="09D670F8" w14:textId="77777777">
      <w:pPr>
        <w:spacing w:line="269" w:lineRule="auto"/>
        <w:jc w:val="center"/>
        <w:rPr>
          <w:b/>
          <w:bCs/>
          <w:rtl/>
        </w:rPr>
      </w:pPr>
      <w:r w:rsidRPr="00DC3374">
        <w:rPr>
          <w:b/>
          <w:bCs/>
          <w:noProof/>
        </w:rPr>
        <w:drawing>
          <wp:inline distT="0" distB="0" distL="0" distR="0">
            <wp:extent cx="5210175" cy="2371725"/>
            <wp:effectExtent l="0" t="0" r="9525" b="9525"/>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04380" name="Picture 5"/>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0175" cy="2371725"/>
                    </a:xfrm>
                    <a:prstGeom prst="rect">
                      <a:avLst/>
                    </a:prstGeom>
                    <a:noFill/>
                    <a:ln>
                      <a:noFill/>
                    </a:ln>
                  </pic:spPr>
                </pic:pic>
              </a:graphicData>
            </a:graphic>
          </wp:inline>
        </w:drawing>
      </w:r>
    </w:p>
    <w:p w:rsidR="00E92F67" w:rsidRPr="00DC3374" w:rsidP="00E81188" w14:paraId="02B8A314" w14:textId="77777777">
      <w:pPr>
        <w:spacing w:line="269" w:lineRule="auto"/>
        <w:rPr>
          <w:szCs w:val="20"/>
          <w:rtl/>
        </w:rPr>
      </w:pPr>
      <w:r w:rsidRPr="00DC3374">
        <w:rPr>
          <w:rFonts w:hint="cs"/>
          <w:szCs w:val="20"/>
          <w:rtl/>
        </w:rPr>
        <w:t>על פי נתוני הסקר מדצמבר 2020,</w:t>
      </w:r>
      <w:r w:rsidRPr="00DC3374">
        <w:rPr>
          <w:szCs w:val="20"/>
          <w:rtl/>
        </w:rPr>
        <w:t xml:space="preserve"> </w:t>
      </w:r>
      <w:r w:rsidRPr="00DC3374">
        <w:rPr>
          <w:rFonts w:hint="cs"/>
          <w:szCs w:val="20"/>
          <w:rtl/>
        </w:rPr>
        <w:t>ב</w:t>
      </w:r>
      <w:r w:rsidRPr="00DC3374">
        <w:rPr>
          <w:szCs w:val="20"/>
          <w:rtl/>
        </w:rPr>
        <w:t>עיבוד משרד מבקר המדינה.</w:t>
      </w:r>
    </w:p>
    <w:p w:rsidR="00E92F67" w:rsidRPr="00DC3374" w:rsidP="00E81188" w14:paraId="0054E699" w14:textId="483DD925">
      <w:pPr>
        <w:spacing w:line="269" w:lineRule="auto"/>
        <w:ind w:left="282" w:hanging="282"/>
        <w:rPr>
          <w:rtl/>
        </w:rPr>
      </w:pPr>
      <w:r w:rsidRPr="00DC3374">
        <w:rPr>
          <w:rFonts w:hint="cs"/>
          <w:rtl/>
        </w:rPr>
        <w:t>*</w:t>
      </w:r>
      <w:r w:rsidRPr="00DC3374">
        <w:rPr>
          <w:rtl/>
        </w:rPr>
        <w:t xml:space="preserve"> </w:t>
      </w:r>
      <w:r w:rsidRPr="00DC3374">
        <w:rPr>
          <w:szCs w:val="20"/>
          <w:rtl/>
        </w:rPr>
        <w:t>"הנחיות לא הגיוניות" כולל את התשובות האלה</w:t>
      </w:r>
      <w:r w:rsidR="000C4F16">
        <w:rPr>
          <w:rFonts w:hint="cs"/>
          <w:szCs w:val="20"/>
          <w:rtl/>
        </w:rPr>
        <w:t xml:space="preserve"> (תשובה אחת או יותר)</w:t>
      </w:r>
      <w:r w:rsidRPr="00DC3374">
        <w:rPr>
          <w:szCs w:val="20"/>
          <w:rtl/>
        </w:rPr>
        <w:t>: פעולה לא הגיונית; אין החלטות ברורות; לא אמין; אין ניהול אחיד; חוסר מקצועי. "הנחיות לא הוגנות, אינן שוות לכולם" כולל את התשובות האלה: ההנחיות אינן הוגנות; אנשי ציבור הפרו את ההנחיות.</w:t>
      </w:r>
    </w:p>
    <w:p w:rsidR="00E92F67" w:rsidRPr="00DC3374" w:rsidP="00E81188" w14:paraId="541F3521" w14:textId="7AE6595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4C4610A5" w14:textId="13A39175">
      <w:pPr>
        <w:spacing w:line="269" w:lineRule="auto"/>
        <w:ind w:left="312"/>
        <w:rPr>
          <w:b/>
          <w:bCs/>
          <w:rtl/>
        </w:rPr>
      </w:pPr>
      <w:r w:rsidRPr="00DC3374">
        <w:rPr>
          <w:rFonts w:hint="cs"/>
          <w:b/>
          <w:bCs/>
          <w:rtl/>
        </w:rPr>
        <w:t>מממצאי הסקר עולה</w:t>
      </w:r>
      <w:r w:rsidRPr="00DC3374">
        <w:rPr>
          <w:rFonts w:hint="cs"/>
          <w:b/>
          <w:bCs/>
          <w:rtl/>
        </w:rPr>
        <w:t xml:space="preserve"> </w:t>
      </w:r>
      <w:r w:rsidRPr="00DC3374">
        <w:rPr>
          <w:rFonts w:hint="cs"/>
          <w:b/>
          <w:bCs/>
          <w:rtl/>
        </w:rPr>
        <w:t>כי הירידה באמון בקרב החברה היהודית נעוצה בעיקר ב</w:t>
      </w:r>
      <w:r w:rsidRPr="00DC3374">
        <w:rPr>
          <w:b/>
          <w:bCs/>
          <w:rtl/>
        </w:rPr>
        <w:t xml:space="preserve">תחושה </w:t>
      </w:r>
      <w:r w:rsidRPr="00DC3374">
        <w:rPr>
          <w:rFonts w:hint="cs"/>
          <w:b/>
          <w:bCs/>
          <w:rtl/>
        </w:rPr>
        <w:t xml:space="preserve">שההחלטות שמתקבלות אינן הגיוניות; שההנחיות התקבלו ממניעים לא ענייניים וכן בשל </w:t>
      </w:r>
      <w:r w:rsidRPr="00DC3374">
        <w:rPr>
          <w:b/>
          <w:bCs/>
          <w:rtl/>
        </w:rPr>
        <w:t>שינויים תכופים בהנחיות</w:t>
      </w:r>
      <w:r w:rsidRPr="00DC3374">
        <w:rPr>
          <w:rFonts w:hint="cs"/>
          <w:b/>
          <w:bCs/>
          <w:rtl/>
        </w:rPr>
        <w:t xml:space="preserve">. בחברה החרדית יש סיבה משמעותית נוספת: התחושה שההנחיות אינן שוות לכולם. </w:t>
      </w:r>
      <w:r w:rsidR="000C4F16">
        <w:rPr>
          <w:rFonts w:hint="cs"/>
          <w:b/>
          <w:bCs/>
          <w:rtl/>
        </w:rPr>
        <w:t xml:space="preserve">נוסף על כך, </w:t>
      </w:r>
      <w:r w:rsidRPr="00DC3374">
        <w:rPr>
          <w:rFonts w:hint="cs"/>
          <w:b/>
          <w:bCs/>
          <w:rtl/>
        </w:rPr>
        <w:t>בחברה הערבית נמצאה ירידה קלה יחסית באמון בשל ה</w:t>
      </w:r>
      <w:r w:rsidRPr="00DC3374">
        <w:rPr>
          <w:b/>
          <w:bCs/>
          <w:rtl/>
        </w:rPr>
        <w:t xml:space="preserve">שינויים </w:t>
      </w:r>
      <w:r w:rsidRPr="00DC3374">
        <w:rPr>
          <w:rFonts w:hint="cs"/>
          <w:b/>
          <w:bCs/>
          <w:rtl/>
        </w:rPr>
        <w:t>ה</w:t>
      </w:r>
      <w:r w:rsidRPr="00DC3374">
        <w:rPr>
          <w:b/>
          <w:bCs/>
          <w:rtl/>
        </w:rPr>
        <w:t xml:space="preserve">תכופים </w:t>
      </w:r>
      <w:r w:rsidRPr="00DC3374">
        <w:rPr>
          <w:rFonts w:hint="cs"/>
          <w:b/>
          <w:bCs/>
          <w:rtl/>
        </w:rPr>
        <w:t xml:space="preserve">שנעשו </w:t>
      </w:r>
      <w:r w:rsidRPr="00DC3374">
        <w:rPr>
          <w:b/>
          <w:bCs/>
          <w:rtl/>
        </w:rPr>
        <w:t xml:space="preserve">בהנחיות, </w:t>
      </w:r>
      <w:r w:rsidRPr="00DC3374">
        <w:rPr>
          <w:rFonts w:hint="cs"/>
          <w:b/>
          <w:bCs/>
          <w:rtl/>
        </w:rPr>
        <w:t>ב</w:t>
      </w:r>
      <w:r w:rsidRPr="00DC3374">
        <w:rPr>
          <w:b/>
          <w:bCs/>
          <w:rtl/>
        </w:rPr>
        <w:t xml:space="preserve">פגיעה הכלכלית </w:t>
      </w:r>
      <w:r w:rsidRPr="00DC3374">
        <w:rPr>
          <w:rFonts w:hint="cs"/>
          <w:b/>
          <w:bCs/>
          <w:rtl/>
        </w:rPr>
        <w:t xml:space="preserve">בציבור, </w:t>
      </w:r>
      <w:r w:rsidR="000C4F16">
        <w:rPr>
          <w:rFonts w:hint="cs"/>
          <w:b/>
          <w:bCs/>
          <w:rtl/>
        </w:rPr>
        <w:t>ב</w:t>
      </w:r>
      <w:r w:rsidRPr="00DC3374">
        <w:rPr>
          <w:rFonts w:hint="cs"/>
          <w:b/>
          <w:bCs/>
          <w:rtl/>
        </w:rPr>
        <w:t xml:space="preserve">תחושה שההנחיות אינן שוות לכולם </w:t>
      </w:r>
      <w:r w:rsidRPr="00DC3374">
        <w:rPr>
          <w:b/>
          <w:bCs/>
          <w:rtl/>
        </w:rPr>
        <w:t>ו</w:t>
      </w:r>
      <w:r w:rsidRPr="00DC3374">
        <w:rPr>
          <w:rFonts w:hint="cs"/>
          <w:b/>
          <w:bCs/>
          <w:rtl/>
        </w:rPr>
        <w:t>בהמשך העלייה ב</w:t>
      </w:r>
      <w:r w:rsidRPr="00DC3374">
        <w:rPr>
          <w:b/>
          <w:bCs/>
          <w:rtl/>
        </w:rPr>
        <w:t>רמת התחלואה.</w:t>
      </w:r>
    </w:p>
    <w:p w:rsidR="00E92F67" w:rsidRPr="00DC3374" w:rsidP="00E81188" w14:paraId="36F95578" w14:textId="77777777">
      <w:pPr>
        <w:spacing w:line="269" w:lineRule="auto"/>
        <w:ind w:left="720" w:hanging="720"/>
        <w:rPr>
          <w:rFonts w:eastAsiaTheme="majorEastAsia"/>
          <w:bCs/>
          <w:spacing w:val="40"/>
          <w:rtl/>
        </w:rPr>
      </w:pPr>
    </w:p>
    <w:p w:rsidR="00E92F67" w:rsidRPr="000E0219" w:rsidP="00E81188" w14:paraId="1650BA08" w14:textId="77777777">
      <w:pPr>
        <w:pStyle w:val="Heading5"/>
        <w:spacing w:line="269" w:lineRule="auto"/>
        <w:rPr>
          <w:rtl/>
        </w:rPr>
      </w:pPr>
      <w:r w:rsidRPr="000E0219">
        <w:rPr>
          <w:rFonts w:hint="cs"/>
          <w:rtl/>
        </w:rPr>
        <w:t>הציות להנחיות</w:t>
      </w:r>
    </w:p>
    <w:p w:rsidR="00E92F67" w:rsidRPr="00DC3374" w:rsidP="00E81188" w14:paraId="31FD8BCA" w14:textId="2ABF506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6E897C7" w14:textId="77777777">
      <w:pPr>
        <w:spacing w:line="269" w:lineRule="auto"/>
        <w:rPr>
          <w:rtl/>
        </w:rPr>
      </w:pPr>
      <w:r w:rsidRPr="00DC3374">
        <w:rPr>
          <w:rFonts w:asciiTheme="minorHAnsi" w:hAnsiTheme="minorHAnsi" w:hint="cs"/>
          <w:sz w:val="22"/>
          <w:rtl/>
        </w:rPr>
        <w:t>מטרת ההסברה היא כאמור להניע את האוכלוסייה לפעולה כדי להתמודד ביעילות עם מצבי חירום שונים.</w:t>
      </w:r>
      <w:r w:rsidRPr="00DC3374">
        <w:rPr>
          <w:rFonts w:hint="cs"/>
          <w:b/>
          <w:bCs/>
          <w:rtl/>
        </w:rPr>
        <w:t xml:space="preserve"> </w:t>
      </w:r>
      <w:r w:rsidRPr="00DC3374">
        <w:rPr>
          <w:rFonts w:hint="cs"/>
          <w:rtl/>
        </w:rPr>
        <w:t>כדי לבחון אם מטרה זו הושגה, נבדקה בסקר מידת הציות של הציבור להנחיות העיקריות. להלן תוצאות הסקר בקרב כלל הציבור</w:t>
      </w:r>
      <w:r>
        <w:rPr>
          <w:rStyle w:val="FootnoteReference1"/>
          <w:rtl/>
        </w:rPr>
        <w:footnoteReference w:id="24"/>
      </w:r>
      <w:r w:rsidRPr="00DC3374">
        <w:rPr>
          <w:rFonts w:hint="cs"/>
          <w:rtl/>
        </w:rPr>
        <w:t>:</w:t>
      </w:r>
    </w:p>
    <w:p w:rsidR="00E92F67" w:rsidRPr="00DC3374" w:rsidP="00E81188" w14:paraId="04138D81" w14:textId="77777777">
      <w:pPr>
        <w:spacing w:line="269" w:lineRule="auto"/>
        <w:ind w:left="720" w:hanging="720"/>
        <w:rPr>
          <w:szCs w:val="20"/>
          <w:rtl/>
        </w:rPr>
      </w:pPr>
      <w:r w:rsidRPr="00DC3374">
        <w:rPr>
          <w:rtl/>
        </w:rPr>
        <w:br w:type="page"/>
      </w:r>
    </w:p>
    <w:p w:rsidR="00E92F67" w:rsidRPr="00DC3374" w:rsidP="00E81188" w14:paraId="7D284A07" w14:textId="0392442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DACE947" w14:textId="77777777">
      <w:pPr>
        <w:spacing w:line="269" w:lineRule="auto"/>
        <w:ind w:left="-1" w:right="-993"/>
        <w:jc w:val="center"/>
        <w:rPr>
          <w:b/>
          <w:bCs/>
          <w:rtl/>
        </w:rPr>
      </w:pPr>
      <w:r w:rsidRPr="00DC3374">
        <w:rPr>
          <w:rFonts w:hint="eastAsia"/>
          <w:b/>
          <w:bCs/>
          <w:rtl/>
        </w:rPr>
        <w:t>תרשים</w:t>
      </w:r>
      <w:r w:rsidRPr="00DC3374">
        <w:rPr>
          <w:b/>
          <w:bCs/>
          <w:rtl/>
        </w:rPr>
        <w:t xml:space="preserve"> </w:t>
      </w:r>
      <w:r w:rsidRPr="00DC3374">
        <w:rPr>
          <w:rFonts w:hint="cs"/>
          <w:b/>
          <w:bCs/>
          <w:rtl/>
        </w:rPr>
        <w:t>11</w:t>
      </w:r>
      <w:r w:rsidRPr="00DC3374">
        <w:rPr>
          <w:b/>
          <w:bCs/>
          <w:rtl/>
        </w:rPr>
        <w:t xml:space="preserve">: עד כמה אנשים בסביבתך מקפידים לציית להנחיות הבאות? </w:t>
      </w:r>
    </w:p>
    <w:p w:rsidR="00E92F67" w:rsidRPr="00DC3374" w:rsidP="00E81188" w14:paraId="3D7E10A6" w14:textId="77777777">
      <w:pPr>
        <w:spacing w:line="269" w:lineRule="auto"/>
        <w:ind w:left="-1" w:right="-993"/>
        <w:jc w:val="center"/>
        <w:rPr>
          <w:b/>
          <w:bCs/>
          <w:rtl/>
        </w:rPr>
      </w:pPr>
      <w:r w:rsidRPr="00DC3374">
        <w:rPr>
          <w:b/>
          <w:bCs/>
          <w:noProof/>
        </w:rPr>
        <w:drawing>
          <wp:inline distT="0" distB="0" distL="0" distR="0">
            <wp:extent cx="5219700" cy="3105150"/>
            <wp:effectExtent l="0" t="0" r="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66626" name="Picture 6"/>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3105150"/>
                    </a:xfrm>
                    <a:prstGeom prst="rect">
                      <a:avLst/>
                    </a:prstGeom>
                    <a:noFill/>
                    <a:ln>
                      <a:noFill/>
                    </a:ln>
                  </pic:spPr>
                </pic:pic>
              </a:graphicData>
            </a:graphic>
          </wp:inline>
        </w:drawing>
      </w:r>
    </w:p>
    <w:p w:rsidR="00E92F67" w:rsidRPr="00DC3374" w:rsidP="00E81188" w14:paraId="28519190" w14:textId="77777777">
      <w:pPr>
        <w:spacing w:line="269" w:lineRule="auto"/>
        <w:rPr>
          <w:szCs w:val="20"/>
          <w:rtl/>
        </w:rPr>
      </w:pPr>
      <w:r w:rsidRPr="00DC3374">
        <w:rPr>
          <w:rFonts w:hint="cs"/>
          <w:szCs w:val="20"/>
          <w:rtl/>
        </w:rPr>
        <w:t>על פי נתוני הסקר מדצמבר 2020, בעיבוד משרד מבקר המדינה.</w:t>
      </w:r>
    </w:p>
    <w:p w:rsidR="00E92F67" w:rsidRPr="00DC3374" w:rsidP="00E81188" w14:paraId="5C4A124F" w14:textId="5055A0E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0AD481A" w14:textId="77777777">
      <w:pPr>
        <w:spacing w:line="269" w:lineRule="auto"/>
        <w:rPr>
          <w:b/>
          <w:bCs/>
          <w:rtl/>
        </w:rPr>
      </w:pPr>
      <w:r w:rsidRPr="00DC3374">
        <w:rPr>
          <w:rFonts w:hint="cs"/>
          <w:b/>
          <w:bCs/>
          <w:rtl/>
        </w:rPr>
        <w:t>מממצאי הסקר עולה</w:t>
      </w:r>
      <w:r w:rsidRPr="00DC3374">
        <w:rPr>
          <w:rFonts w:hint="cs"/>
          <w:b/>
          <w:bCs/>
          <w:rtl/>
        </w:rPr>
        <w:t xml:space="preserve"> </w:t>
      </w:r>
      <w:r w:rsidRPr="00DC3374">
        <w:rPr>
          <w:rFonts w:hint="cs"/>
          <w:b/>
          <w:bCs/>
          <w:rtl/>
        </w:rPr>
        <w:t>כי רוב הציבור</w:t>
      </w:r>
      <w:r w:rsidRPr="00DC3374">
        <w:rPr>
          <w:b/>
          <w:bCs/>
          <w:rtl/>
        </w:rPr>
        <w:t xml:space="preserve"> </w:t>
      </w:r>
      <w:r w:rsidRPr="00DC3374">
        <w:rPr>
          <w:rFonts w:hint="cs"/>
          <w:b/>
          <w:bCs/>
          <w:rtl/>
        </w:rPr>
        <w:t>הקפיד לשמור על כללי הבידוד, על עטיית מסכה ועל הימנעות מהשתתפות באירועים גדולים. ועם זאת, כ-30% מהאוכלוסייה הקפידו על כך רק במידה בינונית או שלא הקפידו כלל. פחות ממחצית מהציבור הקפיד להימנע ממפגשים של חברים או משפחה ולשמור על מרחק כנדרש (44% ו-41%, בהתאמה) ו</w:t>
      </w:r>
      <w:r w:rsidRPr="00DC3374">
        <w:rPr>
          <w:b/>
          <w:bCs/>
          <w:rtl/>
        </w:rPr>
        <w:t>רוב הציבור</w:t>
      </w:r>
      <w:r w:rsidRPr="00DC3374">
        <w:rPr>
          <w:rFonts w:hint="cs"/>
          <w:b/>
          <w:bCs/>
          <w:rtl/>
        </w:rPr>
        <w:t xml:space="preserve"> הקפיד על כך במידה בינונית או שלא הקפיד כלל. </w:t>
      </w:r>
    </w:p>
    <w:p w:rsidR="00E92F67" w:rsidRPr="00DC3374" w:rsidP="00E81188" w14:paraId="32B3DA66" w14:textId="77777777">
      <w:pPr>
        <w:spacing w:line="269" w:lineRule="auto"/>
        <w:rPr>
          <w:rtl/>
        </w:rPr>
      </w:pPr>
    </w:p>
    <w:p w:rsidR="00E92F67" w:rsidRPr="00DC3374" w:rsidP="00E81188" w14:paraId="38CE4370" w14:textId="77777777">
      <w:pPr>
        <w:pStyle w:val="Heading5"/>
        <w:spacing w:line="269" w:lineRule="auto"/>
        <w:rPr>
          <w:rtl/>
        </w:rPr>
      </w:pPr>
      <w:r w:rsidRPr="00DC3374">
        <w:rPr>
          <w:rFonts w:hint="cs"/>
          <w:rtl/>
        </w:rPr>
        <w:t>הקשר שבין הבנה, שכנוע, אמון וציות</w:t>
      </w:r>
    </w:p>
    <w:p w:rsidR="00E92F67" w:rsidRPr="00DC3374" w:rsidP="00E81188" w14:paraId="5BFDE4FF" w14:textId="6FD3DE5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646E527" w14:textId="77777777">
      <w:pPr>
        <w:pStyle w:val="ListParagraph"/>
        <w:numPr>
          <w:ilvl w:val="0"/>
          <w:numId w:val="21"/>
        </w:numPr>
        <w:spacing w:line="269" w:lineRule="auto"/>
        <w:rPr>
          <w:rtl/>
        </w:rPr>
      </w:pPr>
      <w:r w:rsidRPr="00DC3374">
        <w:rPr>
          <w:rFonts w:hint="cs"/>
          <w:rtl/>
        </w:rPr>
        <w:t>משרד מבקר המדינה בדק באמצעות הסקר את הקשר שבין עמדות הציבור בדבר ההסברים להגבלות וההיגיון שבהן לבין מידת האמון בגורמים האחראים לניהול המשבר. להלן הממצאים:</w:t>
      </w:r>
    </w:p>
    <w:p w:rsidR="00E92F67" w:rsidRPr="00DC3374" w:rsidP="00E81188" w14:paraId="58D1CCD4" w14:textId="077D62B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3ABBBAF" w14:textId="4D2C4477">
      <w:pPr>
        <w:pStyle w:val="ListParagraph"/>
        <w:numPr>
          <w:ilvl w:val="1"/>
          <w:numId w:val="21"/>
        </w:numPr>
        <w:spacing w:line="269" w:lineRule="auto"/>
      </w:pPr>
      <w:r w:rsidRPr="00DC3374">
        <w:rPr>
          <w:rFonts w:hint="cs"/>
          <w:rtl/>
        </w:rPr>
        <w:t>רוב המשיבים שסומכים על מקבלי ההחלטות במידה רבה - 73%, סברו כי ההגבלות הוסברו היטב, ו-74% סברו כי ההיגיון בהגבלות היה מובן.</w:t>
      </w:r>
    </w:p>
    <w:p w:rsidR="00E92F67" w:rsidRPr="00DC3374" w:rsidP="00E81188" w14:paraId="6E4BD3CE" w14:textId="24FDBE0B">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E92F67" w:rsidRPr="00DC3374" w:rsidP="00E81188" w14:paraId="6E097E9E" w14:textId="77777777">
      <w:pPr>
        <w:pStyle w:val="ListParagraph"/>
        <w:numPr>
          <w:ilvl w:val="1"/>
          <w:numId w:val="21"/>
        </w:numPr>
        <w:spacing w:line="269" w:lineRule="auto"/>
      </w:pPr>
      <w:r w:rsidRPr="00DC3374">
        <w:rPr>
          <w:rFonts w:hint="cs"/>
          <w:rtl/>
        </w:rPr>
        <w:t>36% מהמשיבים שסומכים על מקבלי ההחלטות במידה בינונית סברו שההגבלות הוסברו היטב, ו-42% סברו שההיגיון בהגבלות היה מובן.</w:t>
      </w:r>
    </w:p>
    <w:p w:rsidR="00E92F67" w:rsidRPr="00DC3374" w:rsidP="00E81188" w14:paraId="7D4B6C1B" w14:textId="0F8E734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17F39A0" w14:textId="77777777">
      <w:pPr>
        <w:pStyle w:val="ListParagraph"/>
        <w:numPr>
          <w:ilvl w:val="1"/>
          <w:numId w:val="21"/>
        </w:numPr>
        <w:spacing w:line="269" w:lineRule="auto"/>
        <w:rPr>
          <w:rtl/>
        </w:rPr>
      </w:pPr>
      <w:r w:rsidRPr="00DC3374">
        <w:rPr>
          <w:rFonts w:hint="cs"/>
          <w:rtl/>
        </w:rPr>
        <w:t xml:space="preserve">18% מהמשיבים שאינם סומכים על מקבלי ההחלטות סברו שההגבלות הוסברו היטב, ו-20% מהם סברו שההיגיון שבהגבלות היה מובן. </w:t>
      </w:r>
    </w:p>
    <w:p w:rsidR="00E92F67" w:rsidRPr="00DC3374" w:rsidP="00E81188" w14:paraId="18D285AB" w14:textId="657ECA6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F5EC317" w14:textId="77777777">
      <w:pPr>
        <w:pStyle w:val="ListParagraph"/>
        <w:numPr>
          <w:ilvl w:val="0"/>
          <w:numId w:val="21"/>
        </w:numPr>
        <w:spacing w:line="269" w:lineRule="auto"/>
        <w:rPr>
          <w:rtl/>
        </w:rPr>
      </w:pPr>
      <w:r w:rsidRPr="00DC3374">
        <w:rPr>
          <w:rFonts w:hint="cs"/>
          <w:rtl/>
        </w:rPr>
        <w:t>משרד מבקר המדינה בדק באמצעות הסקר את הקשר שבין מידת האמון שהציבור רוחש למקבלי ההחלטות בניהול המשבר לבין מידת הציות להנחיות. להלן הממצאים:</w:t>
      </w:r>
    </w:p>
    <w:p w:rsidR="00E92F67" w:rsidRPr="00DC3374" w:rsidP="00E81188" w14:paraId="516F3E9E" w14:textId="2EBF7E5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3C21781" w14:textId="77777777">
      <w:pPr>
        <w:pStyle w:val="ListParagraph"/>
        <w:numPr>
          <w:ilvl w:val="1"/>
          <w:numId w:val="21"/>
        </w:numPr>
        <w:spacing w:line="269" w:lineRule="auto"/>
      </w:pPr>
      <w:r w:rsidRPr="00DC3374">
        <w:rPr>
          <w:rFonts w:hint="cs"/>
          <w:rtl/>
        </w:rPr>
        <w:t>רוב המשיבים שסומכים על מקבלי ההחלטות דיווחו שהם הקפידו על ההנחיות: 84% הקפידו לשמור על כללי הבידוד; 79% הקפידו על עטיית מסכה; 81% נמנעו מלהגיע לאירועים גדולים; 67% נמנעו מלהיפגש עם חברים ובני משפחה; ו-59% שמרו על מרחק של שני מטרים או יותר.</w:t>
      </w:r>
    </w:p>
    <w:p w:rsidR="00E92F67" w:rsidRPr="00DC3374" w:rsidP="00E81188" w14:paraId="380C7D1D" w14:textId="3932F419">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E92F67" w:rsidRPr="00DC3374" w:rsidP="00E81188" w14:paraId="5228A5CA" w14:textId="77777777">
      <w:pPr>
        <w:pStyle w:val="ListParagraph"/>
        <w:numPr>
          <w:ilvl w:val="1"/>
          <w:numId w:val="21"/>
        </w:numPr>
        <w:spacing w:line="269" w:lineRule="auto"/>
        <w:rPr>
          <w:rtl/>
        </w:rPr>
      </w:pPr>
      <w:r w:rsidRPr="00DC3374">
        <w:rPr>
          <w:rFonts w:hint="cs"/>
          <w:rtl/>
        </w:rPr>
        <w:t>מבין המשיבים שסומכים במידה בינונית על מקבלי ההחלטות, 74% הקפידו לשמור על כללי הבידוד; 72% הקפידו על עטיית מסכה; 63% נמנעו מלהגיע לאירועים גדולים; 44% נמנעו מלהיפגש עם חברים ובני משפחה; ו-44% שמרו על מרחק של שני מטרים או יותר.</w:t>
      </w:r>
    </w:p>
    <w:p w:rsidR="00E92F67" w:rsidRPr="00DC3374" w:rsidP="00E81188" w14:paraId="7C6D1191" w14:textId="4B9BE01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F47EA0C" w14:textId="77777777">
      <w:pPr>
        <w:pStyle w:val="ListParagraph"/>
        <w:numPr>
          <w:ilvl w:val="1"/>
          <w:numId w:val="21"/>
        </w:numPr>
        <w:spacing w:line="269" w:lineRule="auto"/>
      </w:pPr>
      <w:r w:rsidRPr="00DC3374">
        <w:rPr>
          <w:rFonts w:hint="cs"/>
          <w:rtl/>
        </w:rPr>
        <w:t>מבין המשיבים שאינם סומכים על מקבלי ההחלטות, 67% הקפידו לשמור על כללי הבידוד; 66% הקפידו על עטיית מסכה; 57% נמנעו מלהגיע לאירועים גדולים; 34% נמנעו מלהיפגש עם חברים ובני משפחה; ו-31% שמרו על מרחק של שני מטרים או יותר.</w:t>
      </w:r>
    </w:p>
    <w:p w:rsidR="00E92F67" w:rsidRPr="00DC3374" w:rsidP="00E81188" w14:paraId="04EAD0AA" w14:textId="77777777">
      <w:pPr>
        <w:spacing w:line="269" w:lineRule="auto"/>
        <w:ind w:left="-1"/>
        <w:jc w:val="center"/>
        <w:rPr>
          <w:rFonts w:ascii="Arial" w:hAnsi="Arial" w:cs="Arial"/>
          <w:b/>
          <w:bCs/>
          <w:sz w:val="36"/>
          <w:rtl/>
        </w:rPr>
      </w:pPr>
      <w:r w:rsidRPr="00DC3374">
        <w:rPr>
          <w:rFonts w:ascii="Segoe UI Symbol" w:hAnsi="Segoe UI Symbol" w:cs="Segoe UI Symbol" w:hint="cs"/>
          <w:b/>
          <w:bCs/>
          <w:sz w:val="36"/>
          <w:rtl/>
        </w:rPr>
        <w:t>✰</w:t>
      </w:r>
    </w:p>
    <w:p w:rsidR="00E92F67" w:rsidRPr="00DC3374" w:rsidP="00E81188" w14:paraId="3F53B870" w14:textId="2761E0E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9D780C0" w14:textId="77777777">
      <w:pPr>
        <w:spacing w:line="269" w:lineRule="auto"/>
        <w:ind w:left="-1"/>
        <w:rPr>
          <w:b/>
          <w:bCs/>
          <w:rtl/>
        </w:rPr>
      </w:pPr>
      <w:r w:rsidRPr="00DC3374">
        <w:rPr>
          <w:b/>
          <w:bCs/>
          <w:rtl/>
        </w:rPr>
        <w:t xml:space="preserve">אמון הציבור הוא </w:t>
      </w:r>
      <w:r w:rsidRPr="00DC3374">
        <w:rPr>
          <w:rFonts w:hint="cs"/>
          <w:b/>
          <w:bCs/>
          <w:rtl/>
        </w:rPr>
        <w:t xml:space="preserve">כאמור </w:t>
      </w:r>
      <w:r w:rsidRPr="00DC3374">
        <w:rPr>
          <w:b/>
          <w:bCs/>
          <w:rtl/>
        </w:rPr>
        <w:t>עקרון מפתח בהתמודדות ה</w:t>
      </w:r>
      <w:r w:rsidRPr="00DC3374">
        <w:rPr>
          <w:rFonts w:hint="cs"/>
          <w:b/>
          <w:bCs/>
          <w:rtl/>
        </w:rPr>
        <w:t>ה</w:t>
      </w:r>
      <w:r w:rsidRPr="00DC3374">
        <w:rPr>
          <w:b/>
          <w:bCs/>
          <w:rtl/>
        </w:rPr>
        <w:t>סברתית עם משבר בריאותי, והשגת האמון היא אחת ממטרות ההסברה</w:t>
      </w:r>
      <w:r w:rsidRPr="00DC3374">
        <w:rPr>
          <w:rFonts w:hint="cs"/>
          <w:b/>
          <w:bCs/>
          <w:rtl/>
        </w:rPr>
        <w:t xml:space="preserve"> כדי להגביר את מידת הציות של הציבור להנחיות. מ</w:t>
      </w:r>
      <w:r w:rsidRPr="00DC3374">
        <w:rPr>
          <w:rFonts w:hint="eastAsia"/>
          <w:b/>
          <w:bCs/>
          <w:rtl/>
        </w:rPr>
        <w:t>ממצאי</w:t>
      </w:r>
      <w:r w:rsidRPr="00DC3374">
        <w:rPr>
          <w:b/>
          <w:bCs/>
          <w:rtl/>
        </w:rPr>
        <w:t xml:space="preserve"> הסקר </w:t>
      </w:r>
      <w:r w:rsidRPr="00DC3374">
        <w:rPr>
          <w:rFonts w:hint="eastAsia"/>
          <w:b/>
          <w:bCs/>
          <w:rtl/>
        </w:rPr>
        <w:t>עלה</w:t>
      </w:r>
      <w:r w:rsidRPr="00DC3374">
        <w:rPr>
          <w:rFonts w:hint="cs"/>
          <w:rtl/>
        </w:rPr>
        <w:t xml:space="preserve"> </w:t>
      </w:r>
      <w:r w:rsidRPr="00DC3374">
        <w:rPr>
          <w:rFonts w:hint="cs"/>
          <w:b/>
          <w:bCs/>
          <w:rtl/>
        </w:rPr>
        <w:t>כי יש קשר בין מידת האמון של הציבור בגורמים האחראים לניהול המשבר ובין הציות להנחיות בכל הקטגוריות, כיוון שהבעת אמון גבוהה מקושרת להקפדה לציית לרוב סוגי ההנחיות.</w:t>
      </w:r>
      <w:r w:rsidRPr="00DC3374">
        <w:rPr>
          <w:rFonts w:hint="cs"/>
          <w:rtl/>
        </w:rPr>
        <w:t xml:space="preserve"> </w:t>
      </w:r>
      <w:r w:rsidRPr="00DC3374">
        <w:rPr>
          <w:rFonts w:hint="cs"/>
          <w:b/>
          <w:bCs/>
          <w:rtl/>
        </w:rPr>
        <w:t>מי שסומך על הגורמים האחראים לניהול המשבר בדבר ההגבלות שהוטלו על הציבור במהלך משבר הקורונה, נטה להסכים כי ההגבלות הוסברו באופן ברור וההיגיון שבהן היה מובן. מי שסמך פחות על אותם גורמים נטה להשיב כי ההגבלות לא היו ברורות וההיגיון שבבסיסן לא היה מובן. הממצאים מלמדים אפוא על הקשר שבין ההסברה לאמון הציבור בגורמים האחראים לניהול המשבר.</w:t>
      </w:r>
    </w:p>
    <w:p w:rsidR="00E92F67" w:rsidRPr="00DC3374" w:rsidP="00E81188" w14:paraId="2B72F3FB" w14:textId="607A673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P="00E81188" w14:paraId="7406C0CB" w14:textId="57BD5CAA">
      <w:pPr>
        <w:spacing w:line="269" w:lineRule="auto"/>
        <w:ind w:left="-1"/>
        <w:rPr>
          <w:b/>
          <w:bCs/>
          <w:rtl/>
        </w:rPr>
      </w:pPr>
      <w:r w:rsidRPr="00DC3374">
        <w:rPr>
          <w:rFonts w:hint="cs"/>
          <w:b/>
          <w:bCs/>
          <w:rtl/>
        </w:rPr>
        <w:t xml:space="preserve">מידת הציות להנחיות היא פועל יוצא (כאמור בתרשים 7) ממרכיבי התהליך - קבלת מידע, הבנת ההנחיות, השכנוע בנחיצותן והאמון בגורמים שגיבשו את ההנחיות. מכאן שקבלת המידע, הבנת ההנחיות, השכנוע בנחיצותן והאמון בגורמים שקבעו אותן מעלים את הסיכוי שהציבור יציית להנחיות. </w:t>
      </w:r>
    </w:p>
    <w:p w:rsidR="00E81188" w:rsidRPr="00DC3374" w:rsidP="00E81188" w14:paraId="1698C020" w14:textId="77777777">
      <w:pPr>
        <w:spacing w:line="269" w:lineRule="auto"/>
        <w:ind w:left="-1"/>
        <w:rPr>
          <w:b/>
          <w:bCs/>
          <w:rtl/>
        </w:rPr>
      </w:pPr>
    </w:p>
    <w:p w:rsidR="00E92F67" w:rsidRPr="00DC3374" w:rsidP="00E81188" w14:paraId="421F1911" w14:textId="77777777">
      <w:pPr>
        <w:pStyle w:val="Heading3"/>
        <w:spacing w:before="0" w:line="269" w:lineRule="auto"/>
        <w:rPr>
          <w:rtl/>
        </w:rPr>
      </w:pPr>
      <w:r w:rsidRPr="00DC3374">
        <w:rPr>
          <w:rFonts w:hint="cs"/>
          <w:rtl/>
        </w:rPr>
        <w:t xml:space="preserve">ממצאי ניתוח השיח ברשתות בדבר </w:t>
      </w:r>
      <w:r w:rsidRPr="00DC3374">
        <w:rPr>
          <w:rFonts w:hint="cs"/>
          <w:rtl/>
        </w:rPr>
        <w:t xml:space="preserve">הבנת </w:t>
      </w:r>
      <w:r w:rsidRPr="00DC3374">
        <w:rPr>
          <w:rFonts w:hint="cs"/>
          <w:rtl/>
        </w:rPr>
        <w:t>ההנחיות</w:t>
      </w:r>
      <w:r w:rsidRPr="00DC3374">
        <w:rPr>
          <w:rFonts w:hint="cs"/>
          <w:rtl/>
        </w:rPr>
        <w:t xml:space="preserve"> </w:t>
      </w:r>
      <w:r w:rsidRPr="00DC3374">
        <w:rPr>
          <w:rFonts w:hint="cs"/>
          <w:rtl/>
        </w:rPr>
        <w:t xml:space="preserve">בתחומים שונים והקשר לרמת </w:t>
      </w:r>
      <w:r w:rsidRPr="00DC3374">
        <w:rPr>
          <w:rFonts w:hint="cs"/>
          <w:rtl/>
        </w:rPr>
        <w:t>האמון בגורמים שקבעו אותן</w:t>
      </w:r>
    </w:p>
    <w:p w:rsidR="00E92F67" w:rsidRPr="00DC3374" w:rsidP="00E81188" w14:paraId="3E117B9D" w14:textId="6DEF55A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FC01917" w14:textId="77777777">
      <w:pPr>
        <w:spacing w:line="269" w:lineRule="auto"/>
        <w:rPr>
          <w:rtl/>
        </w:rPr>
      </w:pPr>
      <w:r w:rsidRPr="00DC3374">
        <w:rPr>
          <w:rFonts w:hint="cs"/>
          <w:rtl/>
        </w:rPr>
        <w:t>משרד מבקר המדינה ניתח את השיח ברשתות החברתיות בנושאים האלה: התקהלויות; נוהל בידוד; סגר והגבלות תנועה; מסכות; בדיקות קורונה; פתיחת מערכת החינוך; תו סגול</w:t>
      </w:r>
      <w:r>
        <w:rPr>
          <w:rStyle w:val="FootnoteReference1"/>
          <w:rtl/>
        </w:rPr>
        <w:footnoteReference w:id="25"/>
      </w:r>
      <w:r w:rsidRPr="00DC3374">
        <w:rPr>
          <w:rFonts w:hint="cs"/>
          <w:rtl/>
        </w:rPr>
        <w:t xml:space="preserve"> ופתיחת בתי עסק; ושיח כללי בנוגע להנחיות הקורונה. </w:t>
      </w:r>
    </w:p>
    <w:p w:rsidR="00E92F67" w:rsidRPr="00DC3374" w:rsidP="00E81188" w14:paraId="478F6624" w14:textId="13CC89F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34E444C" w14:textId="220A2FC4">
      <w:pPr>
        <w:spacing w:line="269" w:lineRule="auto"/>
        <w:rPr>
          <w:b/>
          <w:bCs/>
          <w:rtl/>
        </w:rPr>
      </w:pPr>
      <w:r w:rsidRPr="00DC3374">
        <w:rPr>
          <w:rFonts w:hint="eastAsia"/>
          <w:rtl/>
        </w:rPr>
        <w:t>בתרשים</w:t>
      </w:r>
      <w:r w:rsidRPr="00DC3374">
        <w:rPr>
          <w:rtl/>
        </w:rPr>
        <w:t xml:space="preserve"> שלהלן יוצגו </w:t>
      </w:r>
      <w:r w:rsidRPr="00DC3374">
        <w:rPr>
          <w:rFonts w:hint="eastAsia"/>
          <w:rtl/>
        </w:rPr>
        <w:t>היקפי</w:t>
      </w:r>
      <w:r w:rsidRPr="00DC3374">
        <w:rPr>
          <w:rtl/>
        </w:rPr>
        <w:t xml:space="preserve"> </w:t>
      </w:r>
      <w:r w:rsidRPr="00DC3374">
        <w:rPr>
          <w:rFonts w:hint="eastAsia"/>
          <w:rtl/>
        </w:rPr>
        <w:t>השיח</w:t>
      </w:r>
      <w:r w:rsidRPr="00DC3374">
        <w:rPr>
          <w:rtl/>
        </w:rPr>
        <w:t xml:space="preserve"> ברשתות החברתיות, </w:t>
      </w:r>
      <w:r w:rsidRPr="00DC3374">
        <w:rPr>
          <w:rFonts w:hint="eastAsia"/>
          <w:rtl/>
        </w:rPr>
        <w:t>לפי</w:t>
      </w:r>
      <w:r w:rsidRPr="00DC3374">
        <w:rPr>
          <w:rtl/>
        </w:rPr>
        <w:t xml:space="preserve"> </w:t>
      </w:r>
      <w:r w:rsidRPr="00DC3374">
        <w:rPr>
          <w:rFonts w:hint="eastAsia"/>
          <w:rtl/>
        </w:rPr>
        <w:t>נושאי</w:t>
      </w:r>
      <w:r w:rsidRPr="00DC3374">
        <w:rPr>
          <w:rtl/>
        </w:rPr>
        <w:t xml:space="preserve"> </w:t>
      </w:r>
      <w:r w:rsidRPr="00DC3374">
        <w:rPr>
          <w:rFonts w:hint="eastAsia"/>
          <w:rtl/>
        </w:rPr>
        <w:t>הליבה</w:t>
      </w:r>
      <w:r w:rsidRPr="00DC3374">
        <w:rPr>
          <w:rFonts w:hint="cs"/>
          <w:rtl/>
        </w:rPr>
        <w:t xml:space="preserve"> האמורים</w:t>
      </w:r>
      <w:r w:rsidRPr="00DC3374">
        <w:rPr>
          <w:rtl/>
        </w:rPr>
        <w:t xml:space="preserve">, </w:t>
      </w:r>
      <w:r w:rsidRPr="00DC3374">
        <w:rPr>
          <w:rFonts w:hint="eastAsia"/>
          <w:rtl/>
        </w:rPr>
        <w:t>ממרץ</w:t>
      </w:r>
      <w:r w:rsidRPr="00DC3374">
        <w:rPr>
          <w:rtl/>
        </w:rPr>
        <w:t xml:space="preserve"> </w:t>
      </w:r>
      <w:r w:rsidRPr="00DC3374">
        <w:rPr>
          <w:rFonts w:hint="eastAsia"/>
          <w:rtl/>
        </w:rPr>
        <w:t>עד</w:t>
      </w:r>
      <w:r w:rsidRPr="00DC3374">
        <w:rPr>
          <w:rtl/>
        </w:rPr>
        <w:t xml:space="preserve"> </w:t>
      </w:r>
      <w:r w:rsidRPr="00DC3374">
        <w:rPr>
          <w:rFonts w:hint="eastAsia"/>
          <w:rtl/>
        </w:rPr>
        <w:t>אוקטובר</w:t>
      </w:r>
      <w:r w:rsidRPr="00DC3374">
        <w:rPr>
          <w:rtl/>
        </w:rPr>
        <w:t xml:space="preserve"> 2020</w:t>
      </w:r>
      <w:r w:rsidRPr="00DC3374">
        <w:rPr>
          <w:rFonts w:hint="cs"/>
          <w:rtl/>
        </w:rPr>
        <w:t xml:space="preserve">, בחלוקה </w:t>
      </w:r>
      <w:r w:rsidRPr="00DC3374">
        <w:rPr>
          <w:rtl/>
        </w:rPr>
        <w:t>ל</w:t>
      </w:r>
      <w:r w:rsidRPr="00DC3374">
        <w:rPr>
          <w:rFonts w:hint="cs"/>
          <w:rtl/>
        </w:rPr>
        <w:t>שלוש</w:t>
      </w:r>
      <w:r w:rsidRPr="00DC3374">
        <w:rPr>
          <w:rtl/>
        </w:rPr>
        <w:t xml:space="preserve"> תקופות: הכניסה לסגר </w:t>
      </w:r>
      <w:r w:rsidRPr="00DC3374">
        <w:rPr>
          <w:rFonts w:hint="cs"/>
          <w:rtl/>
        </w:rPr>
        <w:t xml:space="preserve">הראשון </w:t>
      </w:r>
      <w:r w:rsidRPr="00DC3374">
        <w:rPr>
          <w:rtl/>
        </w:rPr>
        <w:t>עד ליציאה ממנו (מרץ-מאי</w:t>
      </w:r>
      <w:r w:rsidRPr="00DC3374">
        <w:rPr>
          <w:rFonts w:hint="cs"/>
          <w:rtl/>
        </w:rPr>
        <w:t xml:space="preserve"> 2020</w:t>
      </w:r>
      <w:r w:rsidRPr="00DC3374">
        <w:rPr>
          <w:rtl/>
        </w:rPr>
        <w:t>)</w:t>
      </w:r>
      <w:r w:rsidRPr="00DC3374">
        <w:rPr>
          <w:rFonts w:hint="cs"/>
          <w:rtl/>
        </w:rPr>
        <w:t>;</w:t>
      </w:r>
      <w:r w:rsidRPr="00DC3374">
        <w:rPr>
          <w:rtl/>
        </w:rPr>
        <w:t xml:space="preserve"> "שגרת </w:t>
      </w:r>
      <w:r w:rsidRPr="00DC3374">
        <w:rPr>
          <w:rFonts w:hint="cs"/>
          <w:rtl/>
        </w:rPr>
        <w:t>ה</w:t>
      </w:r>
      <w:r w:rsidRPr="00DC3374">
        <w:rPr>
          <w:rtl/>
        </w:rPr>
        <w:t>קורונה" (מאי-אוגוסט</w:t>
      </w:r>
      <w:r w:rsidRPr="00DC3374">
        <w:rPr>
          <w:rFonts w:hint="cs"/>
          <w:rtl/>
        </w:rPr>
        <w:t xml:space="preserve"> 2020</w:t>
      </w:r>
      <w:r w:rsidRPr="00DC3374">
        <w:rPr>
          <w:rtl/>
        </w:rPr>
        <w:t>)</w:t>
      </w:r>
      <w:r w:rsidRPr="00DC3374">
        <w:rPr>
          <w:rFonts w:hint="cs"/>
          <w:rtl/>
        </w:rPr>
        <w:t>;</w:t>
      </w:r>
      <w:r w:rsidRPr="00DC3374">
        <w:rPr>
          <w:rtl/>
        </w:rPr>
        <w:t xml:space="preserve"> והכניסה לסגר השני </w:t>
      </w:r>
      <w:r w:rsidRPr="00DC3374" w:rsidR="00B744A9">
        <w:rPr>
          <w:rtl/>
        </w:rPr>
        <w:t xml:space="preserve">בחגי תשרי </w:t>
      </w:r>
      <w:r w:rsidRPr="00DC3374">
        <w:rPr>
          <w:rFonts w:hint="cs"/>
          <w:rtl/>
        </w:rPr>
        <w:t xml:space="preserve">עד ליציאה ממנו </w:t>
      </w:r>
      <w:r w:rsidRPr="00DC3374">
        <w:rPr>
          <w:rtl/>
        </w:rPr>
        <w:t>(אוגוסט-אוקטובר</w:t>
      </w:r>
      <w:r w:rsidRPr="00DC3374">
        <w:rPr>
          <w:rFonts w:hint="cs"/>
          <w:rtl/>
        </w:rPr>
        <w:t xml:space="preserve"> 2020</w:t>
      </w:r>
      <w:r w:rsidRPr="00DC3374">
        <w:rPr>
          <w:rtl/>
        </w:rPr>
        <w:t>)</w:t>
      </w:r>
      <w:r w:rsidRPr="00DC3374">
        <w:rPr>
          <w:rFonts w:hint="cs"/>
          <w:rtl/>
        </w:rPr>
        <w:t>.</w:t>
      </w:r>
      <w:r w:rsidRPr="00DC3374">
        <w:rPr>
          <w:rFonts w:hint="cs"/>
          <w:b/>
          <w:bCs/>
          <w:rtl/>
        </w:rPr>
        <w:t xml:space="preserve"> </w:t>
      </w:r>
    </w:p>
    <w:p w:rsidR="00E81188" w14:paraId="4C9F13EA" w14:textId="2A56B21A">
      <w:pPr>
        <w:spacing w:line="240" w:lineRule="auto"/>
        <w:ind w:left="720" w:hanging="720"/>
        <w:rPr>
          <w:szCs w:val="20"/>
          <w:rtl/>
        </w:rPr>
      </w:pPr>
      <w:r>
        <w:rPr>
          <w:rtl/>
        </w:rPr>
        <w:br w:type="page"/>
      </w:r>
    </w:p>
    <w:p w:rsidR="00E92F67" w:rsidRPr="00DC3374" w:rsidP="00E81188" w14:paraId="5AFB4997" w14:textId="0D8F0729">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92F67" w:rsidRPr="00DC3374" w:rsidP="00E81188" w14:paraId="0DCBDEF6" w14:textId="77777777">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12</w:t>
      </w:r>
      <w:r w:rsidRPr="00DC3374">
        <w:rPr>
          <w:b/>
          <w:bCs/>
          <w:rtl/>
        </w:rPr>
        <w:t xml:space="preserve">: </w:t>
      </w:r>
      <w:r w:rsidRPr="00DC3374">
        <w:rPr>
          <w:rFonts w:hint="eastAsia"/>
          <w:b/>
          <w:bCs/>
          <w:rtl/>
        </w:rPr>
        <w:t>היקף</w:t>
      </w:r>
      <w:r w:rsidRPr="00DC3374">
        <w:rPr>
          <w:b/>
          <w:bCs/>
          <w:rtl/>
        </w:rPr>
        <w:t xml:space="preserve"> </w:t>
      </w:r>
      <w:r w:rsidRPr="00DC3374">
        <w:rPr>
          <w:rFonts w:hint="eastAsia"/>
          <w:b/>
          <w:bCs/>
          <w:rtl/>
        </w:rPr>
        <w:t>השיח</w:t>
      </w:r>
      <w:r w:rsidRPr="00DC3374">
        <w:rPr>
          <w:b/>
          <w:bCs/>
          <w:rtl/>
        </w:rPr>
        <w:t xml:space="preserve"> </w:t>
      </w:r>
      <w:r w:rsidRPr="00DC3374">
        <w:rPr>
          <w:rFonts w:hint="eastAsia"/>
          <w:b/>
          <w:bCs/>
          <w:rtl/>
        </w:rPr>
        <w:t>החברתי</w:t>
      </w:r>
      <w:r w:rsidRPr="00DC3374">
        <w:rPr>
          <w:b/>
          <w:bCs/>
          <w:rtl/>
        </w:rPr>
        <w:t xml:space="preserve"> </w:t>
      </w:r>
      <w:r w:rsidRPr="00DC3374">
        <w:rPr>
          <w:rFonts w:hint="eastAsia"/>
          <w:b/>
          <w:bCs/>
          <w:rtl/>
        </w:rPr>
        <w:t>לפי</w:t>
      </w:r>
      <w:r w:rsidRPr="00DC3374">
        <w:rPr>
          <w:b/>
          <w:bCs/>
          <w:rtl/>
        </w:rPr>
        <w:t xml:space="preserve"> נושאי ליבה, </w:t>
      </w:r>
      <w:r w:rsidRPr="00DC3374">
        <w:rPr>
          <w:rFonts w:hint="eastAsia"/>
          <w:b/>
          <w:bCs/>
          <w:rtl/>
        </w:rPr>
        <w:t>מרץ</w:t>
      </w:r>
      <w:r w:rsidRPr="00DC3374">
        <w:rPr>
          <w:b/>
          <w:bCs/>
          <w:rtl/>
        </w:rPr>
        <w:t xml:space="preserve"> </w:t>
      </w:r>
      <w:r w:rsidRPr="00DC3374">
        <w:rPr>
          <w:rFonts w:hint="eastAsia"/>
          <w:b/>
          <w:bCs/>
          <w:rtl/>
        </w:rPr>
        <w:t>עד</w:t>
      </w:r>
      <w:r w:rsidRPr="00DC3374">
        <w:rPr>
          <w:b/>
          <w:bCs/>
          <w:rtl/>
        </w:rPr>
        <w:t xml:space="preserve"> </w:t>
      </w:r>
      <w:r w:rsidRPr="00DC3374">
        <w:rPr>
          <w:rFonts w:hint="eastAsia"/>
          <w:b/>
          <w:bCs/>
          <w:rtl/>
        </w:rPr>
        <w:t>אוקטובר</w:t>
      </w:r>
      <w:r w:rsidRPr="00DC3374">
        <w:rPr>
          <w:b/>
          <w:bCs/>
          <w:rtl/>
        </w:rPr>
        <w:t xml:space="preserve"> 2020</w:t>
      </w:r>
    </w:p>
    <w:p w:rsidR="00E92F67" w:rsidRPr="00DC3374" w:rsidP="00E81188" w14:paraId="61354CDF" w14:textId="77777777">
      <w:pPr>
        <w:spacing w:line="269" w:lineRule="auto"/>
        <w:jc w:val="center"/>
        <w:rPr>
          <w:rtl/>
        </w:rPr>
      </w:pPr>
      <w:r w:rsidRPr="00DC3374">
        <w:rPr>
          <w:noProof/>
        </w:rPr>
        <w:drawing>
          <wp:inline distT="0" distB="0" distL="0" distR="0">
            <wp:extent cx="6140450" cy="2048510"/>
            <wp:effectExtent l="0" t="0" r="0" b="8890"/>
            <wp:docPr id="1743882430" name="תמונה 174388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82549" name="Picture 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6140450" cy="2048510"/>
                    </a:xfrm>
                    <a:prstGeom prst="rect">
                      <a:avLst/>
                    </a:prstGeom>
                    <a:noFill/>
                  </pic:spPr>
                </pic:pic>
              </a:graphicData>
            </a:graphic>
          </wp:inline>
        </w:drawing>
      </w:r>
    </w:p>
    <w:p w:rsidR="00E92F67" w:rsidRPr="00DC3374" w:rsidP="00E81188" w14:paraId="54D2E81E"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3A1FB053" w14:textId="645C035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CBC296E" w14:textId="77777777">
      <w:pPr>
        <w:spacing w:line="269" w:lineRule="auto"/>
        <w:ind w:left="-1"/>
        <w:rPr>
          <w:b/>
          <w:bCs/>
          <w:rtl/>
        </w:rPr>
      </w:pPr>
      <w:r w:rsidRPr="00DC3374">
        <w:rPr>
          <w:rFonts w:hint="cs"/>
          <w:b/>
          <w:bCs/>
          <w:rtl/>
        </w:rPr>
        <w:t>מממצאי ניתוח השיח ברשתות החברתיות עולה כי בתקופת הסגר הראשון, ממרץ עד מאי 2020, נושאי הליבה במוקד השיח היו נוהל הבידוד, בדיקות הקורונה וסגר והגבלות תנועה. במאי 2020, עם היציאה מהסגר, נושא פתיחת מערכת החינוך בלט בשיח ברשתות החברתיות, וממאי עד אוגוסט 2020 - לאחר הסגר הראשון, נושא עטיית המסכות היה במרכז השיח. בתקופת הסגר השני, אוגוסט עד אוקטובר 2020, הייתה עלייה מוחלטת בהיקף השיח בכלל, בהשוואה לחודשים הקודמים, ומוקד השיח נגע להתקהלויות (שיח רב על הפגנות, תפילות והתקהלויות ביישובים ובשכונות שבהם מתגוררת אוכלוסייה חרדית), נוהל הבידוד והגבלות התנועה.</w:t>
      </w:r>
    </w:p>
    <w:p w:rsidR="00E92F67" w:rsidRPr="00DC3374" w:rsidP="00E81188" w14:paraId="098E5388" w14:textId="593BCE7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427318B" w14:textId="27E69E6E">
      <w:pPr>
        <w:spacing w:line="269" w:lineRule="auto"/>
        <w:rPr>
          <w:szCs w:val="20"/>
          <w:rtl/>
        </w:rPr>
      </w:pPr>
      <w:r w:rsidRPr="00DC3374">
        <w:rPr>
          <w:rFonts w:hint="eastAsia"/>
          <w:rtl/>
        </w:rPr>
        <w:t>התרשים</w:t>
      </w:r>
      <w:r w:rsidRPr="00DC3374">
        <w:rPr>
          <w:rtl/>
        </w:rPr>
        <w:t xml:space="preserve"> </w:t>
      </w:r>
      <w:r w:rsidRPr="00DC3374">
        <w:rPr>
          <w:rFonts w:hint="eastAsia"/>
          <w:rtl/>
        </w:rPr>
        <w:t>שלהלן</w:t>
      </w:r>
      <w:r w:rsidRPr="00DC3374">
        <w:rPr>
          <w:rtl/>
        </w:rPr>
        <w:t xml:space="preserve"> </w:t>
      </w:r>
      <w:r w:rsidRPr="00DC3374">
        <w:rPr>
          <w:rFonts w:hint="eastAsia"/>
          <w:rtl/>
        </w:rPr>
        <w:t>מסכם</w:t>
      </w:r>
      <w:r w:rsidRPr="00DC3374">
        <w:rPr>
          <w:rtl/>
        </w:rPr>
        <w:t xml:space="preserve"> </w:t>
      </w:r>
      <w:r w:rsidRPr="00DC3374">
        <w:rPr>
          <w:rFonts w:hint="eastAsia"/>
          <w:rtl/>
        </w:rPr>
        <w:t>את</w:t>
      </w:r>
      <w:r w:rsidRPr="00DC3374">
        <w:rPr>
          <w:rtl/>
        </w:rPr>
        <w:t xml:space="preserve"> </w:t>
      </w:r>
      <w:r w:rsidRPr="00DC3374">
        <w:rPr>
          <w:rFonts w:hint="eastAsia"/>
          <w:rtl/>
        </w:rPr>
        <w:t>תוצאות</w:t>
      </w:r>
      <w:r w:rsidRPr="00DC3374">
        <w:rPr>
          <w:rtl/>
        </w:rPr>
        <w:t xml:space="preserve"> </w:t>
      </w:r>
      <w:r w:rsidRPr="00DC3374">
        <w:rPr>
          <w:rFonts w:hint="eastAsia"/>
          <w:rtl/>
        </w:rPr>
        <w:t>ניתוח</w:t>
      </w:r>
      <w:r w:rsidRPr="00DC3374">
        <w:rPr>
          <w:rtl/>
        </w:rPr>
        <w:t xml:space="preserve"> </w:t>
      </w:r>
      <w:r w:rsidRPr="00DC3374">
        <w:rPr>
          <w:rFonts w:hint="cs"/>
          <w:rtl/>
        </w:rPr>
        <w:t xml:space="preserve">השיח ברשתות החברתיות </w:t>
      </w:r>
      <w:r w:rsidRPr="00DC3374">
        <w:rPr>
          <w:rFonts w:hint="eastAsia"/>
          <w:rtl/>
        </w:rPr>
        <w:t>לפי</w:t>
      </w:r>
      <w:r w:rsidRPr="00DC3374">
        <w:rPr>
          <w:rtl/>
        </w:rPr>
        <w:t xml:space="preserve"> </w:t>
      </w:r>
      <w:r w:rsidRPr="00DC3374">
        <w:rPr>
          <w:rFonts w:hint="eastAsia"/>
          <w:rtl/>
        </w:rPr>
        <w:t>נושאי</w:t>
      </w:r>
      <w:r w:rsidRPr="00DC3374">
        <w:rPr>
          <w:rtl/>
        </w:rPr>
        <w:t xml:space="preserve"> </w:t>
      </w:r>
      <w:r w:rsidRPr="00DC3374">
        <w:rPr>
          <w:rFonts w:hint="eastAsia"/>
          <w:rtl/>
        </w:rPr>
        <w:t>הליבה</w:t>
      </w:r>
      <w:r w:rsidRPr="00DC3374">
        <w:rPr>
          <w:rtl/>
        </w:rPr>
        <w:t xml:space="preserve"> </w:t>
      </w:r>
      <w:r w:rsidRPr="00DC3374">
        <w:rPr>
          <w:rFonts w:hint="eastAsia"/>
          <w:rtl/>
        </w:rPr>
        <w:t>ולפי</w:t>
      </w:r>
      <w:r w:rsidRPr="00DC3374">
        <w:rPr>
          <w:rtl/>
        </w:rPr>
        <w:t xml:space="preserve"> </w:t>
      </w:r>
      <w:r w:rsidRPr="00DC3374">
        <w:rPr>
          <w:rFonts w:hint="cs"/>
          <w:rtl/>
        </w:rPr>
        <w:t>תוצאות ניתוח המלל ברשתות ב</w:t>
      </w:r>
      <w:r w:rsidRPr="00DC3374">
        <w:rPr>
          <w:rtl/>
        </w:rPr>
        <w:t>מדדים</w:t>
      </w:r>
      <w:r w:rsidRPr="00DC3374">
        <w:rPr>
          <w:rFonts w:hint="cs"/>
          <w:rtl/>
        </w:rPr>
        <w:t xml:space="preserve"> האלה</w:t>
      </w:r>
      <w:r w:rsidRPr="00DC3374">
        <w:rPr>
          <w:rtl/>
        </w:rPr>
        <w:t xml:space="preserve">: </w:t>
      </w:r>
      <w:r w:rsidRPr="00DC3374">
        <w:rPr>
          <w:rFonts w:hint="eastAsia"/>
          <w:rtl/>
        </w:rPr>
        <w:t>מידת</w:t>
      </w:r>
      <w:r w:rsidRPr="00DC3374">
        <w:rPr>
          <w:rtl/>
        </w:rPr>
        <w:t xml:space="preserve"> </w:t>
      </w:r>
      <w:r w:rsidRPr="00DC3374">
        <w:rPr>
          <w:rFonts w:hint="eastAsia"/>
          <w:rtl/>
        </w:rPr>
        <w:t>הבנת</w:t>
      </w:r>
      <w:r w:rsidRPr="00DC3374">
        <w:rPr>
          <w:rtl/>
        </w:rPr>
        <w:t xml:space="preserve"> </w:t>
      </w:r>
      <w:r w:rsidRPr="00DC3374">
        <w:rPr>
          <w:rFonts w:hint="cs"/>
          <w:rtl/>
        </w:rPr>
        <w:t>הציבור את ההנחיות;</w:t>
      </w:r>
      <w:r w:rsidRPr="00DC3374">
        <w:rPr>
          <w:rtl/>
        </w:rPr>
        <w:t xml:space="preserve"> </w:t>
      </w:r>
      <w:r w:rsidRPr="00DC3374">
        <w:rPr>
          <w:rFonts w:hint="cs"/>
          <w:rtl/>
        </w:rPr>
        <w:t>מידת השכנוע - המידה שבה הציבור שוכנע שההנחיות</w:t>
      </w:r>
      <w:r w:rsidRPr="00DC3374">
        <w:rPr>
          <w:rtl/>
        </w:rPr>
        <w:t xml:space="preserve"> </w:t>
      </w:r>
      <w:r w:rsidRPr="00DC3374">
        <w:rPr>
          <w:rFonts w:hint="eastAsia"/>
          <w:rtl/>
        </w:rPr>
        <w:t>מוצדקות</w:t>
      </w:r>
      <w:r w:rsidRPr="00DC3374">
        <w:rPr>
          <w:rtl/>
        </w:rPr>
        <w:t xml:space="preserve"> </w:t>
      </w:r>
      <w:r w:rsidRPr="00DC3374">
        <w:rPr>
          <w:rFonts w:hint="eastAsia"/>
          <w:rtl/>
        </w:rPr>
        <w:t>ו</w:t>
      </w:r>
      <w:r w:rsidRPr="00DC3374">
        <w:rPr>
          <w:rFonts w:hint="cs"/>
          <w:rtl/>
        </w:rPr>
        <w:t>ש</w:t>
      </w:r>
      <w:r w:rsidRPr="00DC3374">
        <w:rPr>
          <w:rFonts w:hint="eastAsia"/>
          <w:rtl/>
        </w:rPr>
        <w:t>יש</w:t>
      </w:r>
      <w:r w:rsidRPr="00DC3374">
        <w:rPr>
          <w:rtl/>
        </w:rPr>
        <w:t xml:space="preserve"> </w:t>
      </w:r>
      <w:r w:rsidRPr="00DC3374">
        <w:rPr>
          <w:rFonts w:hint="eastAsia"/>
          <w:rtl/>
        </w:rPr>
        <w:t>חשיבות</w:t>
      </w:r>
      <w:r w:rsidRPr="00DC3374">
        <w:rPr>
          <w:rtl/>
        </w:rPr>
        <w:t xml:space="preserve"> </w:t>
      </w:r>
      <w:r w:rsidRPr="00DC3374">
        <w:rPr>
          <w:rFonts w:hint="cs"/>
          <w:rtl/>
        </w:rPr>
        <w:t>בהקפדה לנהוג לפיהן; ו</w:t>
      </w:r>
      <w:r w:rsidRPr="00DC3374">
        <w:rPr>
          <w:rFonts w:hint="eastAsia"/>
          <w:rtl/>
        </w:rPr>
        <w:t>מידת</w:t>
      </w:r>
      <w:r w:rsidRPr="00DC3374">
        <w:rPr>
          <w:rtl/>
        </w:rPr>
        <w:t xml:space="preserve"> </w:t>
      </w:r>
      <w:r w:rsidRPr="00DC3374">
        <w:rPr>
          <w:rFonts w:hint="eastAsia"/>
          <w:rtl/>
        </w:rPr>
        <w:t>האמון</w:t>
      </w:r>
      <w:r w:rsidRPr="00DC3374">
        <w:rPr>
          <w:rtl/>
        </w:rPr>
        <w:t xml:space="preserve"> </w:t>
      </w:r>
      <w:r w:rsidRPr="00DC3374">
        <w:rPr>
          <w:rFonts w:hint="eastAsia"/>
          <w:rtl/>
        </w:rPr>
        <w:t>במקבלי</w:t>
      </w:r>
      <w:r w:rsidRPr="00DC3374">
        <w:rPr>
          <w:rtl/>
        </w:rPr>
        <w:t xml:space="preserve"> </w:t>
      </w:r>
      <w:r w:rsidRPr="00DC3374">
        <w:rPr>
          <w:rFonts w:hint="eastAsia"/>
          <w:rtl/>
        </w:rPr>
        <w:t>ההחלטות</w:t>
      </w:r>
      <w:r w:rsidRPr="00DC3374">
        <w:rPr>
          <w:rtl/>
        </w:rPr>
        <w:t>.</w:t>
      </w:r>
      <w:r w:rsidRPr="00DC3374">
        <w:rPr>
          <w:rFonts w:hint="cs"/>
          <w:rtl/>
        </w:rPr>
        <w:t xml:space="preserve"> הדירוג של תוצאות המדדים היה מ-0 עד 10. ציון מדד גבוה (7 - 10) מלמד על הבנה רבה או שכנוע רב או מידה רב</w:t>
      </w:r>
      <w:r w:rsidR="003C1802">
        <w:rPr>
          <w:rFonts w:hint="cs"/>
          <w:rtl/>
        </w:rPr>
        <w:t>ה של אמון; ציון מדד בינוני (</w:t>
      </w:r>
      <w:r w:rsidR="00BC7B9C">
        <w:rPr>
          <w:rFonts w:hint="cs"/>
          <w:rtl/>
        </w:rPr>
        <w:t xml:space="preserve">4 - 7, </w:t>
      </w:r>
      <w:r w:rsidR="003C1802">
        <w:rPr>
          <w:rFonts w:hint="cs"/>
          <w:rtl/>
        </w:rPr>
        <w:t>ולא עד בכלל)</w:t>
      </w:r>
      <w:r w:rsidRPr="00DC3374">
        <w:rPr>
          <w:rFonts w:hint="cs"/>
          <w:rtl/>
        </w:rPr>
        <w:t xml:space="preserve"> מלמד על הבנה בינונית או שכנוע בינוני או מידה בינונית של אמון; ציון מדד נמוך (0 - </w:t>
      </w:r>
      <w:r w:rsidR="003C1802">
        <w:rPr>
          <w:rFonts w:hint="cs"/>
          <w:rtl/>
        </w:rPr>
        <w:t>4, ולא עד בכלל</w:t>
      </w:r>
      <w:r w:rsidRPr="00DC3374">
        <w:rPr>
          <w:rFonts w:hint="cs"/>
          <w:rtl/>
        </w:rPr>
        <w:t xml:space="preserve">) מלמד על הבנה מעטה או שכנוע מועט או מידה מעטה של אמון. </w:t>
      </w:r>
    </w:p>
    <w:p w:rsidR="00E81188" w14:paraId="5EA4709E" w14:textId="3C42F030">
      <w:pPr>
        <w:spacing w:line="240" w:lineRule="auto"/>
        <w:ind w:left="720" w:hanging="720"/>
        <w:rPr>
          <w:szCs w:val="20"/>
          <w:rtl/>
        </w:rPr>
      </w:pPr>
      <w:r>
        <w:rPr>
          <w:rtl/>
        </w:rPr>
        <w:br w:type="page"/>
      </w:r>
    </w:p>
    <w:p w:rsidR="00E92F67" w:rsidRPr="00DC3374" w:rsidP="00E81188" w14:paraId="6F0546F6" w14:textId="2E13F4FD">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92F67" w:rsidRPr="00DC3374" w:rsidP="00E81188" w14:paraId="65815668" w14:textId="77777777">
      <w:pPr>
        <w:spacing w:line="269" w:lineRule="auto"/>
        <w:jc w:val="center"/>
        <w:rPr>
          <w:b/>
          <w:bCs/>
          <w:rtl/>
        </w:rPr>
      </w:pPr>
      <w:r w:rsidRPr="00DC3374">
        <w:rPr>
          <w:rFonts w:hint="cs"/>
          <w:b/>
          <w:bCs/>
          <w:rtl/>
        </w:rPr>
        <w:t xml:space="preserve">תרשים 13: התפלגות השיח ברשתות החברתיות לפי נושאי ליבה ותוצאות מדדי הבנה, שכנוע ואמון, </w:t>
      </w:r>
      <w:r w:rsidRPr="00DC3374">
        <w:rPr>
          <w:b/>
          <w:bCs/>
          <w:rtl/>
        </w:rPr>
        <w:t>מרץ-אוקטובר</w:t>
      </w:r>
      <w:r w:rsidRPr="00DC3374">
        <w:rPr>
          <w:rFonts w:hint="cs"/>
          <w:b/>
          <w:bCs/>
          <w:rtl/>
        </w:rPr>
        <w:t xml:space="preserve"> 2020*</w:t>
      </w:r>
    </w:p>
    <w:p w:rsidR="00E92F67" w:rsidRPr="00DC3374" w:rsidP="00E81188" w14:paraId="2DDCBB09" w14:textId="77777777">
      <w:pPr>
        <w:spacing w:line="269" w:lineRule="auto"/>
        <w:jc w:val="center"/>
        <w:rPr>
          <w:szCs w:val="20"/>
          <w:rtl/>
        </w:rPr>
      </w:pPr>
      <w:r w:rsidRPr="00DC3374">
        <w:rPr>
          <w:noProof/>
          <w:szCs w:val="20"/>
        </w:rPr>
        <w:drawing>
          <wp:anchor distT="0" distB="0" distL="114300" distR="114300" simplePos="0" relativeHeight="251658240" behindDoc="0" locked="0" layoutInCell="1" allowOverlap="1">
            <wp:simplePos x="0" y="0"/>
            <wp:positionH relativeFrom="margin">
              <wp:posOffset>4381500</wp:posOffset>
            </wp:positionH>
            <wp:positionV relativeFrom="paragraph">
              <wp:posOffset>2513330</wp:posOffset>
            </wp:positionV>
            <wp:extent cx="1021715" cy="370840"/>
            <wp:effectExtent l="0" t="0" r="6985"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97719" name="Picture 5"/>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1715" cy="370840"/>
                    </a:xfrm>
                    <a:prstGeom prst="rect">
                      <a:avLst/>
                    </a:prstGeom>
                    <a:noFill/>
                  </pic:spPr>
                </pic:pic>
              </a:graphicData>
            </a:graphic>
          </wp:anchor>
        </w:drawing>
      </w:r>
      <w:r w:rsidRPr="00DC3374">
        <w:rPr>
          <w:noProof/>
          <w:szCs w:val="20"/>
        </w:rPr>
        <w:drawing>
          <wp:inline distT="0" distB="0" distL="0" distR="0">
            <wp:extent cx="5798185" cy="2943765"/>
            <wp:effectExtent l="0" t="0" r="0"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01238" name="Picture 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4708" r="10004"/>
                    <a:stretch>
                      <a:fillRect/>
                    </a:stretch>
                  </pic:blipFill>
                  <pic:spPr bwMode="auto">
                    <a:xfrm>
                      <a:off x="0" y="0"/>
                      <a:ext cx="5846113" cy="296809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0800074A"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04244C25" w14:textId="085AC587">
      <w:pPr>
        <w:spacing w:line="269" w:lineRule="auto"/>
        <w:ind w:left="140" w:hanging="140"/>
        <w:rPr>
          <w:szCs w:val="20"/>
          <w:rtl/>
        </w:rPr>
      </w:pPr>
      <w:r w:rsidRPr="00DC3374">
        <w:rPr>
          <w:rFonts w:hint="cs"/>
          <w:szCs w:val="20"/>
          <w:rtl/>
        </w:rPr>
        <w:t>*</w:t>
      </w:r>
      <w:r w:rsidRPr="00DC3374">
        <w:rPr>
          <w:szCs w:val="20"/>
          <w:rtl/>
        </w:rPr>
        <w:t xml:space="preserve"> מדדי ההבנה בנושא "בדיקות קורונה", "פתיחת מערכת החינוך" ו"תו סגול ופתיחת עסקים" אינם מוצגים כיוון שמספר הפוסטים בעניינם לא עלה על רף התקפות הסטטיסטית.</w:t>
      </w:r>
      <w:r w:rsidR="009A11FC">
        <w:rPr>
          <w:szCs w:val="20"/>
          <w:rtl/>
        </w:rPr>
        <w:t xml:space="preserve"> </w:t>
      </w:r>
    </w:p>
    <w:p w:rsidR="00E92F67" w:rsidRPr="00DC3374" w:rsidP="00E81188" w14:paraId="7F89EBFF" w14:textId="2FD34DA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92F9D8E" w14:textId="77777777">
      <w:pPr>
        <w:spacing w:line="269" w:lineRule="auto"/>
        <w:ind w:left="-1"/>
        <w:rPr>
          <w:b/>
          <w:bCs/>
          <w:rtl/>
        </w:rPr>
      </w:pPr>
      <w:r w:rsidRPr="00DC3374">
        <w:rPr>
          <w:rFonts w:hint="cs"/>
          <w:b/>
          <w:bCs/>
          <w:rtl/>
        </w:rPr>
        <w:t xml:space="preserve">מהתרשים עולה כי מידת ההבנה נעה בטווח של 6.5 - 8.8, כלומר היא לרוב רבה; מידת השכנוע </w:t>
      </w:r>
      <w:r w:rsidRPr="00DC3374">
        <w:rPr>
          <w:rFonts w:hint="eastAsia"/>
          <w:b/>
          <w:bCs/>
          <w:rtl/>
        </w:rPr>
        <w:t>בדבר</w:t>
      </w:r>
      <w:r w:rsidRPr="00DC3374">
        <w:rPr>
          <w:b/>
          <w:bCs/>
          <w:rtl/>
        </w:rPr>
        <w:t xml:space="preserve"> </w:t>
      </w:r>
      <w:r w:rsidRPr="00DC3374">
        <w:rPr>
          <w:rFonts w:hint="cs"/>
          <w:b/>
          <w:bCs/>
          <w:rtl/>
        </w:rPr>
        <w:t>רוב</w:t>
      </w:r>
      <w:r w:rsidRPr="00DC3374">
        <w:rPr>
          <w:b/>
          <w:bCs/>
          <w:rtl/>
        </w:rPr>
        <w:t xml:space="preserve"> ההגבלות - סגר והגבלות תנועה, בדיקות קורונה, נוהל בידוד,</w:t>
      </w:r>
      <w:r w:rsidRPr="00DC3374">
        <w:rPr>
          <w:rStyle w:val="CommentReference"/>
          <w:rFonts w:hint="cs"/>
          <w:rtl/>
        </w:rPr>
        <w:t xml:space="preserve"> </w:t>
      </w:r>
      <w:r w:rsidRPr="00DC3374">
        <w:rPr>
          <w:rFonts w:hint="cs"/>
          <w:b/>
          <w:bCs/>
          <w:rtl/>
        </w:rPr>
        <w:t xml:space="preserve">תו סגול ופתיחת עסקים ופתיחת מערכת החינוך - היא בינונית (5.4 - 6.5), ובדבר שתיים מההגבלות - עטיית מסכות והתקהלויות - היא רבה (7.9 ו-8, בהתאמה). כלומר, הציבור שוכנע בדבר הנחיצות של שתי ההגבלות האמורות ושוכנע רק במידה חלקית בנחיצות של רובן. מידת האמון במקבלי ההחלטות הייתה נמוכה ברוב נושאי הליבה שנבדקו (1.9 - 2.9), והייתה בינונית בשתי ההגבלות האמורות שבהן מידת השכנוע הייתה רבה (עטיית מסכות והתקהלויות, 4.2 ו-4.3, בהתאמה). ממצאים אלה עולים בקנה אחד עם ממצאי הסקר שערך משרד מבקר המדינה בדצמבר 2020 ועם סקרי פקע"ר ממרץ עד אוקטובר, המצביעים כאמור על מידת אמון מעטה בגורמים האחראים לניהול המשבר. </w:t>
      </w:r>
    </w:p>
    <w:p w:rsidR="00E92F67" w:rsidRPr="00DC3374" w:rsidP="00E81188" w14:paraId="62BC3D9B" w14:textId="1B31858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A944829" w14:textId="77777777">
      <w:pPr>
        <w:spacing w:line="269" w:lineRule="auto"/>
        <w:rPr>
          <w:rtl/>
        </w:rPr>
      </w:pPr>
      <w:r w:rsidRPr="00DC3374">
        <w:rPr>
          <w:rtl/>
        </w:rPr>
        <w:t xml:space="preserve">משרד הבריאות מסר בתשובתו למשרד מבקר המדינה כי </w:t>
      </w:r>
      <w:r w:rsidRPr="00DC3374">
        <w:rPr>
          <w:rFonts w:hint="cs"/>
          <w:rtl/>
        </w:rPr>
        <w:t xml:space="preserve">על פי </w:t>
      </w:r>
      <w:r w:rsidRPr="00DC3374">
        <w:rPr>
          <w:rtl/>
        </w:rPr>
        <w:t>סקר ש</w:t>
      </w:r>
      <w:r w:rsidRPr="00DC3374">
        <w:rPr>
          <w:rFonts w:hint="cs"/>
          <w:rtl/>
        </w:rPr>
        <w:t xml:space="preserve">ערך </w:t>
      </w:r>
      <w:r w:rsidRPr="00DC3374">
        <w:rPr>
          <w:rtl/>
        </w:rPr>
        <w:t xml:space="preserve">בספטמבר 2020, 59% מהציבור סמך </w:t>
      </w:r>
      <w:r w:rsidRPr="00DC3374">
        <w:rPr>
          <w:rFonts w:hint="cs"/>
          <w:rtl/>
        </w:rPr>
        <w:t>על הנחיות הגורמים הרפואיים.</w:t>
      </w:r>
    </w:p>
    <w:p w:rsidR="00E92F67" w:rsidRPr="00DC3374" w:rsidP="00E81188" w14:paraId="55A13977" w14:textId="77777777">
      <w:pPr>
        <w:spacing w:line="269" w:lineRule="auto"/>
        <w:rPr>
          <w:rtl/>
        </w:rPr>
      </w:pPr>
    </w:p>
    <w:p w:rsidR="00E92F67" w:rsidRPr="00DC3374" w:rsidP="00E81188" w14:paraId="25266BA4" w14:textId="77777777">
      <w:pPr>
        <w:pStyle w:val="Heading4"/>
        <w:spacing w:before="0" w:line="269" w:lineRule="auto"/>
        <w:rPr>
          <w:rtl/>
        </w:rPr>
      </w:pPr>
      <w:r w:rsidRPr="00DC3374">
        <w:rPr>
          <w:rFonts w:hint="cs"/>
          <w:rtl/>
        </w:rPr>
        <w:t>ההנחיות להימנע מהתקהלויות</w:t>
      </w:r>
    </w:p>
    <w:p w:rsidR="00E92F67" w:rsidRPr="00DC3374" w:rsidP="00E81188" w14:paraId="4DFC2B26" w14:textId="67F76CC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E102FF6" w14:textId="77777777">
      <w:pPr>
        <w:spacing w:line="269" w:lineRule="auto"/>
        <w:rPr>
          <w:rtl/>
        </w:rPr>
      </w:pPr>
      <w:r w:rsidRPr="00DC3374">
        <w:rPr>
          <w:rFonts w:hint="cs"/>
          <w:rtl/>
        </w:rPr>
        <w:t xml:space="preserve">"הגבלת התקהלויות" היא כאמור נושא הליבה השכיח ברשתות החברתיות בתקופת שנבדקה, בעיקר בחודשים ספטמבר ואוקטובר, בתקופת הסגר השני. ההנחיות בנושא זה כללו הגבלת מספר האנשים בחלל סגור או פתוח, הגבלות על התקהלויות בהלוויות, חתונות ואירועים שונים ועוד. </w:t>
      </w:r>
    </w:p>
    <w:p w:rsidR="00E92F67" w:rsidRPr="00DC3374" w:rsidP="00E81188" w14:paraId="2E0CE46F" w14:textId="68B9F80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81188" w:rsidP="00E81188" w14:paraId="3FA437A9" w14:textId="4F1CBA31">
      <w:pPr>
        <w:spacing w:line="269" w:lineRule="auto"/>
        <w:rPr>
          <w:rtl/>
        </w:rPr>
      </w:pPr>
      <w:r w:rsidRPr="00DC3374">
        <w:rPr>
          <w:rtl/>
        </w:rPr>
        <w:t xml:space="preserve">להלן </w:t>
      </w:r>
      <w:r w:rsidRPr="00DC3374">
        <w:rPr>
          <w:rFonts w:hint="cs"/>
          <w:rtl/>
        </w:rPr>
        <w:t xml:space="preserve">שני </w:t>
      </w:r>
      <w:r w:rsidRPr="00DC3374">
        <w:rPr>
          <w:rtl/>
        </w:rPr>
        <w:t xml:space="preserve">תרשימים המתארים את תגובות הציבור </w:t>
      </w:r>
      <w:r w:rsidRPr="00DC3374">
        <w:rPr>
          <w:rFonts w:hint="cs"/>
          <w:rtl/>
        </w:rPr>
        <w:t>להנחיות על הגבלת התקהלויות</w:t>
      </w:r>
      <w:r w:rsidRPr="00DC3374">
        <w:rPr>
          <w:rtl/>
        </w:rPr>
        <w:t>, כפי שהשתקפ</w:t>
      </w:r>
      <w:r w:rsidRPr="00DC3374">
        <w:rPr>
          <w:rFonts w:hint="cs"/>
          <w:rtl/>
        </w:rPr>
        <w:t>ו</w:t>
      </w:r>
      <w:r w:rsidRPr="00DC3374">
        <w:rPr>
          <w:rtl/>
        </w:rPr>
        <w:t xml:space="preserve"> בשיח ברשתות החברתיות</w:t>
      </w:r>
      <w:r w:rsidRPr="00DC3374">
        <w:rPr>
          <w:rFonts w:hint="cs"/>
          <w:rtl/>
        </w:rPr>
        <w:t xml:space="preserve">. </w:t>
      </w:r>
    </w:p>
    <w:p w:rsidR="00E81188" w14:paraId="1C1FD613" w14:textId="77777777">
      <w:pPr>
        <w:spacing w:line="240" w:lineRule="auto"/>
        <w:ind w:left="720" w:hanging="720"/>
        <w:rPr>
          <w:rtl/>
        </w:rPr>
      </w:pPr>
      <w:r>
        <w:rPr>
          <w:rtl/>
        </w:rPr>
        <w:br w:type="page"/>
      </w:r>
    </w:p>
    <w:p w:rsidR="00E92F67" w:rsidRPr="00DC3374" w:rsidP="00E81188" w14:paraId="19F83739" w14:textId="7BC89377">
      <w:pPr>
        <w:pStyle w:val="a"/>
        <w:spacing w:line="269" w:lineRule="auto"/>
        <w:rPr>
          <w:rtl/>
        </w:rPr>
      </w:pPr>
      <w:r w:rsidRPr="00DC3374">
        <w:rPr>
          <w:rFonts w:hint="cs"/>
          <w:rtl/>
        </w:rPr>
        <w:t xml:space="preserve"> </w:t>
      </w: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26B3D9A" w14:textId="77777777">
      <w:pPr>
        <w:spacing w:line="269" w:lineRule="auto"/>
        <w:jc w:val="center"/>
        <w:rPr>
          <w:rtl/>
        </w:rPr>
      </w:pPr>
      <w:r w:rsidRPr="00DC3374">
        <w:rPr>
          <w:rFonts w:hint="eastAsia"/>
          <w:b/>
          <w:bCs/>
          <w:rtl/>
        </w:rPr>
        <w:t>תרשים</w:t>
      </w:r>
      <w:r w:rsidRPr="00DC3374">
        <w:rPr>
          <w:b/>
          <w:bCs/>
          <w:rtl/>
        </w:rPr>
        <w:t xml:space="preserve"> </w:t>
      </w:r>
      <w:r w:rsidRPr="00DC3374">
        <w:rPr>
          <w:rFonts w:hint="cs"/>
          <w:b/>
          <w:bCs/>
          <w:rtl/>
        </w:rPr>
        <w:t>14</w:t>
      </w:r>
      <w:r w:rsidRPr="00DC3374">
        <w:rPr>
          <w:b/>
          <w:bCs/>
          <w:rtl/>
        </w:rPr>
        <w:t>: עיקרי השיח על התקהלויות</w:t>
      </w:r>
      <w:r w:rsidRPr="00DC3374">
        <w:rPr>
          <w:rFonts w:hint="cs"/>
          <w:b/>
          <w:bCs/>
          <w:rtl/>
        </w:rPr>
        <w:t>*</w:t>
      </w:r>
      <w:r w:rsidRPr="00DC3374">
        <w:rPr>
          <w:b/>
          <w:bCs/>
          <w:rtl/>
        </w:rPr>
        <w:t xml:space="preserve"> </w:t>
      </w:r>
    </w:p>
    <w:p w:rsidR="00E92F67" w:rsidRPr="00DC3374" w:rsidP="00E81188" w14:paraId="47272A1E" w14:textId="77777777">
      <w:pPr>
        <w:spacing w:line="269" w:lineRule="auto"/>
        <w:ind w:right="-851"/>
        <w:jc w:val="center"/>
        <w:rPr>
          <w:rtl/>
        </w:rPr>
      </w:pPr>
      <w:r w:rsidRPr="00DC3374">
        <w:rPr>
          <w:noProof/>
        </w:rPr>
        <w:drawing>
          <wp:anchor distT="0" distB="0" distL="114300" distR="114300" simplePos="0" relativeHeight="251659264" behindDoc="1" locked="0" layoutInCell="1" allowOverlap="1">
            <wp:simplePos x="0" y="0"/>
            <wp:positionH relativeFrom="column">
              <wp:posOffset>2767330</wp:posOffset>
            </wp:positionH>
            <wp:positionV relativeFrom="paragraph">
              <wp:posOffset>1131570</wp:posOffset>
            </wp:positionV>
            <wp:extent cx="1937428" cy="950400"/>
            <wp:effectExtent l="0" t="0" r="5715" b="2540"/>
            <wp:wrapThrough wrapText="bothSides">
              <wp:wrapPolygon>
                <wp:start x="0" y="0"/>
                <wp:lineTo x="0" y="21225"/>
                <wp:lineTo x="21451" y="21225"/>
                <wp:lineTo x="21451" y="0"/>
                <wp:lineTo x="0" y="0"/>
              </wp:wrapPolygon>
            </wp:wrapThrough>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38599" name="Picture 4"/>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7428" cy="950400"/>
                    </a:xfrm>
                    <a:prstGeom prst="rect">
                      <a:avLst/>
                    </a:prstGeom>
                    <a:noFill/>
                  </pic:spPr>
                </pic:pic>
              </a:graphicData>
            </a:graphic>
            <wp14:sizeRelH relativeFrom="margin">
              <wp14:pctWidth>0</wp14:pctWidth>
            </wp14:sizeRelH>
            <wp14:sizeRelV relativeFrom="margin">
              <wp14:pctHeight>0</wp14:pctHeight>
            </wp14:sizeRelV>
          </wp:anchor>
        </w:drawing>
      </w:r>
      <w:r w:rsidRPr="00DC3374">
        <w:rPr>
          <w:noProof/>
          <w:szCs w:val="20"/>
        </w:rPr>
        <w:drawing>
          <wp:inline distT="0" distB="0" distL="0" distR="0">
            <wp:extent cx="3138624" cy="2664000"/>
            <wp:effectExtent l="0" t="0" r="0" b="317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37919" name="Picture 8"/>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14416" t="1738" r="-3187" b="-1738"/>
                    <a:stretch>
                      <a:fillRect/>
                    </a:stretch>
                  </pic:blipFill>
                  <pic:spPr bwMode="auto">
                    <a:xfrm>
                      <a:off x="0" y="0"/>
                      <a:ext cx="3138624" cy="2664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44878D53"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1F458D7C" w14:textId="77777777">
      <w:pPr>
        <w:spacing w:line="269" w:lineRule="auto"/>
        <w:rPr>
          <w:szCs w:val="20"/>
          <w:rtl/>
        </w:rPr>
      </w:pPr>
      <w:r w:rsidRPr="00DC3374">
        <w:rPr>
          <w:rFonts w:hint="cs"/>
          <w:szCs w:val="20"/>
          <w:rtl/>
        </w:rPr>
        <w:t>* מספר הפוסטים והתגובות היה 9,736.</w:t>
      </w:r>
    </w:p>
    <w:p w:rsidR="00E92F67" w:rsidRPr="00DC3374" w:rsidP="00E81188" w14:paraId="4A5189D7" w14:textId="518557C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521D4FF" w14:textId="77777777">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15</w:t>
      </w:r>
      <w:r w:rsidRPr="00DC3374">
        <w:rPr>
          <w:b/>
          <w:bCs/>
          <w:rtl/>
        </w:rPr>
        <w:t xml:space="preserve">: </w:t>
      </w:r>
      <w:r w:rsidRPr="00DC3374">
        <w:rPr>
          <w:rFonts w:hint="eastAsia"/>
          <w:b/>
          <w:bCs/>
          <w:rtl/>
        </w:rPr>
        <w:t>התקהלויות</w:t>
      </w:r>
      <w:r w:rsidRPr="00DC3374">
        <w:rPr>
          <w:b/>
          <w:bCs/>
          <w:rtl/>
        </w:rPr>
        <w:t xml:space="preserve"> - </w:t>
      </w:r>
      <w:r w:rsidRPr="00DC3374">
        <w:rPr>
          <w:rFonts w:hint="eastAsia"/>
          <w:b/>
          <w:bCs/>
          <w:rtl/>
        </w:rPr>
        <w:t>מדדי</w:t>
      </w:r>
      <w:r w:rsidRPr="00DC3374">
        <w:rPr>
          <w:b/>
          <w:bCs/>
          <w:rtl/>
        </w:rPr>
        <w:t xml:space="preserve"> </w:t>
      </w:r>
      <w:r w:rsidRPr="00DC3374">
        <w:rPr>
          <w:rFonts w:hint="eastAsia"/>
          <w:b/>
          <w:bCs/>
          <w:rtl/>
        </w:rPr>
        <w:t>הבנה</w:t>
      </w:r>
      <w:r w:rsidRPr="00DC3374">
        <w:rPr>
          <w:b/>
          <w:bCs/>
          <w:rtl/>
        </w:rPr>
        <w:t xml:space="preserve">, </w:t>
      </w:r>
      <w:r w:rsidRPr="00DC3374">
        <w:rPr>
          <w:rFonts w:hint="eastAsia"/>
          <w:b/>
          <w:bCs/>
          <w:rtl/>
        </w:rPr>
        <w:t>שכנוע</w:t>
      </w:r>
      <w:r w:rsidRPr="00DC3374">
        <w:rPr>
          <w:b/>
          <w:bCs/>
          <w:rtl/>
        </w:rPr>
        <w:t xml:space="preserve"> </w:t>
      </w:r>
      <w:r w:rsidRPr="00DC3374">
        <w:rPr>
          <w:rFonts w:hint="eastAsia"/>
          <w:b/>
          <w:bCs/>
          <w:rtl/>
        </w:rPr>
        <w:t>ואמון</w:t>
      </w:r>
      <w:r w:rsidRPr="00DC3374">
        <w:rPr>
          <w:b/>
          <w:bCs/>
          <w:rtl/>
        </w:rPr>
        <w:t xml:space="preserve"> </w:t>
      </w:r>
      <w:r w:rsidRPr="00DC3374">
        <w:rPr>
          <w:rFonts w:hint="eastAsia"/>
          <w:b/>
          <w:bCs/>
          <w:rtl/>
        </w:rPr>
        <w:t>לאורך</w:t>
      </w:r>
      <w:r w:rsidRPr="00DC3374">
        <w:rPr>
          <w:b/>
          <w:bCs/>
          <w:rtl/>
        </w:rPr>
        <w:t xml:space="preserve"> </w:t>
      </w:r>
      <w:r w:rsidRPr="00DC3374">
        <w:rPr>
          <w:rFonts w:hint="eastAsia"/>
          <w:b/>
          <w:bCs/>
          <w:rtl/>
        </w:rPr>
        <w:t>המשבר</w:t>
      </w:r>
    </w:p>
    <w:p w:rsidR="00E92F67" w:rsidRPr="00DC3374" w:rsidP="00E81188" w14:paraId="6DF516F2" w14:textId="77777777">
      <w:pPr>
        <w:spacing w:line="269" w:lineRule="auto"/>
        <w:jc w:val="center"/>
        <w:rPr>
          <w:b/>
          <w:bCs/>
          <w:rtl/>
        </w:rPr>
      </w:pPr>
    </w:p>
    <w:p w:rsidR="00E92F67" w:rsidRPr="00DC3374" w:rsidP="00E81188" w14:paraId="6E7E39B9" w14:textId="77777777">
      <w:pPr>
        <w:spacing w:line="269" w:lineRule="auto"/>
        <w:ind w:left="-567" w:right="-1134"/>
        <w:jc w:val="center"/>
        <w:rPr>
          <w:szCs w:val="20"/>
        </w:rPr>
      </w:pPr>
      <w:r w:rsidRPr="00DC3374">
        <w:rPr>
          <w:noProof/>
          <w:szCs w:val="20"/>
        </w:rPr>
        <w:drawing>
          <wp:anchor distT="0" distB="0" distL="114300" distR="114300" simplePos="0" relativeHeight="251660288" behindDoc="0" locked="0" layoutInCell="1" allowOverlap="1">
            <wp:simplePos x="0" y="0"/>
            <wp:positionH relativeFrom="column">
              <wp:posOffset>4228465</wp:posOffset>
            </wp:positionH>
            <wp:positionV relativeFrom="paragraph">
              <wp:posOffset>109855</wp:posOffset>
            </wp:positionV>
            <wp:extent cx="800100" cy="82804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91353" name="Picture 27"/>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00100" cy="828040"/>
                    </a:xfrm>
                    <a:prstGeom prst="rect">
                      <a:avLst/>
                    </a:prstGeom>
                    <a:noFill/>
                  </pic:spPr>
                </pic:pic>
              </a:graphicData>
            </a:graphic>
            <wp14:sizeRelH relativeFrom="margin">
              <wp14:pctWidth>0</wp14:pctWidth>
            </wp14:sizeRelH>
            <wp14:sizeRelV relativeFrom="margin">
              <wp14:pctHeight>0</wp14:pctHeight>
            </wp14:sizeRelV>
          </wp:anchor>
        </w:drawing>
      </w:r>
      <w:r w:rsidRPr="00DC3374">
        <w:rPr>
          <w:noProof/>
          <w:szCs w:val="20"/>
        </w:rPr>
        <w:drawing>
          <wp:inline distT="0" distB="0" distL="0" distR="0">
            <wp:extent cx="4130675" cy="2125179"/>
            <wp:effectExtent l="0" t="0" r="317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06112" name="Picture 20"/>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r="11827"/>
                    <a:stretch>
                      <a:fillRect/>
                    </a:stretch>
                  </pic:blipFill>
                  <pic:spPr bwMode="auto">
                    <a:xfrm>
                      <a:off x="0" y="0"/>
                      <a:ext cx="4174631" cy="21477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7B795920" w14:textId="55374553">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795D289E" w14:textId="3C5951E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5EC2951" w14:textId="77777777">
      <w:pPr>
        <w:spacing w:line="269" w:lineRule="auto"/>
        <w:rPr>
          <w:rtl/>
        </w:rPr>
      </w:pPr>
      <w:r w:rsidRPr="00DC3374">
        <w:rPr>
          <w:rFonts w:hint="cs"/>
          <w:rtl/>
        </w:rPr>
        <w:t xml:space="preserve">ניתוח השיח הנוגע להגבלת ההתקהלויות העלה כי במרכזו עלו טענות על התרת התקהלויות לצורך הפגנה או תפילה לעומת איסור התקהלויות לצרכים אחרים. </w:t>
      </w:r>
    </w:p>
    <w:p w:rsidR="00E92F67" w:rsidRPr="00DC3374" w:rsidP="00E81188" w14:paraId="4FF9BBE7" w14:textId="181E351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AAA5E97" w14:textId="77777777">
      <w:pPr>
        <w:spacing w:line="269" w:lineRule="auto"/>
        <w:rPr>
          <w:b/>
          <w:bCs/>
          <w:rtl/>
        </w:rPr>
      </w:pPr>
      <w:r w:rsidRPr="00DC3374">
        <w:rPr>
          <w:b/>
          <w:bCs/>
          <w:rtl/>
        </w:rPr>
        <w:t>מדדי ההבנה, השכנוע והאמון מלמדים ש</w:t>
      </w:r>
      <w:r w:rsidRPr="00DC3374">
        <w:rPr>
          <w:rFonts w:hint="cs"/>
          <w:b/>
          <w:bCs/>
          <w:rtl/>
        </w:rPr>
        <w:t xml:space="preserve">ככלל, </w:t>
      </w:r>
      <w:r w:rsidRPr="00DC3374">
        <w:rPr>
          <w:b/>
          <w:bCs/>
          <w:rtl/>
        </w:rPr>
        <w:t xml:space="preserve">הציבור הבין את </w:t>
      </w:r>
      <w:r w:rsidRPr="00DC3374">
        <w:rPr>
          <w:rFonts w:hint="cs"/>
          <w:b/>
          <w:bCs/>
          <w:rtl/>
        </w:rPr>
        <w:t>ההנחיות</w:t>
      </w:r>
      <w:r w:rsidRPr="00DC3374">
        <w:rPr>
          <w:b/>
          <w:bCs/>
          <w:rtl/>
        </w:rPr>
        <w:t xml:space="preserve"> </w:t>
      </w:r>
      <w:r w:rsidRPr="00DC3374">
        <w:rPr>
          <w:rFonts w:hint="eastAsia"/>
          <w:b/>
          <w:bCs/>
          <w:rtl/>
        </w:rPr>
        <w:t>להגבלת</w:t>
      </w:r>
      <w:r w:rsidRPr="00DC3374">
        <w:rPr>
          <w:b/>
          <w:bCs/>
          <w:rtl/>
        </w:rPr>
        <w:t xml:space="preserve"> </w:t>
      </w:r>
      <w:r w:rsidRPr="00DC3374">
        <w:rPr>
          <w:rFonts w:hint="eastAsia"/>
          <w:b/>
          <w:bCs/>
          <w:rtl/>
        </w:rPr>
        <w:t>ה</w:t>
      </w:r>
      <w:r w:rsidRPr="00DC3374">
        <w:rPr>
          <w:b/>
          <w:bCs/>
          <w:rtl/>
        </w:rPr>
        <w:t xml:space="preserve">התקהלויות </w:t>
      </w:r>
      <w:r w:rsidRPr="00DC3374">
        <w:rPr>
          <w:rFonts w:hint="cs"/>
          <w:b/>
          <w:bCs/>
          <w:rtl/>
        </w:rPr>
        <w:t xml:space="preserve">(8.8) </w:t>
      </w:r>
      <w:r w:rsidRPr="00DC3374">
        <w:rPr>
          <w:b/>
          <w:bCs/>
          <w:rtl/>
        </w:rPr>
        <w:t>ואף השתכנע בנחיצותן</w:t>
      </w:r>
      <w:r w:rsidRPr="00DC3374">
        <w:rPr>
          <w:rFonts w:hint="cs"/>
          <w:b/>
          <w:bCs/>
          <w:rtl/>
        </w:rPr>
        <w:t xml:space="preserve"> (8)</w:t>
      </w:r>
      <w:r w:rsidRPr="00DC3374">
        <w:rPr>
          <w:b/>
          <w:bCs/>
          <w:rtl/>
        </w:rPr>
        <w:t xml:space="preserve">, אך האמון שנתן </w:t>
      </w:r>
      <w:r w:rsidRPr="00DC3374">
        <w:rPr>
          <w:rFonts w:hint="cs"/>
          <w:b/>
          <w:bCs/>
          <w:rtl/>
        </w:rPr>
        <w:t>במקבלי ההחלטות</w:t>
      </w:r>
      <w:r w:rsidRPr="00DC3374">
        <w:rPr>
          <w:b/>
          <w:bCs/>
          <w:rtl/>
        </w:rPr>
        <w:t xml:space="preserve"> היה </w:t>
      </w:r>
      <w:r w:rsidRPr="00DC3374">
        <w:rPr>
          <w:rFonts w:hint="cs"/>
          <w:b/>
          <w:bCs/>
          <w:rtl/>
        </w:rPr>
        <w:t>ברמה בינונית (4.3)</w:t>
      </w:r>
      <w:r w:rsidRPr="00DC3374">
        <w:rPr>
          <w:b/>
          <w:bCs/>
          <w:rtl/>
        </w:rPr>
        <w:t>. כ</w:t>
      </w:r>
      <w:r w:rsidRPr="00DC3374">
        <w:rPr>
          <w:rFonts w:hint="eastAsia"/>
          <w:b/>
          <w:bCs/>
          <w:rtl/>
        </w:rPr>
        <w:t>כ</w:t>
      </w:r>
      <w:r w:rsidRPr="00DC3374">
        <w:rPr>
          <w:b/>
          <w:bCs/>
          <w:rtl/>
        </w:rPr>
        <w:t xml:space="preserve">לל, </w:t>
      </w:r>
      <w:r w:rsidRPr="00DC3374">
        <w:rPr>
          <w:rFonts w:hint="cs"/>
          <w:b/>
          <w:bCs/>
          <w:rtl/>
        </w:rPr>
        <w:t>ה</w:t>
      </w:r>
      <w:r w:rsidRPr="00DC3374">
        <w:rPr>
          <w:b/>
          <w:bCs/>
          <w:rtl/>
        </w:rPr>
        <w:t>עלייה במדד האמון ב</w:t>
      </w:r>
      <w:r w:rsidRPr="00DC3374">
        <w:rPr>
          <w:rFonts w:hint="cs"/>
          <w:b/>
          <w:bCs/>
          <w:rtl/>
        </w:rPr>
        <w:t>מקבלי ההחלטות</w:t>
      </w:r>
      <w:r w:rsidRPr="00DC3374">
        <w:rPr>
          <w:b/>
          <w:bCs/>
          <w:rtl/>
        </w:rPr>
        <w:t xml:space="preserve"> תאמה את העלייה במדד ההבנה, להוציא חודש אפריל, </w:t>
      </w:r>
      <w:r w:rsidRPr="00DC3374">
        <w:rPr>
          <w:rFonts w:hint="cs"/>
          <w:b/>
          <w:bCs/>
          <w:rtl/>
        </w:rPr>
        <w:t>ש</w:t>
      </w:r>
      <w:r w:rsidRPr="00DC3374">
        <w:rPr>
          <w:b/>
          <w:bCs/>
          <w:rtl/>
        </w:rPr>
        <w:t xml:space="preserve">בו עלתה </w:t>
      </w:r>
      <w:r w:rsidRPr="00DC3374">
        <w:rPr>
          <w:rFonts w:hint="cs"/>
          <w:b/>
          <w:bCs/>
          <w:rtl/>
        </w:rPr>
        <w:t xml:space="preserve">מממצאי ניתוח השיח </w:t>
      </w:r>
      <w:r w:rsidRPr="00DC3374">
        <w:rPr>
          <w:b/>
          <w:bCs/>
          <w:rtl/>
        </w:rPr>
        <w:t xml:space="preserve">ביקורת על התרת ההתקהלויות </w:t>
      </w:r>
      <w:r w:rsidRPr="00DC3374">
        <w:rPr>
          <w:rFonts w:hint="cs"/>
          <w:b/>
          <w:bCs/>
          <w:rtl/>
        </w:rPr>
        <w:t xml:space="preserve">לצורך </w:t>
      </w:r>
      <w:r w:rsidRPr="00DC3374">
        <w:rPr>
          <w:b/>
          <w:bCs/>
          <w:rtl/>
        </w:rPr>
        <w:t xml:space="preserve">הפגנות. ממצאי </w:t>
      </w:r>
      <w:r w:rsidRPr="00DC3374">
        <w:rPr>
          <w:rFonts w:hint="eastAsia"/>
          <w:b/>
          <w:bCs/>
          <w:rtl/>
        </w:rPr>
        <w:t>ניתוח</w:t>
      </w:r>
      <w:r w:rsidRPr="00DC3374">
        <w:rPr>
          <w:b/>
          <w:bCs/>
          <w:rtl/>
        </w:rPr>
        <w:t xml:space="preserve"> </w:t>
      </w:r>
      <w:r w:rsidRPr="00DC3374">
        <w:rPr>
          <w:rFonts w:hint="eastAsia"/>
          <w:b/>
          <w:bCs/>
          <w:rtl/>
        </w:rPr>
        <w:t>השיח</w:t>
      </w:r>
      <w:r w:rsidRPr="00DC3374">
        <w:rPr>
          <w:b/>
          <w:bCs/>
          <w:rtl/>
        </w:rPr>
        <w:t xml:space="preserve"> מובילים למסקנה כי </w:t>
      </w:r>
      <w:r w:rsidRPr="00DC3374">
        <w:rPr>
          <w:rFonts w:hint="cs"/>
          <w:b/>
          <w:bCs/>
          <w:rtl/>
        </w:rPr>
        <w:t>ההנחיות</w:t>
      </w:r>
      <w:r w:rsidRPr="00DC3374">
        <w:rPr>
          <w:b/>
          <w:bCs/>
          <w:rtl/>
        </w:rPr>
        <w:t xml:space="preserve"> הוסברו היטב וכך גם הצידוק להן, אך הציבור נתן אמון מועט בקובעי המדיניות. </w:t>
      </w:r>
      <w:r w:rsidRPr="00DC3374">
        <w:rPr>
          <w:rFonts w:hint="cs"/>
          <w:b/>
          <w:bCs/>
          <w:rtl/>
        </w:rPr>
        <w:t>מהסקר שערך משרד מבקר המדינה עלה כאמור שכ-30% מהציבור לא הקפיד על ההוראה להימנע מהתקהלויות.</w:t>
      </w:r>
    </w:p>
    <w:p w:rsidR="00E92F67" w:rsidRPr="00DC3374" w:rsidP="00E81188" w14:paraId="34FBA03F" w14:textId="77777777">
      <w:pPr>
        <w:spacing w:line="269" w:lineRule="auto"/>
        <w:rPr>
          <w:rtl/>
        </w:rPr>
      </w:pPr>
    </w:p>
    <w:p w:rsidR="00E81188" w14:paraId="368ADE05" w14:textId="77777777">
      <w:pPr>
        <w:spacing w:line="240" w:lineRule="auto"/>
        <w:ind w:left="720" w:hanging="720"/>
        <w:rPr>
          <w:rFonts w:eastAsiaTheme="majorEastAsia"/>
          <w:bCs/>
          <w:szCs w:val="26"/>
          <w:rtl/>
        </w:rPr>
      </w:pPr>
      <w:r>
        <w:rPr>
          <w:rtl/>
        </w:rPr>
        <w:br w:type="page"/>
      </w:r>
    </w:p>
    <w:p w:rsidR="00E92F67" w:rsidRPr="00DC3374" w:rsidP="00E81188" w14:paraId="343F5F1D" w14:textId="0B4D7B96">
      <w:pPr>
        <w:pStyle w:val="Heading4"/>
        <w:spacing w:before="0" w:line="269" w:lineRule="auto"/>
        <w:rPr>
          <w:rtl/>
        </w:rPr>
      </w:pPr>
      <w:r w:rsidRPr="00DC3374">
        <w:rPr>
          <w:rFonts w:hint="cs"/>
          <w:rtl/>
        </w:rPr>
        <w:t xml:space="preserve">נוהל </w:t>
      </w:r>
      <w:r w:rsidRPr="00DC3374">
        <w:rPr>
          <w:rFonts w:hint="eastAsia"/>
          <w:rtl/>
        </w:rPr>
        <w:t>בידוד</w:t>
      </w:r>
    </w:p>
    <w:p w:rsidR="00E92F67" w:rsidRPr="00DC3374" w:rsidP="00E81188" w14:paraId="7E30A749" w14:textId="71DC4CB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B8E8DDD" w14:textId="77777777">
      <w:pPr>
        <w:spacing w:line="269" w:lineRule="auto"/>
        <w:rPr>
          <w:rtl/>
        </w:rPr>
      </w:pPr>
      <w:r w:rsidRPr="00DC3374">
        <w:rPr>
          <w:rFonts w:hint="cs"/>
          <w:rtl/>
        </w:rPr>
        <w:t xml:space="preserve">בתקופת משבר הקורונה פורסמו מטעם הממשלה הנחיות שונות הנוגעות למי שנדרש להימצא בבידוד כיוון שבא במגע עם חולה קורונה, ובהן המקרים המחייבים בידוד; מקום הבידוד (בית המגורים או מלונית); הדרכים להגשת ערעור על הדרישה להימצא בבידוד; כללי בידוד ליוצאים וחוזרים מחו"ל. </w:t>
      </w:r>
    </w:p>
    <w:p w:rsidR="00E92F67" w:rsidRPr="00DC3374" w:rsidP="00E81188" w14:paraId="16E511F5" w14:textId="16F1CEE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CEEA018" w14:textId="77777777">
      <w:pPr>
        <w:spacing w:line="269" w:lineRule="auto"/>
        <w:rPr>
          <w:rtl/>
        </w:rPr>
      </w:pPr>
      <w:r w:rsidRPr="00DC3374">
        <w:rPr>
          <w:rtl/>
        </w:rPr>
        <w:t xml:space="preserve">להלן </w:t>
      </w:r>
      <w:r w:rsidRPr="00DC3374">
        <w:rPr>
          <w:rFonts w:hint="cs"/>
          <w:rtl/>
        </w:rPr>
        <w:t xml:space="preserve">שני </w:t>
      </w:r>
      <w:r w:rsidRPr="00DC3374">
        <w:rPr>
          <w:rtl/>
        </w:rPr>
        <w:t xml:space="preserve">תרשימים המתארים את תגובות הציבור </w:t>
      </w:r>
      <w:r w:rsidRPr="00DC3374">
        <w:rPr>
          <w:rFonts w:hint="cs"/>
          <w:rtl/>
        </w:rPr>
        <w:t>להנחיות</w:t>
      </w:r>
      <w:r w:rsidRPr="00DC3374">
        <w:rPr>
          <w:rtl/>
        </w:rPr>
        <w:t xml:space="preserve"> </w:t>
      </w:r>
      <w:r w:rsidRPr="00DC3374">
        <w:rPr>
          <w:rFonts w:hint="cs"/>
          <w:rtl/>
        </w:rPr>
        <w:t>הנוגעות לבידוד</w:t>
      </w:r>
      <w:r w:rsidRPr="00DC3374">
        <w:rPr>
          <w:rtl/>
        </w:rPr>
        <w:t>, כפי שהשתקפ</w:t>
      </w:r>
      <w:r w:rsidRPr="00DC3374">
        <w:rPr>
          <w:rFonts w:hint="cs"/>
          <w:rtl/>
        </w:rPr>
        <w:t>ו</w:t>
      </w:r>
      <w:r w:rsidRPr="00DC3374">
        <w:rPr>
          <w:rtl/>
        </w:rPr>
        <w:t xml:space="preserve"> בשיח ברשתות החברתיות</w:t>
      </w:r>
      <w:r w:rsidRPr="00DC3374">
        <w:rPr>
          <w:rFonts w:hint="cs"/>
          <w:rtl/>
        </w:rPr>
        <w:t xml:space="preserve">. </w:t>
      </w:r>
    </w:p>
    <w:p w:rsidR="00E92F67" w:rsidRPr="00DC3374" w:rsidP="00E81188" w14:paraId="1980AC7C" w14:textId="69DCF32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865DCF2" w14:textId="77777777">
      <w:pPr>
        <w:spacing w:line="269" w:lineRule="auto"/>
        <w:jc w:val="center"/>
        <w:rPr>
          <w:rtl/>
        </w:rPr>
      </w:pPr>
      <w:r w:rsidRPr="00DC3374">
        <w:rPr>
          <w:rFonts w:hint="eastAsia"/>
          <w:b/>
          <w:bCs/>
          <w:rtl/>
        </w:rPr>
        <w:t>תרשים</w:t>
      </w:r>
      <w:r w:rsidRPr="00DC3374">
        <w:rPr>
          <w:b/>
          <w:bCs/>
          <w:rtl/>
        </w:rPr>
        <w:t xml:space="preserve"> </w:t>
      </w:r>
      <w:r w:rsidRPr="00DC3374">
        <w:rPr>
          <w:rFonts w:hint="cs"/>
          <w:b/>
          <w:bCs/>
          <w:rtl/>
        </w:rPr>
        <w:t>16</w:t>
      </w:r>
      <w:r w:rsidRPr="00DC3374">
        <w:rPr>
          <w:b/>
          <w:bCs/>
          <w:rtl/>
        </w:rPr>
        <w:t xml:space="preserve">: </w:t>
      </w:r>
      <w:r w:rsidRPr="00DC3374">
        <w:rPr>
          <w:rFonts w:hint="eastAsia"/>
          <w:b/>
          <w:bCs/>
          <w:rtl/>
        </w:rPr>
        <w:t>עיקרי</w:t>
      </w:r>
      <w:r w:rsidRPr="00DC3374">
        <w:rPr>
          <w:b/>
          <w:bCs/>
          <w:rtl/>
        </w:rPr>
        <w:t xml:space="preserve"> </w:t>
      </w:r>
      <w:r w:rsidRPr="00DC3374">
        <w:rPr>
          <w:rFonts w:hint="eastAsia"/>
          <w:b/>
          <w:bCs/>
          <w:rtl/>
        </w:rPr>
        <w:t>השיח</w:t>
      </w:r>
      <w:r w:rsidRPr="00DC3374">
        <w:rPr>
          <w:b/>
          <w:bCs/>
          <w:rtl/>
        </w:rPr>
        <w:t xml:space="preserve"> </w:t>
      </w:r>
      <w:r w:rsidRPr="00DC3374">
        <w:rPr>
          <w:rFonts w:hint="eastAsia"/>
          <w:b/>
          <w:bCs/>
          <w:rtl/>
        </w:rPr>
        <w:t>על</w:t>
      </w:r>
      <w:r w:rsidRPr="00DC3374">
        <w:rPr>
          <w:b/>
          <w:bCs/>
          <w:rtl/>
        </w:rPr>
        <w:t xml:space="preserve"> </w:t>
      </w:r>
      <w:r w:rsidRPr="00DC3374">
        <w:rPr>
          <w:rFonts w:hint="eastAsia"/>
          <w:b/>
          <w:bCs/>
          <w:rtl/>
        </w:rPr>
        <w:t>הנחיות</w:t>
      </w:r>
      <w:r w:rsidRPr="00DC3374">
        <w:rPr>
          <w:b/>
          <w:bCs/>
          <w:rtl/>
        </w:rPr>
        <w:t xml:space="preserve"> </w:t>
      </w:r>
      <w:r w:rsidRPr="00DC3374">
        <w:rPr>
          <w:rFonts w:hint="eastAsia"/>
          <w:b/>
          <w:bCs/>
          <w:rtl/>
        </w:rPr>
        <w:t>בנושא</w:t>
      </w:r>
      <w:r w:rsidRPr="00DC3374">
        <w:rPr>
          <w:b/>
          <w:bCs/>
          <w:rtl/>
        </w:rPr>
        <w:t xml:space="preserve"> </w:t>
      </w:r>
      <w:r w:rsidRPr="00DC3374">
        <w:rPr>
          <w:rFonts w:hint="eastAsia"/>
          <w:b/>
          <w:bCs/>
          <w:rtl/>
        </w:rPr>
        <w:t>בידוד</w:t>
      </w:r>
      <w:r w:rsidRPr="00DC3374">
        <w:rPr>
          <w:rFonts w:hint="cs"/>
          <w:b/>
          <w:bCs/>
          <w:rtl/>
        </w:rPr>
        <w:t>*</w:t>
      </w:r>
    </w:p>
    <w:p w:rsidR="00E92F67" w:rsidRPr="00DC3374" w:rsidP="00E81188" w14:paraId="76DA3030" w14:textId="77777777">
      <w:pPr>
        <w:spacing w:line="269" w:lineRule="auto"/>
        <w:ind w:right="-851"/>
        <w:jc w:val="center"/>
        <w:rPr>
          <w:noProof/>
          <w:rtl/>
        </w:rPr>
      </w:pPr>
      <w:r w:rsidRPr="00DC3374">
        <w:rPr>
          <w:noProof/>
        </w:rPr>
        <w:drawing>
          <wp:anchor distT="0" distB="0" distL="114300" distR="114300" simplePos="0" relativeHeight="251661312" behindDoc="0" locked="0" layoutInCell="1" allowOverlap="1">
            <wp:simplePos x="0" y="0"/>
            <wp:positionH relativeFrom="column">
              <wp:posOffset>2903438</wp:posOffset>
            </wp:positionH>
            <wp:positionV relativeFrom="paragraph">
              <wp:posOffset>852246</wp:posOffset>
            </wp:positionV>
            <wp:extent cx="1889760" cy="951230"/>
            <wp:effectExtent l="0" t="0" r="0" b="1270"/>
            <wp:wrapThrough wrapText="bothSides">
              <wp:wrapPolygon>
                <wp:start x="1742" y="2595"/>
                <wp:lineTo x="1089" y="10382"/>
                <wp:lineTo x="218" y="13842"/>
                <wp:lineTo x="435" y="17736"/>
                <wp:lineTo x="2177" y="21196"/>
                <wp:lineTo x="18944" y="21196"/>
                <wp:lineTo x="20685" y="17736"/>
                <wp:lineTo x="20685" y="13410"/>
                <wp:lineTo x="19597" y="2595"/>
                <wp:lineTo x="1742" y="2595"/>
              </wp:wrapPolygon>
            </wp:wrapThrough>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39318" name="Picture 10"/>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89760" cy="951230"/>
                    </a:xfrm>
                    <a:prstGeom prst="rect">
                      <a:avLst/>
                    </a:prstGeom>
                    <a:noFill/>
                  </pic:spPr>
                </pic:pic>
              </a:graphicData>
            </a:graphic>
          </wp:anchor>
        </w:drawing>
      </w:r>
      <w:r w:rsidRPr="00DC3374">
        <w:rPr>
          <w:noProof/>
        </w:rPr>
        <w:drawing>
          <wp:inline distT="0" distB="0" distL="0" distR="0">
            <wp:extent cx="3309519" cy="2664000"/>
            <wp:effectExtent l="0" t="0" r="5715" b="317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5402" name="Picture 9"/>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l="15583" b="11926"/>
                    <a:stretch>
                      <a:fillRect/>
                    </a:stretch>
                  </pic:blipFill>
                  <pic:spPr bwMode="auto">
                    <a:xfrm>
                      <a:off x="0" y="0"/>
                      <a:ext cx="3309519" cy="2664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2B77A071"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2752E465" w14:textId="77777777">
      <w:pPr>
        <w:spacing w:line="269" w:lineRule="auto"/>
        <w:rPr>
          <w:szCs w:val="20"/>
          <w:rtl/>
        </w:rPr>
      </w:pPr>
      <w:r w:rsidRPr="00DC3374">
        <w:rPr>
          <w:rFonts w:hint="cs"/>
          <w:szCs w:val="20"/>
          <w:rtl/>
        </w:rPr>
        <w:t>*</w:t>
      </w:r>
      <w:r w:rsidRPr="00DC3374">
        <w:rPr>
          <w:rFonts w:hint="cs"/>
          <w:szCs w:val="20"/>
        </w:rPr>
        <w:t xml:space="preserve"> </w:t>
      </w:r>
      <w:r w:rsidRPr="00DC3374">
        <w:rPr>
          <w:rFonts w:hint="cs"/>
          <w:szCs w:val="20"/>
          <w:rtl/>
        </w:rPr>
        <w:t>מספר הפוסטים והתגובות היה 9,230.</w:t>
      </w:r>
    </w:p>
    <w:p w:rsidR="00E92F67" w:rsidRPr="00DC3374" w:rsidP="00E81188" w14:paraId="4978EA73" w14:textId="59AF665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EC71BE3" w14:textId="77777777">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17</w:t>
      </w:r>
      <w:r w:rsidRPr="00DC3374">
        <w:rPr>
          <w:b/>
          <w:bCs/>
          <w:rtl/>
        </w:rPr>
        <w:t xml:space="preserve">: </w:t>
      </w:r>
      <w:r w:rsidRPr="00DC3374">
        <w:rPr>
          <w:rFonts w:hint="eastAsia"/>
          <w:b/>
          <w:bCs/>
          <w:rtl/>
        </w:rPr>
        <w:t>בידוד</w:t>
      </w:r>
      <w:r w:rsidRPr="00DC3374">
        <w:rPr>
          <w:b/>
          <w:bCs/>
          <w:rtl/>
        </w:rPr>
        <w:t xml:space="preserve"> - </w:t>
      </w:r>
      <w:r w:rsidRPr="00DC3374">
        <w:rPr>
          <w:rFonts w:hint="eastAsia"/>
          <w:b/>
          <w:bCs/>
          <w:rtl/>
        </w:rPr>
        <w:t>מדדי</w:t>
      </w:r>
      <w:r w:rsidRPr="00DC3374">
        <w:rPr>
          <w:b/>
          <w:bCs/>
          <w:rtl/>
        </w:rPr>
        <w:t xml:space="preserve"> </w:t>
      </w:r>
      <w:r w:rsidRPr="00DC3374">
        <w:rPr>
          <w:rFonts w:hint="eastAsia"/>
          <w:b/>
          <w:bCs/>
          <w:rtl/>
        </w:rPr>
        <w:t>הבנה</w:t>
      </w:r>
      <w:r w:rsidRPr="00DC3374">
        <w:rPr>
          <w:b/>
          <w:bCs/>
          <w:rtl/>
        </w:rPr>
        <w:t xml:space="preserve">, </w:t>
      </w:r>
      <w:r w:rsidRPr="00DC3374">
        <w:rPr>
          <w:rFonts w:hint="eastAsia"/>
          <w:b/>
          <w:bCs/>
          <w:rtl/>
        </w:rPr>
        <w:t>שכנוע</w:t>
      </w:r>
      <w:r w:rsidRPr="00DC3374">
        <w:rPr>
          <w:b/>
          <w:bCs/>
          <w:rtl/>
        </w:rPr>
        <w:t xml:space="preserve"> </w:t>
      </w:r>
      <w:r w:rsidRPr="00DC3374">
        <w:rPr>
          <w:rFonts w:hint="eastAsia"/>
          <w:b/>
          <w:bCs/>
          <w:rtl/>
        </w:rPr>
        <w:t>ואמון</w:t>
      </w:r>
      <w:r w:rsidRPr="00DC3374">
        <w:rPr>
          <w:b/>
          <w:bCs/>
          <w:rtl/>
        </w:rPr>
        <w:t xml:space="preserve"> </w:t>
      </w:r>
      <w:r w:rsidRPr="00DC3374">
        <w:rPr>
          <w:rFonts w:hint="eastAsia"/>
          <w:b/>
          <w:bCs/>
          <w:rtl/>
        </w:rPr>
        <w:t>לאורך</w:t>
      </w:r>
      <w:r w:rsidRPr="00DC3374">
        <w:rPr>
          <w:b/>
          <w:bCs/>
          <w:rtl/>
        </w:rPr>
        <w:t xml:space="preserve"> </w:t>
      </w:r>
      <w:r w:rsidRPr="00DC3374">
        <w:rPr>
          <w:rFonts w:hint="eastAsia"/>
          <w:b/>
          <w:bCs/>
          <w:rtl/>
        </w:rPr>
        <w:t>המשבר</w:t>
      </w:r>
    </w:p>
    <w:p w:rsidR="00E92F67" w:rsidRPr="00DC3374" w:rsidP="00E81188" w14:paraId="7785B2B2" w14:textId="77777777">
      <w:pPr>
        <w:spacing w:line="269" w:lineRule="auto"/>
        <w:ind w:left="-567" w:right="-1134"/>
        <w:jc w:val="center"/>
        <w:rPr>
          <w:szCs w:val="20"/>
          <w:rtl/>
        </w:rPr>
      </w:pPr>
      <w:r w:rsidRPr="00DC3374">
        <w:rPr>
          <w:noProof/>
          <w:szCs w:val="20"/>
        </w:rPr>
        <w:drawing>
          <wp:anchor distT="0" distB="0" distL="114300" distR="114300" simplePos="0" relativeHeight="251662336" behindDoc="0" locked="0" layoutInCell="1" allowOverlap="1">
            <wp:simplePos x="0" y="0"/>
            <wp:positionH relativeFrom="column">
              <wp:posOffset>4228465</wp:posOffset>
            </wp:positionH>
            <wp:positionV relativeFrom="paragraph">
              <wp:posOffset>120015</wp:posOffset>
            </wp:positionV>
            <wp:extent cx="800400" cy="82800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98814" name="Picture 27"/>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00400" cy="828000"/>
                    </a:xfrm>
                    <a:prstGeom prst="rect">
                      <a:avLst/>
                    </a:prstGeom>
                    <a:noFill/>
                  </pic:spPr>
                </pic:pic>
              </a:graphicData>
            </a:graphic>
            <wp14:sizeRelH relativeFrom="margin">
              <wp14:pctWidth>0</wp14:pctWidth>
            </wp14:sizeRelH>
            <wp14:sizeRelV relativeFrom="margin">
              <wp14:pctHeight>0</wp14:pctHeight>
            </wp14:sizeRelV>
          </wp:anchor>
        </w:drawing>
      </w:r>
      <w:r w:rsidRPr="00DC3374">
        <w:rPr>
          <w:noProof/>
          <w:szCs w:val="20"/>
        </w:rPr>
        <w:drawing>
          <wp:inline distT="0" distB="0" distL="0" distR="0">
            <wp:extent cx="3822591" cy="212400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14306" name="Picture 21"/>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r="12407"/>
                    <a:stretch>
                      <a:fillRect/>
                    </a:stretch>
                  </pic:blipFill>
                  <pic:spPr bwMode="auto">
                    <a:xfrm>
                      <a:off x="0" y="0"/>
                      <a:ext cx="3822591" cy="2124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5F2551B2"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35BBFD65" w14:textId="2D4A853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7F4DC78" w14:textId="77777777">
      <w:pPr>
        <w:spacing w:line="269" w:lineRule="auto"/>
        <w:rPr>
          <w:b/>
          <w:bCs/>
          <w:rtl/>
        </w:rPr>
      </w:pPr>
      <w:r w:rsidRPr="00DC3374">
        <w:rPr>
          <w:b/>
          <w:bCs/>
          <w:rtl/>
        </w:rPr>
        <w:t xml:space="preserve">מדדי ההבנה </w:t>
      </w:r>
      <w:r w:rsidRPr="00DC3374">
        <w:rPr>
          <w:rFonts w:hint="cs"/>
          <w:b/>
          <w:bCs/>
          <w:rtl/>
        </w:rPr>
        <w:t>ו</w:t>
      </w:r>
      <w:r w:rsidRPr="00DC3374">
        <w:rPr>
          <w:b/>
          <w:bCs/>
          <w:rtl/>
        </w:rPr>
        <w:t xml:space="preserve">השכנוע מלמדים </w:t>
      </w:r>
      <w:r w:rsidRPr="00DC3374">
        <w:rPr>
          <w:rFonts w:hint="cs"/>
          <w:b/>
          <w:bCs/>
          <w:rtl/>
        </w:rPr>
        <w:t xml:space="preserve">על תנודתיות רבה: במרץ ובאפריל הציבור הבין במידה רבה את ההגבלות הנוגעות לבידוד; במאי ירדה מידת ההבנה לרמה בינונית; ביוני היא עלתה ואז ירדה עד אוגוסט; בספטמבר - בתקופת הסגר השני - היא עלתה; ולאחר שהוא הסתיים באוקטובר היא ירדה לרמה בינונית. מידת השכנוע הייתה רבה בתחילת הסגר הראשון וירדה בסופו לרמה בינונית; ביוני היא עלתה, ולקראת תחילת הסגר השני היא ירדה; ובמהלכו - היא עלתה במידת מה אם כי נותרה בינונית. </w:t>
      </w:r>
      <w:r w:rsidRPr="00DC3374">
        <w:rPr>
          <w:rFonts w:hint="eastAsia"/>
          <w:b/>
          <w:bCs/>
          <w:rtl/>
        </w:rPr>
        <w:t>מידת</w:t>
      </w:r>
      <w:r w:rsidRPr="00DC3374">
        <w:rPr>
          <w:b/>
          <w:bCs/>
          <w:rtl/>
        </w:rPr>
        <w:t xml:space="preserve"> האמון הייתה </w:t>
      </w:r>
      <w:r w:rsidRPr="00DC3374">
        <w:rPr>
          <w:rFonts w:hint="cs"/>
          <w:b/>
          <w:bCs/>
          <w:rtl/>
        </w:rPr>
        <w:t>רבה</w:t>
      </w:r>
      <w:r w:rsidRPr="00DC3374">
        <w:rPr>
          <w:b/>
          <w:bCs/>
          <w:rtl/>
        </w:rPr>
        <w:t xml:space="preserve"> </w:t>
      </w:r>
      <w:r w:rsidRPr="00DC3374">
        <w:rPr>
          <w:rFonts w:hint="cs"/>
          <w:b/>
          <w:bCs/>
          <w:rtl/>
        </w:rPr>
        <w:t xml:space="preserve">יחסית </w:t>
      </w:r>
      <w:r w:rsidRPr="00DC3374">
        <w:rPr>
          <w:b/>
          <w:bCs/>
          <w:rtl/>
        </w:rPr>
        <w:t>בתחילת המשבר וביולי</w:t>
      </w:r>
      <w:r w:rsidRPr="00DC3374">
        <w:rPr>
          <w:rFonts w:hint="cs"/>
          <w:b/>
          <w:bCs/>
          <w:rtl/>
        </w:rPr>
        <w:t>;</w:t>
      </w:r>
      <w:r w:rsidRPr="00DC3374">
        <w:rPr>
          <w:b/>
          <w:bCs/>
          <w:rtl/>
        </w:rPr>
        <w:t xml:space="preserve"> </w:t>
      </w:r>
      <w:r w:rsidRPr="00DC3374">
        <w:rPr>
          <w:rFonts w:hint="cs"/>
          <w:b/>
          <w:bCs/>
          <w:rtl/>
        </w:rPr>
        <w:t xml:space="preserve">באפריל - </w:t>
      </w:r>
      <w:r w:rsidRPr="00DC3374">
        <w:rPr>
          <w:rFonts w:hint="cs"/>
          <w:b/>
          <w:bCs/>
          <w:rtl/>
        </w:rPr>
        <w:t>במהלך הסגר הראשון ובאוגוסט - ערב הסגר השני,</w:t>
      </w:r>
      <w:r w:rsidRPr="00DC3374">
        <w:rPr>
          <w:b/>
          <w:bCs/>
          <w:rtl/>
        </w:rPr>
        <w:t xml:space="preserve"> מידת האמון </w:t>
      </w:r>
      <w:r w:rsidRPr="00DC3374">
        <w:rPr>
          <w:rFonts w:hint="cs"/>
          <w:b/>
          <w:bCs/>
          <w:rtl/>
        </w:rPr>
        <w:t>הייתה מעטה ביותר. על פי ממצאי הסקר, הנושא הבולט בשיח התמקד בדוגמה האישית של אנשי ציבור בהיבט של עמידתם בהנחיות הנוגעות לחובת הבידוד.</w:t>
      </w:r>
      <w:r w:rsidRPr="00DC3374">
        <w:rPr>
          <w:b/>
          <w:bCs/>
          <w:rtl/>
        </w:rPr>
        <w:t xml:space="preserve"> </w:t>
      </w:r>
    </w:p>
    <w:p w:rsidR="00E92F67" w:rsidRPr="00DC3374" w:rsidP="00E81188" w14:paraId="57BA93BA" w14:textId="77777777">
      <w:pPr>
        <w:spacing w:line="269" w:lineRule="auto"/>
        <w:rPr>
          <w:rtl/>
        </w:rPr>
      </w:pPr>
    </w:p>
    <w:p w:rsidR="00E92F67" w:rsidRPr="00DC3374" w:rsidP="00E81188" w14:paraId="2BC21FE3" w14:textId="77777777">
      <w:pPr>
        <w:pStyle w:val="Heading4"/>
        <w:spacing w:before="0" w:line="269" w:lineRule="auto"/>
        <w:rPr>
          <w:rtl/>
        </w:rPr>
      </w:pPr>
      <w:r w:rsidRPr="00DC3374">
        <w:rPr>
          <w:rFonts w:hint="eastAsia"/>
          <w:rtl/>
        </w:rPr>
        <w:t>סגר</w:t>
      </w:r>
      <w:r w:rsidRPr="00DC3374">
        <w:rPr>
          <w:rtl/>
        </w:rPr>
        <w:t xml:space="preserve"> </w:t>
      </w:r>
      <w:r w:rsidRPr="00DC3374">
        <w:rPr>
          <w:rFonts w:hint="eastAsia"/>
          <w:rtl/>
        </w:rPr>
        <w:t>והגבלות</w:t>
      </w:r>
      <w:r w:rsidRPr="00DC3374">
        <w:rPr>
          <w:rtl/>
        </w:rPr>
        <w:t xml:space="preserve"> </w:t>
      </w:r>
      <w:r w:rsidRPr="00DC3374">
        <w:rPr>
          <w:rFonts w:hint="eastAsia"/>
          <w:rtl/>
        </w:rPr>
        <w:t>תנועה</w:t>
      </w:r>
    </w:p>
    <w:p w:rsidR="00E92F67" w:rsidRPr="00DC3374" w:rsidP="00E81188" w14:paraId="514E0EB9" w14:textId="0720F45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A979F15" w14:textId="77777777">
      <w:pPr>
        <w:spacing w:line="269" w:lineRule="auto"/>
        <w:rPr>
          <w:rtl/>
        </w:rPr>
      </w:pPr>
      <w:r w:rsidRPr="00DC3374">
        <w:rPr>
          <w:rFonts w:hint="cs"/>
          <w:rtl/>
        </w:rPr>
        <w:t xml:space="preserve">בתקופת משבר הקורונה עד סוף שנת 2020 החליטה הממשלה שלוש פעמים על סגר וקבעה כללים להגבלות התנועה בהתייחס לפעולות שגרה שונות (כגון ספורט), לצרכים חיוניים המצדיקים את צמצום ההגבלות (כגון רכישת מזון ותרופות) ולאזורים מוגבלים. </w:t>
      </w:r>
      <w:r w:rsidRPr="00DC3374">
        <w:rPr>
          <w:rtl/>
        </w:rPr>
        <w:t xml:space="preserve">להלן </w:t>
      </w:r>
      <w:r w:rsidRPr="00DC3374">
        <w:rPr>
          <w:rFonts w:hint="cs"/>
          <w:rtl/>
        </w:rPr>
        <w:t xml:space="preserve">שני </w:t>
      </w:r>
      <w:r w:rsidRPr="00DC3374">
        <w:rPr>
          <w:rtl/>
        </w:rPr>
        <w:t xml:space="preserve">תרשימים המתארים את תגובות הציבור </w:t>
      </w:r>
      <w:r w:rsidRPr="00DC3374">
        <w:rPr>
          <w:rFonts w:hint="cs"/>
          <w:rtl/>
        </w:rPr>
        <w:t xml:space="preserve">לסגרים ולהגבלות על התנועה, </w:t>
      </w:r>
      <w:r w:rsidRPr="00DC3374">
        <w:rPr>
          <w:rtl/>
        </w:rPr>
        <w:t>כפי שהשתקפ</w:t>
      </w:r>
      <w:r w:rsidRPr="00DC3374">
        <w:rPr>
          <w:rFonts w:hint="cs"/>
          <w:rtl/>
        </w:rPr>
        <w:t>ו</w:t>
      </w:r>
      <w:r w:rsidRPr="00DC3374">
        <w:rPr>
          <w:rtl/>
        </w:rPr>
        <w:t xml:space="preserve"> בשיח ברשתות החברתיות</w:t>
      </w:r>
      <w:r w:rsidRPr="00DC3374">
        <w:rPr>
          <w:rFonts w:hint="cs"/>
          <w:rtl/>
        </w:rPr>
        <w:t xml:space="preserve">. </w:t>
      </w:r>
    </w:p>
    <w:p w:rsidR="00E92F67" w:rsidRPr="00DC3374" w:rsidP="00E81188" w14:paraId="60151FD6" w14:textId="0480C40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5733DDE" w14:textId="77777777">
      <w:pPr>
        <w:spacing w:line="269" w:lineRule="auto"/>
        <w:jc w:val="center"/>
        <w:rPr>
          <w:rtl/>
        </w:rPr>
      </w:pPr>
      <w:r w:rsidRPr="00DC3374">
        <w:rPr>
          <w:rFonts w:hint="eastAsia"/>
          <w:b/>
          <w:bCs/>
          <w:rtl/>
        </w:rPr>
        <w:t>תרשים</w:t>
      </w:r>
      <w:r w:rsidRPr="00DC3374">
        <w:rPr>
          <w:b/>
          <w:bCs/>
          <w:rtl/>
        </w:rPr>
        <w:t xml:space="preserve"> </w:t>
      </w:r>
      <w:r w:rsidRPr="00DC3374">
        <w:rPr>
          <w:rFonts w:hint="cs"/>
          <w:b/>
          <w:bCs/>
          <w:rtl/>
        </w:rPr>
        <w:t>18</w:t>
      </w:r>
      <w:r w:rsidRPr="00DC3374">
        <w:rPr>
          <w:b/>
          <w:bCs/>
          <w:rtl/>
        </w:rPr>
        <w:t xml:space="preserve">: </w:t>
      </w:r>
      <w:r w:rsidRPr="00DC3374">
        <w:rPr>
          <w:rFonts w:hint="eastAsia"/>
          <w:b/>
          <w:bCs/>
          <w:rtl/>
        </w:rPr>
        <w:t>עיקרי</w:t>
      </w:r>
      <w:r w:rsidRPr="00DC3374">
        <w:rPr>
          <w:b/>
          <w:bCs/>
          <w:rtl/>
        </w:rPr>
        <w:t xml:space="preserve"> </w:t>
      </w:r>
      <w:r w:rsidRPr="00DC3374">
        <w:rPr>
          <w:rFonts w:hint="eastAsia"/>
          <w:b/>
          <w:bCs/>
          <w:rtl/>
        </w:rPr>
        <w:t>השיח</w:t>
      </w:r>
      <w:r w:rsidRPr="00DC3374">
        <w:rPr>
          <w:b/>
          <w:bCs/>
          <w:rtl/>
        </w:rPr>
        <w:t xml:space="preserve"> </w:t>
      </w:r>
      <w:r w:rsidRPr="00DC3374">
        <w:rPr>
          <w:rFonts w:hint="eastAsia"/>
          <w:b/>
          <w:bCs/>
          <w:rtl/>
        </w:rPr>
        <w:t>על</w:t>
      </w:r>
      <w:r w:rsidRPr="00DC3374">
        <w:rPr>
          <w:b/>
          <w:bCs/>
          <w:rtl/>
        </w:rPr>
        <w:t xml:space="preserve"> </w:t>
      </w:r>
      <w:r w:rsidRPr="00DC3374">
        <w:rPr>
          <w:rFonts w:hint="eastAsia"/>
          <w:b/>
          <w:bCs/>
          <w:rtl/>
        </w:rPr>
        <w:t>סגר</w:t>
      </w:r>
      <w:r w:rsidRPr="00DC3374">
        <w:rPr>
          <w:b/>
          <w:bCs/>
          <w:rtl/>
        </w:rPr>
        <w:t xml:space="preserve"> </w:t>
      </w:r>
      <w:r w:rsidRPr="00DC3374">
        <w:rPr>
          <w:rFonts w:hint="eastAsia"/>
          <w:b/>
          <w:bCs/>
          <w:rtl/>
        </w:rPr>
        <w:t>והגבלות</w:t>
      </w:r>
      <w:r w:rsidRPr="00DC3374">
        <w:rPr>
          <w:b/>
          <w:bCs/>
          <w:rtl/>
        </w:rPr>
        <w:t xml:space="preserve"> </w:t>
      </w:r>
      <w:r w:rsidRPr="00DC3374">
        <w:rPr>
          <w:rFonts w:hint="eastAsia"/>
          <w:b/>
          <w:bCs/>
          <w:rtl/>
        </w:rPr>
        <w:t>תנועה</w:t>
      </w:r>
      <w:r w:rsidRPr="00DC3374">
        <w:rPr>
          <w:rFonts w:hint="cs"/>
          <w:rtl/>
        </w:rPr>
        <w:t>*</w:t>
      </w:r>
    </w:p>
    <w:p w:rsidR="00E92F67" w:rsidRPr="00DC3374" w:rsidP="00E81188" w14:paraId="5119416B" w14:textId="77777777">
      <w:pPr>
        <w:spacing w:line="269" w:lineRule="auto"/>
        <w:ind w:right="-851"/>
        <w:jc w:val="center"/>
        <w:rPr>
          <w:rtl/>
        </w:rPr>
      </w:pPr>
      <w:r w:rsidRPr="00DC3374">
        <w:rPr>
          <w:b/>
          <w:bCs/>
          <w:noProof/>
        </w:rPr>
        <w:drawing>
          <wp:anchor distT="0" distB="0" distL="114300" distR="114300" simplePos="0" relativeHeight="251663360" behindDoc="0" locked="0" layoutInCell="1" allowOverlap="1">
            <wp:simplePos x="0" y="0"/>
            <wp:positionH relativeFrom="margin">
              <wp:posOffset>2980690</wp:posOffset>
            </wp:positionH>
            <wp:positionV relativeFrom="paragraph">
              <wp:posOffset>1045845</wp:posOffset>
            </wp:positionV>
            <wp:extent cx="1888665" cy="950400"/>
            <wp:effectExtent l="0" t="0" r="0" b="2540"/>
            <wp:wrapThrough wrapText="bothSides">
              <wp:wrapPolygon>
                <wp:start x="0" y="0"/>
                <wp:lineTo x="0" y="21225"/>
                <wp:lineTo x="21353" y="21225"/>
                <wp:lineTo x="21353" y="0"/>
                <wp:lineTo x="0" y="0"/>
              </wp:wrapPolygon>
            </wp:wrapThrough>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57828" name="Picture 1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88665" cy="950400"/>
                    </a:xfrm>
                    <a:prstGeom prst="rect">
                      <a:avLst/>
                    </a:prstGeom>
                    <a:noFill/>
                  </pic:spPr>
                </pic:pic>
              </a:graphicData>
            </a:graphic>
            <wp14:sizeRelH relativeFrom="margin">
              <wp14:pctWidth>0</wp14:pctWidth>
            </wp14:sizeRelH>
            <wp14:sizeRelV relativeFrom="margin">
              <wp14:pctHeight>0</wp14:pctHeight>
            </wp14:sizeRelV>
          </wp:anchor>
        </w:drawing>
      </w:r>
      <w:r w:rsidRPr="00DC3374">
        <w:rPr>
          <w:noProof/>
        </w:rPr>
        <w:drawing>
          <wp:inline distT="0" distB="0" distL="0" distR="0">
            <wp:extent cx="2985397" cy="2664000"/>
            <wp:effectExtent l="0" t="0" r="5715" b="317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76903" name="Picture 10"/>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rcRect l="13856"/>
                    <a:stretch>
                      <a:fillRect/>
                    </a:stretch>
                  </pic:blipFill>
                  <pic:spPr bwMode="auto">
                    <a:xfrm>
                      <a:off x="0" y="0"/>
                      <a:ext cx="2985397" cy="2664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50EF828F"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0F7075E1" w14:textId="77777777">
      <w:pPr>
        <w:spacing w:line="269" w:lineRule="auto"/>
        <w:rPr>
          <w:szCs w:val="20"/>
          <w:rtl/>
        </w:rPr>
      </w:pPr>
      <w:r w:rsidRPr="00DC3374">
        <w:rPr>
          <w:rFonts w:hint="cs"/>
          <w:szCs w:val="20"/>
          <w:rtl/>
        </w:rPr>
        <w:t>*מספר הפוסטים והתגובות היה 7,520.</w:t>
      </w:r>
    </w:p>
    <w:p w:rsidR="00E92F67" w:rsidRPr="00DC3374" w:rsidP="00E81188" w14:paraId="6866E89E" w14:textId="5E319B5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4EF6D1DC" w14:textId="77777777">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19</w:t>
      </w:r>
      <w:r w:rsidRPr="00DC3374">
        <w:rPr>
          <w:b/>
          <w:bCs/>
          <w:rtl/>
        </w:rPr>
        <w:t xml:space="preserve">: </w:t>
      </w:r>
      <w:r w:rsidRPr="00DC3374">
        <w:rPr>
          <w:rFonts w:hint="eastAsia"/>
          <w:b/>
          <w:bCs/>
          <w:rtl/>
        </w:rPr>
        <w:t>סגר</w:t>
      </w:r>
      <w:r w:rsidRPr="00DC3374">
        <w:rPr>
          <w:b/>
          <w:bCs/>
          <w:rtl/>
        </w:rPr>
        <w:t xml:space="preserve"> </w:t>
      </w:r>
      <w:r w:rsidRPr="00DC3374">
        <w:rPr>
          <w:rFonts w:hint="eastAsia"/>
          <w:b/>
          <w:bCs/>
          <w:rtl/>
        </w:rPr>
        <w:t>והגבלות</w:t>
      </w:r>
      <w:r w:rsidRPr="00DC3374">
        <w:rPr>
          <w:b/>
          <w:bCs/>
          <w:rtl/>
        </w:rPr>
        <w:t xml:space="preserve"> </w:t>
      </w:r>
      <w:r w:rsidRPr="00DC3374">
        <w:rPr>
          <w:rFonts w:hint="eastAsia"/>
          <w:b/>
          <w:bCs/>
          <w:rtl/>
        </w:rPr>
        <w:t>תנועה</w:t>
      </w:r>
      <w:r w:rsidRPr="00DC3374">
        <w:rPr>
          <w:b/>
          <w:bCs/>
          <w:rtl/>
        </w:rPr>
        <w:t xml:space="preserve"> - </w:t>
      </w:r>
      <w:r w:rsidRPr="00DC3374">
        <w:rPr>
          <w:rFonts w:hint="eastAsia"/>
          <w:b/>
          <w:bCs/>
          <w:rtl/>
        </w:rPr>
        <w:t>מדדי</w:t>
      </w:r>
      <w:r w:rsidRPr="00DC3374">
        <w:rPr>
          <w:b/>
          <w:bCs/>
          <w:rtl/>
        </w:rPr>
        <w:t xml:space="preserve"> </w:t>
      </w:r>
      <w:r w:rsidRPr="00DC3374">
        <w:rPr>
          <w:rFonts w:hint="eastAsia"/>
          <w:b/>
          <w:bCs/>
          <w:rtl/>
        </w:rPr>
        <w:t>הבנה</w:t>
      </w:r>
      <w:r w:rsidRPr="00DC3374">
        <w:rPr>
          <w:b/>
          <w:bCs/>
          <w:rtl/>
        </w:rPr>
        <w:t xml:space="preserve">, </w:t>
      </w:r>
      <w:r w:rsidRPr="00DC3374">
        <w:rPr>
          <w:rFonts w:hint="eastAsia"/>
          <w:b/>
          <w:bCs/>
          <w:rtl/>
        </w:rPr>
        <w:t>שכנוע</w:t>
      </w:r>
      <w:r w:rsidRPr="00DC3374">
        <w:rPr>
          <w:b/>
          <w:bCs/>
          <w:rtl/>
        </w:rPr>
        <w:t xml:space="preserve"> </w:t>
      </w:r>
      <w:r w:rsidRPr="00DC3374">
        <w:rPr>
          <w:rFonts w:hint="eastAsia"/>
          <w:b/>
          <w:bCs/>
          <w:rtl/>
        </w:rPr>
        <w:t>ואמון</w:t>
      </w:r>
      <w:r w:rsidRPr="00DC3374">
        <w:rPr>
          <w:b/>
          <w:bCs/>
          <w:rtl/>
        </w:rPr>
        <w:t xml:space="preserve"> </w:t>
      </w:r>
      <w:r w:rsidRPr="00DC3374">
        <w:rPr>
          <w:rFonts w:hint="eastAsia"/>
          <w:b/>
          <w:bCs/>
          <w:rtl/>
        </w:rPr>
        <w:t>לאורך</w:t>
      </w:r>
      <w:r w:rsidRPr="00DC3374">
        <w:rPr>
          <w:b/>
          <w:bCs/>
          <w:rtl/>
        </w:rPr>
        <w:t xml:space="preserve"> </w:t>
      </w:r>
      <w:r w:rsidRPr="00DC3374">
        <w:rPr>
          <w:rFonts w:hint="eastAsia"/>
          <w:b/>
          <w:bCs/>
          <w:rtl/>
        </w:rPr>
        <w:t>המשבר</w:t>
      </w:r>
    </w:p>
    <w:p w:rsidR="00E92F67" w:rsidRPr="00DC3374" w:rsidP="00E81188" w14:paraId="6DDDC44E" w14:textId="77777777">
      <w:pPr>
        <w:spacing w:line="269" w:lineRule="auto"/>
        <w:ind w:left="-567" w:right="-1134"/>
        <w:jc w:val="center"/>
        <w:rPr>
          <w:szCs w:val="20"/>
          <w:rtl/>
        </w:rPr>
      </w:pPr>
      <w:r w:rsidRPr="00DC3374">
        <w:rPr>
          <w:noProof/>
          <w:szCs w:val="20"/>
        </w:rPr>
        <w:drawing>
          <wp:anchor distT="0" distB="0" distL="114300" distR="114300" simplePos="0" relativeHeight="251664384" behindDoc="0" locked="0" layoutInCell="1" allowOverlap="1">
            <wp:simplePos x="0" y="0"/>
            <wp:positionH relativeFrom="margin">
              <wp:posOffset>4228465</wp:posOffset>
            </wp:positionH>
            <wp:positionV relativeFrom="paragraph">
              <wp:posOffset>186055</wp:posOffset>
            </wp:positionV>
            <wp:extent cx="801006" cy="82800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93071" name="Picture 27"/>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01006" cy="828000"/>
                    </a:xfrm>
                    <a:prstGeom prst="rect">
                      <a:avLst/>
                    </a:prstGeom>
                    <a:noFill/>
                  </pic:spPr>
                </pic:pic>
              </a:graphicData>
            </a:graphic>
            <wp14:sizeRelH relativeFrom="margin">
              <wp14:pctWidth>0</wp14:pctWidth>
            </wp14:sizeRelH>
            <wp14:sizeRelV relativeFrom="margin">
              <wp14:pctHeight>0</wp14:pctHeight>
            </wp14:sizeRelV>
          </wp:anchor>
        </w:drawing>
      </w:r>
      <w:r w:rsidRPr="00DC3374">
        <w:rPr>
          <w:noProof/>
          <w:szCs w:val="20"/>
        </w:rPr>
        <w:drawing>
          <wp:inline distT="0" distB="0" distL="0" distR="0">
            <wp:extent cx="4151117" cy="2124000"/>
            <wp:effectExtent l="0" t="0" r="1905" b="0"/>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87648" name="Picture 22"/>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r="12615"/>
                    <a:stretch>
                      <a:fillRect/>
                    </a:stretch>
                  </pic:blipFill>
                  <pic:spPr bwMode="auto">
                    <a:xfrm>
                      <a:off x="0" y="0"/>
                      <a:ext cx="4151117" cy="2124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6FC0C6F0"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519CE6E3" w14:textId="620EE48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P="00E81188" w14:paraId="0B527C7E" w14:textId="6E11F93D">
      <w:pPr>
        <w:spacing w:line="269" w:lineRule="auto"/>
        <w:rPr>
          <w:rtl/>
        </w:rPr>
      </w:pPr>
      <w:r w:rsidRPr="00DC3374">
        <w:rPr>
          <w:rFonts w:hint="cs"/>
          <w:rtl/>
        </w:rPr>
        <w:t xml:space="preserve">השיח ברשתות החברתיות בנוגע לסגר ולהגבלות על התנועה בתקופה שנבדקה עסק בנושאים שונים, ובהם בין היתר, תהליכי קבלת ההחלטות על כניסה לסגר, לרבות טענות שהשיקולים בקבלת ההחלטות היו לא ענייניים. </w:t>
      </w:r>
    </w:p>
    <w:p w:rsidR="00E81188" w:rsidP="00E81188" w14:paraId="429399BD" w14:textId="2757BDB8">
      <w:pPr>
        <w:spacing w:line="269" w:lineRule="auto"/>
        <w:rPr>
          <w:rtl/>
        </w:rPr>
      </w:pPr>
    </w:p>
    <w:p w:rsidR="00E81188" w:rsidRPr="00DC3374" w:rsidP="00E81188" w14:paraId="6C16038C" w14:textId="77777777">
      <w:pPr>
        <w:spacing w:line="269" w:lineRule="auto"/>
        <w:rPr>
          <w:rtl/>
        </w:rPr>
      </w:pPr>
    </w:p>
    <w:p w:rsidR="00E92F67" w:rsidRPr="00DC3374" w:rsidP="00E81188" w14:paraId="767EA212" w14:textId="67BB780F">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E92F67" w:rsidRPr="00DC3374" w:rsidP="00E81188" w14:paraId="731C847F" w14:textId="77777777">
      <w:pPr>
        <w:spacing w:line="269" w:lineRule="auto"/>
        <w:rPr>
          <w:b/>
          <w:bCs/>
          <w:rtl/>
        </w:rPr>
      </w:pPr>
      <w:r w:rsidRPr="00DC3374">
        <w:rPr>
          <w:rFonts w:hint="cs"/>
          <w:b/>
          <w:bCs/>
          <w:rtl/>
        </w:rPr>
        <w:t xml:space="preserve">המדדים מלמדים </w:t>
      </w:r>
      <w:r w:rsidRPr="00DC3374">
        <w:rPr>
          <w:b/>
          <w:bCs/>
          <w:rtl/>
        </w:rPr>
        <w:t xml:space="preserve">שהציבור הבין את </w:t>
      </w:r>
      <w:r w:rsidRPr="00DC3374">
        <w:rPr>
          <w:rFonts w:hint="cs"/>
          <w:b/>
          <w:bCs/>
          <w:rtl/>
        </w:rPr>
        <w:t>ההנחיות</w:t>
      </w:r>
      <w:r w:rsidRPr="00DC3374">
        <w:rPr>
          <w:b/>
          <w:bCs/>
          <w:rtl/>
        </w:rPr>
        <w:t xml:space="preserve"> </w:t>
      </w:r>
      <w:r w:rsidRPr="00DC3374">
        <w:rPr>
          <w:rFonts w:hint="cs"/>
          <w:b/>
          <w:bCs/>
          <w:rtl/>
        </w:rPr>
        <w:t xml:space="preserve">הנוגעות לסגר ולהגבלות במידה רבה בתקופת הסגר הראשון - מרץ ואפריל 2020; מידת ההבנה הייתה בינונית במאי ועלתה ביוני, לאחר היציאה מהסגר; ומאז נותרה בינונית. מידת השכנוע הייתה בינונית ברוב התקופה שנבדקה, ולמעשה הייתה המעטה ביותר מבין הנושאים שנבדקו (5.4). מידת </w:t>
      </w:r>
      <w:r w:rsidRPr="00DC3374">
        <w:rPr>
          <w:b/>
          <w:bCs/>
          <w:rtl/>
        </w:rPr>
        <w:t>האמון שנתן הציבור במקבלי ההחלטות הי</w:t>
      </w:r>
      <w:r w:rsidRPr="00DC3374">
        <w:rPr>
          <w:rFonts w:hint="cs"/>
          <w:b/>
          <w:bCs/>
          <w:rtl/>
        </w:rPr>
        <w:t>ית</w:t>
      </w:r>
      <w:r w:rsidRPr="00DC3374">
        <w:rPr>
          <w:b/>
          <w:bCs/>
          <w:rtl/>
        </w:rPr>
        <w:t xml:space="preserve">ה </w:t>
      </w:r>
      <w:r w:rsidRPr="00DC3374">
        <w:rPr>
          <w:rFonts w:hint="cs"/>
          <w:b/>
          <w:bCs/>
          <w:rtl/>
        </w:rPr>
        <w:t>מעטה</w:t>
      </w:r>
      <w:r w:rsidRPr="00DC3374">
        <w:rPr>
          <w:b/>
          <w:bCs/>
          <w:rtl/>
        </w:rPr>
        <w:t xml:space="preserve">, </w:t>
      </w:r>
      <w:r w:rsidRPr="00DC3374">
        <w:rPr>
          <w:rFonts w:hint="eastAsia"/>
          <w:b/>
          <w:bCs/>
          <w:rtl/>
        </w:rPr>
        <w:t>ובמגמ</w:t>
      </w:r>
      <w:r w:rsidRPr="00DC3374">
        <w:rPr>
          <w:rFonts w:hint="cs"/>
          <w:b/>
          <w:bCs/>
          <w:rtl/>
        </w:rPr>
        <w:t xml:space="preserve">ה כללית של ירידה </w:t>
      </w:r>
      <w:r w:rsidRPr="00DC3374">
        <w:rPr>
          <w:rFonts w:hint="eastAsia"/>
          <w:b/>
          <w:bCs/>
          <w:rtl/>
        </w:rPr>
        <w:t>ממרץ</w:t>
      </w:r>
      <w:r w:rsidRPr="00DC3374">
        <w:rPr>
          <w:b/>
          <w:bCs/>
          <w:rtl/>
        </w:rPr>
        <w:t xml:space="preserve"> </w:t>
      </w:r>
      <w:r w:rsidRPr="00DC3374">
        <w:rPr>
          <w:rFonts w:hint="eastAsia"/>
          <w:b/>
          <w:bCs/>
          <w:rtl/>
        </w:rPr>
        <w:t>עד</w:t>
      </w:r>
      <w:r w:rsidRPr="00DC3374">
        <w:rPr>
          <w:b/>
          <w:bCs/>
          <w:rtl/>
        </w:rPr>
        <w:t xml:space="preserve"> </w:t>
      </w:r>
      <w:r w:rsidRPr="00DC3374">
        <w:rPr>
          <w:rFonts w:hint="eastAsia"/>
          <w:b/>
          <w:bCs/>
          <w:rtl/>
        </w:rPr>
        <w:t>אוקטובר</w:t>
      </w:r>
      <w:r w:rsidRPr="00DC3374">
        <w:rPr>
          <w:b/>
          <w:bCs/>
          <w:rtl/>
        </w:rPr>
        <w:t xml:space="preserve">, </w:t>
      </w:r>
      <w:r w:rsidRPr="00DC3374">
        <w:rPr>
          <w:rFonts w:hint="cs"/>
          <w:b/>
          <w:bCs/>
          <w:rtl/>
        </w:rPr>
        <w:t xml:space="preserve">למעט עלייה קלה ביולי, </w:t>
      </w:r>
      <w:r w:rsidRPr="00DC3374">
        <w:rPr>
          <w:b/>
          <w:bCs/>
          <w:rtl/>
        </w:rPr>
        <w:t>ולכן גדל הסיכון לאי</w:t>
      </w:r>
      <w:r w:rsidRPr="00DC3374">
        <w:rPr>
          <w:rFonts w:hint="cs"/>
          <w:b/>
          <w:bCs/>
          <w:rtl/>
        </w:rPr>
        <w:t>-</w:t>
      </w:r>
      <w:r w:rsidRPr="00DC3374">
        <w:rPr>
          <w:b/>
          <w:bCs/>
          <w:rtl/>
        </w:rPr>
        <w:t>ציות להנחיות.</w:t>
      </w:r>
    </w:p>
    <w:p w:rsidR="00E92F67" w:rsidRPr="00DC3374" w:rsidP="00E81188" w14:paraId="2813F4FF" w14:textId="5AC4941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0AAB407" w14:textId="698AE72E">
      <w:pPr>
        <w:spacing w:line="269" w:lineRule="auto"/>
        <w:rPr>
          <w:rtl/>
        </w:rPr>
      </w:pPr>
      <w:r w:rsidRPr="00DC3374">
        <w:rPr>
          <w:rFonts w:hint="cs"/>
          <w:rtl/>
        </w:rPr>
        <w:t xml:space="preserve">מתשובת משרד הבריאות עולה כי </w:t>
      </w:r>
      <w:r w:rsidRPr="00DC3374">
        <w:rPr>
          <w:rtl/>
        </w:rPr>
        <w:t xml:space="preserve">סקר </w:t>
      </w:r>
      <w:r w:rsidRPr="00DC3374">
        <w:rPr>
          <w:rFonts w:hint="cs"/>
          <w:rtl/>
        </w:rPr>
        <w:t xml:space="preserve">שערך </w:t>
      </w:r>
      <w:r w:rsidRPr="00DC3374">
        <w:rPr>
          <w:rtl/>
        </w:rPr>
        <w:t>באוגוסט 2020</w:t>
      </w:r>
      <w:r w:rsidRPr="00DC3374">
        <w:rPr>
          <w:rFonts w:hint="cs"/>
          <w:rtl/>
        </w:rPr>
        <w:t xml:space="preserve"> בנוגע לחלק מהמדדים האמורים,</w:t>
      </w:r>
      <w:r w:rsidR="009A11FC">
        <w:rPr>
          <w:rFonts w:hint="cs"/>
          <w:rtl/>
        </w:rPr>
        <w:t xml:space="preserve"> </w:t>
      </w:r>
      <w:r w:rsidRPr="00DC3374">
        <w:rPr>
          <w:rFonts w:hint="cs"/>
          <w:rtl/>
        </w:rPr>
        <w:t xml:space="preserve">העלה רמת </w:t>
      </w:r>
      <w:r w:rsidRPr="00DC3374">
        <w:rPr>
          <w:rtl/>
        </w:rPr>
        <w:t>ציות גבוה</w:t>
      </w:r>
      <w:r w:rsidRPr="00DC3374">
        <w:rPr>
          <w:rFonts w:hint="cs"/>
          <w:rtl/>
        </w:rPr>
        <w:t xml:space="preserve">ה. </w:t>
      </w:r>
    </w:p>
    <w:p w:rsidR="00E92F67" w:rsidRPr="00DC3374" w:rsidP="00E81188" w14:paraId="4FC93EC4" w14:textId="77777777">
      <w:pPr>
        <w:spacing w:line="269" w:lineRule="auto"/>
        <w:rPr>
          <w:rtl/>
        </w:rPr>
      </w:pPr>
    </w:p>
    <w:p w:rsidR="00E92F67" w:rsidRPr="00DC3374" w:rsidP="00E81188" w14:paraId="7679D751" w14:textId="77777777">
      <w:pPr>
        <w:pStyle w:val="Heading4"/>
        <w:spacing w:before="0" w:line="269" w:lineRule="auto"/>
        <w:rPr>
          <w:rtl/>
        </w:rPr>
      </w:pPr>
      <w:r w:rsidRPr="00DC3374">
        <w:rPr>
          <w:rFonts w:hint="cs"/>
          <w:rtl/>
        </w:rPr>
        <w:t xml:space="preserve">עטיית </w:t>
      </w:r>
      <w:r w:rsidRPr="00DC3374">
        <w:rPr>
          <w:rFonts w:hint="eastAsia"/>
          <w:rtl/>
        </w:rPr>
        <w:t>מסכות</w:t>
      </w:r>
    </w:p>
    <w:p w:rsidR="00E92F67" w:rsidRPr="00DC3374" w:rsidP="00E81188" w14:paraId="3B4630C4" w14:textId="4109D15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EC9B03D" w14:textId="77777777">
      <w:pPr>
        <w:spacing w:line="269" w:lineRule="auto"/>
        <w:rPr>
          <w:rtl/>
        </w:rPr>
      </w:pPr>
      <w:r w:rsidRPr="00DC3374">
        <w:rPr>
          <w:rFonts w:hint="cs"/>
          <w:rtl/>
        </w:rPr>
        <w:t xml:space="preserve">חובת עטיית המסכות נכנסה לתוקף באמצע אפריל 2020. </w:t>
      </w:r>
      <w:r w:rsidRPr="00DC3374">
        <w:rPr>
          <w:rtl/>
        </w:rPr>
        <w:t xml:space="preserve">להלן </w:t>
      </w:r>
      <w:r w:rsidRPr="00DC3374">
        <w:rPr>
          <w:rFonts w:hint="cs"/>
          <w:rtl/>
        </w:rPr>
        <w:t xml:space="preserve">שני </w:t>
      </w:r>
      <w:r w:rsidRPr="00DC3374">
        <w:rPr>
          <w:rtl/>
        </w:rPr>
        <w:t>תרשי</w:t>
      </w:r>
      <w:r w:rsidRPr="00DC3374">
        <w:rPr>
          <w:rFonts w:hint="cs"/>
          <w:rtl/>
        </w:rPr>
        <w:t>מי</w:t>
      </w:r>
      <w:r w:rsidRPr="00DC3374">
        <w:rPr>
          <w:rtl/>
        </w:rPr>
        <w:t xml:space="preserve">ם </w:t>
      </w:r>
      <w:r w:rsidRPr="00DC3374">
        <w:rPr>
          <w:rFonts w:hint="cs"/>
          <w:rtl/>
        </w:rPr>
        <w:t xml:space="preserve">המתארים את תגובות הציבור לחובה זו, כפי שהשתקפו בשיח ברשתות החברתיות. </w:t>
      </w:r>
    </w:p>
    <w:p w:rsidR="00E92F67" w:rsidRPr="00DC3374" w:rsidP="00E81188" w14:paraId="6A7AD040" w14:textId="153777D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4941B05" w14:textId="77777777">
      <w:pPr>
        <w:spacing w:line="269" w:lineRule="auto"/>
        <w:jc w:val="center"/>
        <w:rPr>
          <w:rtl/>
        </w:rPr>
      </w:pPr>
      <w:r w:rsidRPr="00DC3374">
        <w:rPr>
          <w:rFonts w:hint="eastAsia"/>
          <w:b/>
          <w:bCs/>
          <w:rtl/>
        </w:rPr>
        <w:t>תרשים</w:t>
      </w:r>
      <w:r w:rsidRPr="00DC3374">
        <w:rPr>
          <w:b/>
          <w:bCs/>
          <w:rtl/>
        </w:rPr>
        <w:t xml:space="preserve"> </w:t>
      </w:r>
      <w:r w:rsidRPr="00DC3374">
        <w:rPr>
          <w:rFonts w:hint="cs"/>
          <w:b/>
          <w:bCs/>
          <w:rtl/>
        </w:rPr>
        <w:t>20</w:t>
      </w:r>
      <w:r w:rsidRPr="00DC3374">
        <w:rPr>
          <w:b/>
          <w:bCs/>
          <w:rtl/>
        </w:rPr>
        <w:t xml:space="preserve">: עיקרי השיח על חובת </w:t>
      </w:r>
      <w:r w:rsidRPr="00DC3374">
        <w:rPr>
          <w:rFonts w:hint="eastAsia"/>
          <w:b/>
          <w:bCs/>
          <w:rtl/>
        </w:rPr>
        <w:t>עטיית</w:t>
      </w:r>
      <w:r w:rsidRPr="00DC3374">
        <w:rPr>
          <w:b/>
          <w:bCs/>
          <w:rtl/>
        </w:rPr>
        <w:t xml:space="preserve"> מסכות</w:t>
      </w:r>
      <w:r w:rsidRPr="00DC3374">
        <w:rPr>
          <w:rFonts w:hint="cs"/>
          <w:rtl/>
        </w:rPr>
        <w:t>*</w:t>
      </w:r>
    </w:p>
    <w:p w:rsidR="00E92F67" w:rsidRPr="00DC3374" w:rsidP="00E81188" w14:paraId="40DD3448" w14:textId="77777777">
      <w:pPr>
        <w:spacing w:line="269" w:lineRule="auto"/>
        <w:ind w:left="-426" w:right="-993"/>
        <w:rPr>
          <w:b/>
          <w:bCs/>
          <w:rtl/>
        </w:rPr>
      </w:pPr>
      <w:r w:rsidRPr="00DC3374">
        <w:rPr>
          <w:b/>
          <w:bCs/>
          <w:noProof/>
        </w:rPr>
        <w:drawing>
          <wp:anchor distT="0" distB="0" distL="114300" distR="114300" simplePos="0" relativeHeight="251665408" behindDoc="0" locked="0" layoutInCell="1" allowOverlap="1">
            <wp:simplePos x="0" y="0"/>
            <wp:positionH relativeFrom="margin">
              <wp:posOffset>2699385</wp:posOffset>
            </wp:positionH>
            <wp:positionV relativeFrom="paragraph">
              <wp:posOffset>1033145</wp:posOffset>
            </wp:positionV>
            <wp:extent cx="1900800" cy="950400"/>
            <wp:effectExtent l="0" t="0" r="4445" b="2540"/>
            <wp:wrapThrough wrapText="bothSides">
              <wp:wrapPolygon>
                <wp:start x="0" y="0"/>
                <wp:lineTo x="0" y="21225"/>
                <wp:lineTo x="21434" y="21225"/>
                <wp:lineTo x="21434" y="0"/>
                <wp:lineTo x="0" y="0"/>
              </wp:wrapPolygon>
            </wp:wrapThrough>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76880" name="Picture 14"/>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0800" cy="950400"/>
                    </a:xfrm>
                    <a:prstGeom prst="rect">
                      <a:avLst/>
                    </a:prstGeom>
                    <a:noFill/>
                  </pic:spPr>
                </pic:pic>
              </a:graphicData>
            </a:graphic>
            <wp14:sizeRelH relativeFrom="margin">
              <wp14:pctWidth>0</wp14:pctWidth>
            </wp14:sizeRelH>
            <wp14:sizeRelV relativeFrom="margin">
              <wp14:pctHeight>0</wp14:pctHeight>
            </wp14:sizeRelV>
          </wp:anchor>
        </w:drawing>
      </w:r>
      <w:r w:rsidRPr="00DC3374">
        <w:rPr>
          <w:b/>
          <w:bCs/>
          <w:noProof/>
        </w:rPr>
        <w:drawing>
          <wp:inline distT="0" distB="0" distL="0" distR="0">
            <wp:extent cx="2597042" cy="2664000"/>
            <wp:effectExtent l="0" t="0" r="0" b="3175"/>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48412" name="Picture 11"/>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l="14151"/>
                    <a:stretch>
                      <a:fillRect/>
                    </a:stretch>
                  </pic:blipFill>
                  <pic:spPr bwMode="auto">
                    <a:xfrm>
                      <a:off x="0" y="0"/>
                      <a:ext cx="2597042" cy="2664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012B811B"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7D049F34" w14:textId="77777777">
      <w:pPr>
        <w:spacing w:line="269" w:lineRule="auto"/>
        <w:rPr>
          <w:szCs w:val="20"/>
          <w:rtl/>
        </w:rPr>
      </w:pPr>
      <w:r w:rsidRPr="00DC3374">
        <w:rPr>
          <w:rFonts w:hint="cs"/>
          <w:szCs w:val="20"/>
          <w:rtl/>
        </w:rPr>
        <w:t>* מספר הפוסטים והתגובות היה 6,065.</w:t>
      </w:r>
    </w:p>
    <w:p w:rsidR="00E92F67" w:rsidRPr="00DC3374" w:rsidP="00E81188" w14:paraId="355C8926" w14:textId="313D22B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P="00E81188" w14:paraId="3A06548A" w14:textId="77777777">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21</w:t>
      </w:r>
      <w:r w:rsidRPr="00DC3374">
        <w:rPr>
          <w:b/>
          <w:bCs/>
          <w:rtl/>
        </w:rPr>
        <w:t xml:space="preserve">: </w:t>
      </w:r>
      <w:r w:rsidRPr="00DC3374">
        <w:rPr>
          <w:rFonts w:hint="eastAsia"/>
          <w:b/>
          <w:bCs/>
          <w:rtl/>
        </w:rPr>
        <w:t>מסכות</w:t>
      </w:r>
      <w:r w:rsidRPr="00DC3374">
        <w:rPr>
          <w:b/>
          <w:bCs/>
          <w:rtl/>
        </w:rPr>
        <w:t xml:space="preserve"> - </w:t>
      </w:r>
      <w:r w:rsidRPr="00DC3374">
        <w:rPr>
          <w:rFonts w:hint="eastAsia"/>
          <w:b/>
          <w:bCs/>
          <w:rtl/>
        </w:rPr>
        <w:t>מדדי</w:t>
      </w:r>
      <w:r w:rsidRPr="00DC3374">
        <w:rPr>
          <w:b/>
          <w:bCs/>
          <w:rtl/>
        </w:rPr>
        <w:t xml:space="preserve"> </w:t>
      </w:r>
      <w:r w:rsidRPr="00DC3374">
        <w:rPr>
          <w:rFonts w:hint="eastAsia"/>
          <w:b/>
          <w:bCs/>
          <w:rtl/>
        </w:rPr>
        <w:t>הבנה</w:t>
      </w:r>
      <w:r w:rsidRPr="00DC3374">
        <w:rPr>
          <w:b/>
          <w:bCs/>
          <w:rtl/>
        </w:rPr>
        <w:t xml:space="preserve">, </w:t>
      </w:r>
      <w:r w:rsidRPr="00DC3374">
        <w:rPr>
          <w:rFonts w:hint="eastAsia"/>
          <w:b/>
          <w:bCs/>
          <w:rtl/>
        </w:rPr>
        <w:t>שכנוע</w:t>
      </w:r>
      <w:r w:rsidRPr="00DC3374">
        <w:rPr>
          <w:b/>
          <w:bCs/>
          <w:rtl/>
        </w:rPr>
        <w:t xml:space="preserve"> </w:t>
      </w:r>
      <w:r w:rsidRPr="00DC3374">
        <w:rPr>
          <w:rFonts w:hint="eastAsia"/>
          <w:b/>
          <w:bCs/>
          <w:rtl/>
        </w:rPr>
        <w:t>ואמון</w:t>
      </w:r>
      <w:r w:rsidRPr="00DC3374">
        <w:rPr>
          <w:b/>
          <w:bCs/>
          <w:rtl/>
        </w:rPr>
        <w:t xml:space="preserve"> </w:t>
      </w:r>
      <w:r w:rsidRPr="00DC3374">
        <w:rPr>
          <w:rFonts w:hint="eastAsia"/>
          <w:b/>
          <w:bCs/>
          <w:rtl/>
        </w:rPr>
        <w:t>לאורך</w:t>
      </w:r>
      <w:r w:rsidRPr="00DC3374">
        <w:rPr>
          <w:b/>
          <w:bCs/>
          <w:rtl/>
        </w:rPr>
        <w:t xml:space="preserve"> </w:t>
      </w:r>
      <w:r w:rsidRPr="00DC3374">
        <w:rPr>
          <w:rFonts w:hint="eastAsia"/>
          <w:b/>
          <w:bCs/>
          <w:rtl/>
        </w:rPr>
        <w:t>המשבר</w:t>
      </w:r>
    </w:p>
    <w:p w:rsidR="00E92F67" w:rsidP="00E81188" w14:paraId="1FE614E4" w14:textId="77777777">
      <w:pPr>
        <w:spacing w:line="269" w:lineRule="auto"/>
        <w:jc w:val="center"/>
        <w:rPr>
          <w:b/>
          <w:bCs/>
          <w:rtl/>
        </w:rPr>
      </w:pPr>
      <w:r w:rsidRPr="00DC3374">
        <w:rPr>
          <w:noProof/>
          <w:szCs w:val="20"/>
        </w:rPr>
        <w:drawing>
          <wp:anchor distT="0" distB="0" distL="114300" distR="114300" simplePos="0" relativeHeight="251666432" behindDoc="0" locked="0" layoutInCell="1" allowOverlap="1">
            <wp:simplePos x="0" y="0"/>
            <wp:positionH relativeFrom="margin">
              <wp:posOffset>4566285</wp:posOffset>
            </wp:positionH>
            <wp:positionV relativeFrom="paragraph">
              <wp:posOffset>1100455</wp:posOffset>
            </wp:positionV>
            <wp:extent cx="683895" cy="707390"/>
            <wp:effectExtent l="0" t="0" r="1905"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24994" name="Picture 27"/>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3895" cy="707390"/>
                    </a:xfrm>
                    <a:prstGeom prst="rect">
                      <a:avLst/>
                    </a:prstGeom>
                    <a:noFill/>
                  </pic:spPr>
                </pic:pic>
              </a:graphicData>
            </a:graphic>
          </wp:anchor>
        </w:drawing>
      </w:r>
      <w:r>
        <w:rPr>
          <w:b/>
          <w:bCs/>
          <w:noProof/>
        </w:rPr>
        <w:drawing>
          <wp:inline distT="0" distB="0" distL="0" distR="0">
            <wp:extent cx="3971290" cy="1838325"/>
            <wp:effectExtent l="0" t="0" r="0" b="952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45167" name="Picture 2"/>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971290" cy="1838325"/>
                    </a:xfrm>
                    <a:prstGeom prst="rect">
                      <a:avLst/>
                    </a:prstGeom>
                    <a:noFill/>
                  </pic:spPr>
                </pic:pic>
              </a:graphicData>
            </a:graphic>
          </wp:inline>
        </w:drawing>
      </w:r>
    </w:p>
    <w:p w:rsidR="00E92F67" w:rsidRPr="00DC3374" w:rsidP="00E81188" w14:paraId="41BA4798"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225960E5" w14:textId="40C21E1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9E70064" w14:textId="77777777">
      <w:pPr>
        <w:spacing w:line="269" w:lineRule="auto"/>
        <w:ind w:left="-1"/>
        <w:rPr>
          <w:rtl/>
        </w:rPr>
      </w:pPr>
      <w:r w:rsidRPr="00DC3374">
        <w:rPr>
          <w:rFonts w:hint="cs"/>
          <w:rtl/>
        </w:rPr>
        <w:t>כ</w:t>
      </w:r>
      <w:r w:rsidRPr="00DC3374">
        <w:rPr>
          <w:rtl/>
        </w:rPr>
        <w:t xml:space="preserve">שליש מהשיח על </w:t>
      </w:r>
      <w:r w:rsidRPr="00DC3374">
        <w:rPr>
          <w:rFonts w:hint="cs"/>
          <w:rtl/>
        </w:rPr>
        <w:t xml:space="preserve">חובת עטיית </w:t>
      </w:r>
      <w:r w:rsidRPr="00DC3374">
        <w:rPr>
          <w:rtl/>
        </w:rPr>
        <w:t xml:space="preserve">המסכות עסק </w:t>
      </w:r>
      <w:r w:rsidRPr="00DC3374">
        <w:rPr>
          <w:rFonts w:hint="cs"/>
          <w:rtl/>
        </w:rPr>
        <w:t xml:space="preserve">אפוא </w:t>
      </w:r>
      <w:r w:rsidRPr="00DC3374">
        <w:rPr>
          <w:rtl/>
        </w:rPr>
        <w:t>בסוגיית האכיפה והקנסות</w:t>
      </w:r>
      <w:r w:rsidRPr="00DC3374">
        <w:rPr>
          <w:rFonts w:hint="cs"/>
          <w:rtl/>
        </w:rPr>
        <w:t xml:space="preserve">, לרבות </w:t>
      </w:r>
      <w:r w:rsidRPr="00DC3374">
        <w:rPr>
          <w:rtl/>
        </w:rPr>
        <w:t xml:space="preserve">טענות על אכיפה בררנית ועל </w:t>
      </w:r>
      <w:r w:rsidRPr="00DC3374">
        <w:rPr>
          <w:rFonts w:hint="cs"/>
          <w:rtl/>
        </w:rPr>
        <w:t>מידת הצורך לעטות</w:t>
      </w:r>
      <w:r w:rsidRPr="00DC3374">
        <w:rPr>
          <w:rtl/>
        </w:rPr>
        <w:t xml:space="preserve"> מסכה</w:t>
      </w:r>
      <w:r w:rsidRPr="00DC3374">
        <w:rPr>
          <w:rFonts w:hint="cs"/>
          <w:rtl/>
        </w:rPr>
        <w:t xml:space="preserve"> - בכלל ובפרט</w:t>
      </w:r>
      <w:r w:rsidRPr="00DC3374">
        <w:rPr>
          <w:rtl/>
        </w:rPr>
        <w:t xml:space="preserve"> במקומות פתוחים.</w:t>
      </w:r>
      <w:r w:rsidRPr="00DC3374">
        <w:rPr>
          <w:rFonts w:hint="cs"/>
          <w:rtl/>
        </w:rPr>
        <w:t xml:space="preserve"> </w:t>
      </w:r>
    </w:p>
    <w:p w:rsidR="00E92F67" w:rsidRPr="00DC3374" w:rsidP="00E81188" w14:paraId="0E06D5F2" w14:textId="74EC3FF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0E0219" w:rsidP="00E81188" w14:paraId="374A61AF" w14:textId="77777777">
      <w:pPr>
        <w:spacing w:line="269" w:lineRule="auto"/>
        <w:rPr>
          <w:b/>
          <w:bCs/>
        </w:rPr>
      </w:pPr>
      <w:r w:rsidRPr="000E0219">
        <w:rPr>
          <w:rFonts w:hint="cs"/>
          <w:b/>
          <w:bCs/>
          <w:rtl/>
        </w:rPr>
        <w:t xml:space="preserve">בסגר הראשון - באפריל 2020 - הציבור הבין במידה רבה את ההגבלות הנוגעות לעטיית מסכות; </w:t>
      </w:r>
      <w:r w:rsidRPr="000E0219">
        <w:rPr>
          <w:b/>
          <w:bCs/>
          <w:rtl/>
        </w:rPr>
        <w:t xml:space="preserve">במאי </w:t>
      </w:r>
      <w:r w:rsidRPr="000E0219">
        <w:rPr>
          <w:rFonts w:hint="cs"/>
          <w:b/>
          <w:bCs/>
          <w:rtl/>
        </w:rPr>
        <w:t xml:space="preserve">- הבינן ברמה מעטה; ומאז רמת ההבנה עלתה ונותרה גבוהה. מידת השכנוע בנחיצות עטיית המסכות הייתה רבה לאורך כל התקופה שנבדקה (7.9), למעט במאי 2020. </w:t>
      </w:r>
      <w:r w:rsidRPr="000E0219">
        <w:rPr>
          <w:b/>
          <w:bCs/>
          <w:rtl/>
        </w:rPr>
        <w:t xml:space="preserve">מידת האמון של הציבור במקבלי ההחלטות </w:t>
      </w:r>
      <w:r w:rsidRPr="000E0219">
        <w:rPr>
          <w:rFonts w:hint="cs"/>
          <w:b/>
          <w:bCs/>
          <w:rtl/>
        </w:rPr>
        <w:t>בנוגע ל</w:t>
      </w:r>
      <w:r w:rsidRPr="000E0219">
        <w:rPr>
          <w:b/>
          <w:bCs/>
          <w:rtl/>
        </w:rPr>
        <w:t>חובת עטי</w:t>
      </w:r>
      <w:r w:rsidRPr="000E0219">
        <w:rPr>
          <w:rFonts w:hint="cs"/>
          <w:b/>
          <w:bCs/>
          <w:rtl/>
        </w:rPr>
        <w:t>י</w:t>
      </w:r>
      <w:r w:rsidRPr="000E0219">
        <w:rPr>
          <w:b/>
          <w:bCs/>
          <w:rtl/>
        </w:rPr>
        <w:t xml:space="preserve">ת מסכה הייתה </w:t>
      </w:r>
      <w:r w:rsidRPr="000E0219">
        <w:rPr>
          <w:rFonts w:hint="cs"/>
          <w:b/>
          <w:bCs/>
          <w:rtl/>
        </w:rPr>
        <w:t>רבה</w:t>
      </w:r>
      <w:r w:rsidRPr="000E0219">
        <w:rPr>
          <w:b/>
          <w:bCs/>
          <w:rtl/>
        </w:rPr>
        <w:t xml:space="preserve"> בתחילת המשבר </w:t>
      </w:r>
      <w:r w:rsidRPr="000E0219">
        <w:rPr>
          <w:rFonts w:hint="cs"/>
          <w:b/>
          <w:bCs/>
          <w:rtl/>
        </w:rPr>
        <w:t>ופחתה</w:t>
      </w:r>
      <w:r w:rsidRPr="000E0219">
        <w:rPr>
          <w:b/>
          <w:bCs/>
          <w:rtl/>
        </w:rPr>
        <w:t xml:space="preserve"> במהלכו</w:t>
      </w:r>
      <w:r w:rsidRPr="000E0219">
        <w:rPr>
          <w:rFonts w:hint="cs"/>
          <w:b/>
          <w:bCs/>
          <w:rtl/>
        </w:rPr>
        <w:t>, ובסך הכול - בינונית (4.2).</w:t>
      </w:r>
      <w:r w:rsidRPr="000E0219">
        <w:rPr>
          <w:b/>
          <w:bCs/>
          <w:rtl/>
        </w:rPr>
        <w:t xml:space="preserve"> </w:t>
      </w:r>
    </w:p>
    <w:p w:rsidR="00E92F67" w:rsidRPr="00DC3374" w:rsidP="00E81188" w14:paraId="3B9235F7" w14:textId="77777777">
      <w:pPr>
        <w:spacing w:line="269" w:lineRule="auto"/>
        <w:rPr>
          <w:rtl/>
        </w:rPr>
      </w:pPr>
    </w:p>
    <w:p w:rsidR="00E92F67" w:rsidRPr="00DC3374" w:rsidP="00E81188" w14:paraId="732D11D4" w14:textId="77777777">
      <w:pPr>
        <w:pStyle w:val="Heading4"/>
        <w:spacing w:before="0" w:line="269" w:lineRule="auto"/>
        <w:rPr>
          <w:rtl/>
        </w:rPr>
      </w:pPr>
      <w:r w:rsidRPr="00DC3374">
        <w:rPr>
          <w:rFonts w:hint="eastAsia"/>
          <w:rtl/>
        </w:rPr>
        <w:t>בדיקות</w:t>
      </w:r>
      <w:r w:rsidRPr="00DC3374">
        <w:rPr>
          <w:rtl/>
        </w:rPr>
        <w:t xml:space="preserve"> </w:t>
      </w:r>
      <w:r w:rsidRPr="00DC3374">
        <w:rPr>
          <w:rFonts w:hint="eastAsia"/>
          <w:rtl/>
        </w:rPr>
        <w:t>קורונה</w:t>
      </w:r>
    </w:p>
    <w:p w:rsidR="00E92F67" w:rsidRPr="00DC3374" w:rsidP="00E81188" w14:paraId="2311EEB3" w14:textId="18E0684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1FF0619" w14:textId="77777777">
      <w:pPr>
        <w:spacing w:line="269" w:lineRule="auto"/>
        <w:rPr>
          <w:rtl/>
        </w:rPr>
      </w:pPr>
      <w:r w:rsidRPr="00DC3374">
        <w:rPr>
          <w:rFonts w:hint="cs"/>
          <w:rtl/>
        </w:rPr>
        <w:t xml:space="preserve">בתקופת המשבר נקבעו הנחיות בנוגע לבדיקות הקורונה, ובהן המקרים המצריכים בדיקה והאם הבדיקה מותנית בהפניית רופא. </w:t>
      </w:r>
      <w:r w:rsidRPr="00DC3374">
        <w:rPr>
          <w:rtl/>
        </w:rPr>
        <w:t xml:space="preserve">להלן </w:t>
      </w:r>
      <w:r w:rsidRPr="00DC3374">
        <w:rPr>
          <w:rFonts w:hint="cs"/>
          <w:rtl/>
        </w:rPr>
        <w:t xml:space="preserve">שני </w:t>
      </w:r>
      <w:r w:rsidRPr="00DC3374">
        <w:rPr>
          <w:rtl/>
        </w:rPr>
        <w:t>תרשי</w:t>
      </w:r>
      <w:r w:rsidRPr="00DC3374">
        <w:rPr>
          <w:rFonts w:hint="cs"/>
          <w:rtl/>
        </w:rPr>
        <w:t>מי</w:t>
      </w:r>
      <w:r w:rsidRPr="00DC3374">
        <w:rPr>
          <w:rtl/>
        </w:rPr>
        <w:t xml:space="preserve">ם </w:t>
      </w:r>
      <w:r w:rsidRPr="00DC3374">
        <w:rPr>
          <w:rFonts w:hint="cs"/>
          <w:rtl/>
        </w:rPr>
        <w:t xml:space="preserve">המתארים את תגובות הציבור בנוגע לבדיקות הקורונה, כפי שהשתקפו בשיח ברשתות החברתיות. </w:t>
      </w:r>
    </w:p>
    <w:p w:rsidR="00E92F67" w:rsidRPr="00DC3374" w:rsidP="00E81188" w14:paraId="2F99A1FC" w14:textId="344FCB2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3E7FD2B" w14:textId="77777777">
      <w:pPr>
        <w:spacing w:line="269" w:lineRule="auto"/>
        <w:jc w:val="center"/>
        <w:rPr>
          <w:rtl/>
        </w:rPr>
      </w:pPr>
      <w:r w:rsidRPr="00DC3374">
        <w:rPr>
          <w:rFonts w:hint="eastAsia"/>
          <w:b/>
          <w:bCs/>
          <w:rtl/>
        </w:rPr>
        <w:t>תרשים</w:t>
      </w:r>
      <w:r w:rsidRPr="00DC3374">
        <w:rPr>
          <w:b/>
          <w:bCs/>
          <w:rtl/>
        </w:rPr>
        <w:t xml:space="preserve"> </w:t>
      </w:r>
      <w:r w:rsidRPr="00DC3374">
        <w:rPr>
          <w:rFonts w:hint="cs"/>
          <w:b/>
          <w:bCs/>
          <w:rtl/>
        </w:rPr>
        <w:t>22</w:t>
      </w:r>
      <w:r w:rsidRPr="00DC3374">
        <w:rPr>
          <w:b/>
          <w:bCs/>
          <w:rtl/>
        </w:rPr>
        <w:t xml:space="preserve">: </w:t>
      </w:r>
      <w:r w:rsidRPr="00DC3374">
        <w:rPr>
          <w:rFonts w:hint="eastAsia"/>
          <w:b/>
          <w:bCs/>
          <w:rtl/>
        </w:rPr>
        <w:t>עיקרי</w:t>
      </w:r>
      <w:r w:rsidRPr="00DC3374">
        <w:rPr>
          <w:b/>
          <w:bCs/>
          <w:rtl/>
        </w:rPr>
        <w:t xml:space="preserve"> </w:t>
      </w:r>
      <w:r w:rsidRPr="00DC3374">
        <w:rPr>
          <w:rFonts w:hint="eastAsia"/>
          <w:b/>
          <w:bCs/>
          <w:rtl/>
        </w:rPr>
        <w:t>השיח</w:t>
      </w:r>
      <w:r w:rsidRPr="00DC3374">
        <w:rPr>
          <w:b/>
          <w:bCs/>
          <w:rtl/>
        </w:rPr>
        <w:t xml:space="preserve"> </w:t>
      </w:r>
      <w:r w:rsidRPr="00DC3374">
        <w:rPr>
          <w:rFonts w:hint="eastAsia"/>
          <w:b/>
          <w:bCs/>
          <w:rtl/>
        </w:rPr>
        <w:t>על</w:t>
      </w:r>
      <w:r w:rsidRPr="00DC3374">
        <w:rPr>
          <w:b/>
          <w:bCs/>
          <w:rtl/>
        </w:rPr>
        <w:t xml:space="preserve"> </w:t>
      </w:r>
      <w:r w:rsidRPr="00DC3374">
        <w:rPr>
          <w:rFonts w:hint="eastAsia"/>
          <w:b/>
          <w:bCs/>
          <w:rtl/>
        </w:rPr>
        <w:t>בדיקות</w:t>
      </w:r>
      <w:r w:rsidRPr="00DC3374">
        <w:rPr>
          <w:b/>
          <w:bCs/>
          <w:rtl/>
        </w:rPr>
        <w:t xml:space="preserve"> </w:t>
      </w:r>
      <w:r w:rsidRPr="00DC3374">
        <w:rPr>
          <w:rFonts w:hint="eastAsia"/>
          <w:b/>
          <w:bCs/>
          <w:rtl/>
        </w:rPr>
        <w:t>קורונה</w:t>
      </w:r>
      <w:r w:rsidRPr="00DC3374">
        <w:rPr>
          <w:rFonts w:hint="cs"/>
          <w:b/>
          <w:bCs/>
          <w:rtl/>
        </w:rPr>
        <w:t>*,**</w:t>
      </w:r>
    </w:p>
    <w:p w:rsidR="00E92F67" w:rsidRPr="00DC3374" w:rsidP="00E81188" w14:paraId="65E82313" w14:textId="77777777">
      <w:pPr>
        <w:spacing w:line="269" w:lineRule="auto"/>
        <w:ind w:right="-851"/>
        <w:jc w:val="center"/>
        <w:rPr>
          <w:rtl/>
        </w:rPr>
      </w:pPr>
      <w:r w:rsidRPr="00DC3374">
        <w:rPr>
          <w:b/>
          <w:bCs/>
          <w:noProof/>
        </w:rPr>
        <w:drawing>
          <wp:anchor distT="0" distB="0" distL="114300" distR="114300" simplePos="0" relativeHeight="251667456" behindDoc="0" locked="0" layoutInCell="1" allowOverlap="1">
            <wp:simplePos x="0" y="0"/>
            <wp:positionH relativeFrom="column">
              <wp:posOffset>2904528</wp:posOffset>
            </wp:positionH>
            <wp:positionV relativeFrom="paragraph">
              <wp:posOffset>1238212</wp:posOffset>
            </wp:positionV>
            <wp:extent cx="1292225" cy="951230"/>
            <wp:effectExtent l="0" t="0" r="0" b="1270"/>
            <wp:wrapThrough wrapText="bothSides">
              <wp:wrapPolygon>
                <wp:start x="2547" y="2595"/>
                <wp:lineTo x="637" y="12977"/>
                <wp:lineTo x="637" y="17736"/>
                <wp:lineTo x="3184" y="21196"/>
                <wp:lineTo x="17832" y="21196"/>
                <wp:lineTo x="20379" y="17736"/>
                <wp:lineTo x="20379" y="13410"/>
                <wp:lineTo x="19106" y="10382"/>
                <wp:lineTo x="20061" y="2595"/>
                <wp:lineTo x="2547" y="2595"/>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10879" name="Picture 18"/>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2225" cy="951230"/>
                    </a:xfrm>
                    <a:prstGeom prst="rect">
                      <a:avLst/>
                    </a:prstGeom>
                    <a:noFill/>
                  </pic:spPr>
                </pic:pic>
              </a:graphicData>
            </a:graphic>
          </wp:anchor>
        </w:drawing>
      </w:r>
      <w:r w:rsidRPr="00DC3374">
        <w:rPr>
          <w:noProof/>
        </w:rPr>
        <w:drawing>
          <wp:inline distT="0" distB="0" distL="0" distR="0">
            <wp:extent cx="2637220" cy="2664000"/>
            <wp:effectExtent l="0" t="0" r="0" b="3175"/>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81101" name="Picture 12"/>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l="14291"/>
                    <a:stretch>
                      <a:fillRect/>
                    </a:stretch>
                  </pic:blipFill>
                  <pic:spPr bwMode="auto">
                    <a:xfrm>
                      <a:off x="0" y="0"/>
                      <a:ext cx="2637220" cy="2664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1596828C"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4A1AE4E3" w14:textId="77777777">
      <w:pPr>
        <w:spacing w:line="269" w:lineRule="auto"/>
        <w:rPr>
          <w:szCs w:val="20"/>
          <w:rtl/>
        </w:rPr>
      </w:pPr>
      <w:r w:rsidRPr="00DC3374">
        <w:rPr>
          <w:szCs w:val="20"/>
          <w:rtl/>
        </w:rPr>
        <w:t>*</w:t>
      </w:r>
      <w:r w:rsidRPr="00DC3374">
        <w:rPr>
          <w:rFonts w:hint="cs"/>
          <w:szCs w:val="20"/>
          <w:rtl/>
        </w:rPr>
        <w:t xml:space="preserve"> </w:t>
      </w:r>
      <w:r w:rsidRPr="00DC3374">
        <w:rPr>
          <w:szCs w:val="20"/>
          <w:rtl/>
        </w:rPr>
        <w:t xml:space="preserve">מספר </w:t>
      </w:r>
      <w:r w:rsidRPr="00DC3374">
        <w:rPr>
          <w:rFonts w:hint="eastAsia"/>
          <w:szCs w:val="20"/>
          <w:rtl/>
        </w:rPr>
        <w:t>הפוסטים</w:t>
      </w:r>
      <w:r w:rsidRPr="00DC3374">
        <w:rPr>
          <w:szCs w:val="20"/>
          <w:rtl/>
        </w:rPr>
        <w:t xml:space="preserve"> והתגובות </w:t>
      </w:r>
      <w:r w:rsidRPr="00DC3374">
        <w:rPr>
          <w:rFonts w:hint="cs"/>
          <w:szCs w:val="20"/>
          <w:rtl/>
        </w:rPr>
        <w:t>היה</w:t>
      </w:r>
      <w:r w:rsidRPr="00DC3374">
        <w:rPr>
          <w:szCs w:val="20"/>
          <w:rtl/>
        </w:rPr>
        <w:t xml:space="preserve"> 5,587</w:t>
      </w:r>
      <w:r w:rsidRPr="00DC3374">
        <w:rPr>
          <w:rFonts w:hint="cs"/>
          <w:szCs w:val="20"/>
          <w:rtl/>
        </w:rPr>
        <w:t>.</w:t>
      </w:r>
    </w:p>
    <w:p w:rsidR="00E92F67" w:rsidRPr="00DC3374" w:rsidP="00E81188" w14:paraId="04CBC2DE" w14:textId="283DFCCB">
      <w:pPr>
        <w:spacing w:line="269" w:lineRule="auto"/>
        <w:rPr>
          <w:szCs w:val="20"/>
          <w:rtl/>
        </w:rPr>
      </w:pPr>
      <w:r w:rsidRPr="00DC3374">
        <w:rPr>
          <w:rFonts w:hint="cs"/>
          <w:szCs w:val="20"/>
          <w:rtl/>
        </w:rPr>
        <w:t xml:space="preserve">** </w:t>
      </w:r>
      <w:r w:rsidRPr="00DC3374">
        <w:rPr>
          <w:szCs w:val="20"/>
          <w:rtl/>
        </w:rPr>
        <w:t>מדד ההבנה לא מוצג כיוון שמספר הפוסטים בעניינו לא עלה על רף התקפות הסטטיסטית.</w:t>
      </w:r>
      <w:r w:rsidR="009A11FC">
        <w:rPr>
          <w:szCs w:val="20"/>
          <w:rtl/>
        </w:rPr>
        <w:t xml:space="preserve"> </w:t>
      </w:r>
    </w:p>
    <w:p w:rsidR="00E92F67" w:rsidRPr="00DC3374" w:rsidP="00E81188" w14:paraId="31588A08" w14:textId="23B58AD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CB4248E" w14:textId="77777777">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23</w:t>
      </w:r>
      <w:r w:rsidRPr="00DC3374">
        <w:rPr>
          <w:b/>
          <w:bCs/>
          <w:rtl/>
        </w:rPr>
        <w:t xml:space="preserve">: </w:t>
      </w:r>
      <w:r w:rsidRPr="00DC3374">
        <w:rPr>
          <w:rFonts w:hint="eastAsia"/>
          <w:b/>
          <w:bCs/>
          <w:rtl/>
        </w:rPr>
        <w:t>בדיקות</w:t>
      </w:r>
      <w:r w:rsidRPr="00DC3374">
        <w:rPr>
          <w:b/>
          <w:bCs/>
          <w:rtl/>
        </w:rPr>
        <w:t xml:space="preserve"> </w:t>
      </w:r>
      <w:r w:rsidRPr="00DC3374">
        <w:rPr>
          <w:rFonts w:hint="eastAsia"/>
          <w:b/>
          <w:bCs/>
          <w:rtl/>
        </w:rPr>
        <w:t>קורונה</w:t>
      </w:r>
      <w:r w:rsidRPr="00DC3374">
        <w:rPr>
          <w:b/>
          <w:bCs/>
          <w:rtl/>
        </w:rPr>
        <w:t xml:space="preserve"> - </w:t>
      </w:r>
      <w:r w:rsidRPr="00DC3374">
        <w:rPr>
          <w:rFonts w:hint="eastAsia"/>
          <w:b/>
          <w:bCs/>
          <w:rtl/>
        </w:rPr>
        <w:t>מדדי</w:t>
      </w:r>
      <w:r w:rsidRPr="00DC3374">
        <w:rPr>
          <w:b/>
          <w:bCs/>
          <w:rtl/>
        </w:rPr>
        <w:t xml:space="preserve"> </w:t>
      </w:r>
      <w:r w:rsidRPr="00DC3374">
        <w:rPr>
          <w:rFonts w:hint="eastAsia"/>
          <w:b/>
          <w:bCs/>
          <w:rtl/>
        </w:rPr>
        <w:t>שכנוע</w:t>
      </w:r>
      <w:r w:rsidRPr="00DC3374">
        <w:rPr>
          <w:b/>
          <w:bCs/>
          <w:rtl/>
        </w:rPr>
        <w:t xml:space="preserve"> </w:t>
      </w:r>
      <w:r w:rsidRPr="00DC3374">
        <w:rPr>
          <w:rFonts w:hint="eastAsia"/>
          <w:b/>
          <w:bCs/>
          <w:rtl/>
        </w:rPr>
        <w:t>ואמון</w:t>
      </w:r>
      <w:r w:rsidRPr="00DC3374">
        <w:rPr>
          <w:b/>
          <w:bCs/>
          <w:rtl/>
        </w:rPr>
        <w:t xml:space="preserve"> </w:t>
      </w:r>
      <w:r w:rsidRPr="00DC3374">
        <w:rPr>
          <w:rFonts w:hint="eastAsia"/>
          <w:b/>
          <w:bCs/>
          <w:rtl/>
        </w:rPr>
        <w:t>לאורך</w:t>
      </w:r>
      <w:r w:rsidRPr="00DC3374">
        <w:rPr>
          <w:b/>
          <w:bCs/>
          <w:rtl/>
        </w:rPr>
        <w:t xml:space="preserve"> </w:t>
      </w:r>
      <w:r w:rsidRPr="00DC3374">
        <w:rPr>
          <w:rFonts w:hint="eastAsia"/>
          <w:b/>
          <w:bCs/>
          <w:rtl/>
        </w:rPr>
        <w:t>המשבר</w:t>
      </w:r>
      <w:r w:rsidRPr="00DC3374">
        <w:rPr>
          <w:b/>
          <w:bCs/>
          <w:rtl/>
        </w:rPr>
        <w:t xml:space="preserve"> </w:t>
      </w:r>
    </w:p>
    <w:p w:rsidR="00E92F67" w:rsidRPr="00DC3374" w:rsidP="00E81188" w14:paraId="15EB38A6" w14:textId="77777777">
      <w:pPr>
        <w:spacing w:line="269" w:lineRule="auto"/>
        <w:ind w:left="-567" w:right="-1276"/>
        <w:jc w:val="center"/>
        <w:rPr>
          <w:szCs w:val="20"/>
          <w:rtl/>
        </w:rPr>
      </w:pPr>
      <w:r w:rsidRPr="00DC3374">
        <w:rPr>
          <w:noProof/>
          <w:szCs w:val="20"/>
        </w:rPr>
        <w:drawing>
          <wp:anchor distT="0" distB="0" distL="114300" distR="114300" simplePos="0" relativeHeight="251668480" behindDoc="0" locked="0" layoutInCell="1" allowOverlap="1">
            <wp:simplePos x="0" y="0"/>
            <wp:positionH relativeFrom="column">
              <wp:posOffset>4076065</wp:posOffset>
            </wp:positionH>
            <wp:positionV relativeFrom="paragraph">
              <wp:posOffset>215265</wp:posOffset>
            </wp:positionV>
            <wp:extent cx="1000125" cy="742315"/>
            <wp:effectExtent l="0" t="0" r="9525" b="63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08560" name="Picture 28"/>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0125" cy="742315"/>
                    </a:xfrm>
                    <a:prstGeom prst="rect">
                      <a:avLst/>
                    </a:prstGeom>
                    <a:noFill/>
                  </pic:spPr>
                </pic:pic>
              </a:graphicData>
            </a:graphic>
            <wp14:sizeRelH relativeFrom="margin">
              <wp14:pctWidth>0</wp14:pctWidth>
            </wp14:sizeRelH>
            <wp14:sizeRelV relativeFrom="margin">
              <wp14:pctHeight>0</wp14:pctHeight>
            </wp14:sizeRelV>
          </wp:anchor>
        </w:drawing>
      </w:r>
      <w:r w:rsidRPr="00DC3374">
        <w:rPr>
          <w:noProof/>
          <w:szCs w:val="20"/>
        </w:rPr>
        <w:drawing>
          <wp:inline distT="0" distB="0" distL="0" distR="0">
            <wp:extent cx="4334143" cy="1885950"/>
            <wp:effectExtent l="0" t="0" r="9525" b="0"/>
            <wp:docPr id="3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58495" name="Picture 24"/>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r="13193"/>
                    <a:stretch>
                      <a:fillRect/>
                    </a:stretch>
                  </pic:blipFill>
                  <pic:spPr bwMode="auto">
                    <a:xfrm>
                      <a:off x="0" y="0"/>
                      <a:ext cx="4334143" cy="18859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7BE902B5" w14:textId="77777777">
      <w:pPr>
        <w:spacing w:line="269" w:lineRule="auto"/>
        <w:jc w:val="center"/>
        <w:rPr>
          <w:b/>
          <w:bCs/>
          <w:rtl/>
        </w:rPr>
      </w:pPr>
    </w:p>
    <w:p w:rsidR="00E92F67" w:rsidRPr="00DC3374" w:rsidP="00E81188" w14:paraId="3519C1C1"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382AE773" w14:textId="522286A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0FDF48D" w14:textId="77777777">
      <w:pPr>
        <w:spacing w:line="269" w:lineRule="auto"/>
        <w:ind w:left="-1"/>
        <w:rPr>
          <w:rtl/>
        </w:rPr>
      </w:pPr>
      <w:r w:rsidRPr="00DC3374">
        <w:rPr>
          <w:rtl/>
        </w:rPr>
        <w:t xml:space="preserve">כרבע מהשיח על בדיקות הקורונה </w:t>
      </w:r>
      <w:r w:rsidRPr="00DC3374">
        <w:rPr>
          <w:rFonts w:hint="cs"/>
          <w:rtl/>
        </w:rPr>
        <w:t xml:space="preserve">בתקופה שנבדקה </w:t>
      </w:r>
      <w:r w:rsidRPr="00DC3374">
        <w:rPr>
          <w:rtl/>
        </w:rPr>
        <w:t xml:space="preserve">עסק </w:t>
      </w:r>
      <w:r w:rsidRPr="00DC3374">
        <w:rPr>
          <w:rFonts w:hint="cs"/>
          <w:rtl/>
        </w:rPr>
        <w:t xml:space="preserve">אפוא </w:t>
      </w:r>
      <w:r w:rsidRPr="00DC3374">
        <w:rPr>
          <w:rtl/>
        </w:rPr>
        <w:t xml:space="preserve">בנתוני התחלואה שנגזרו מתוצאות הבדיקות. </w:t>
      </w:r>
      <w:r w:rsidRPr="00DC3374">
        <w:rPr>
          <w:rFonts w:hint="cs"/>
          <w:rtl/>
        </w:rPr>
        <w:t>מניתוח עומק של ה</w:t>
      </w:r>
      <w:r w:rsidRPr="00DC3374">
        <w:rPr>
          <w:rtl/>
        </w:rPr>
        <w:t xml:space="preserve">שיח </w:t>
      </w:r>
      <w:r w:rsidRPr="00DC3374">
        <w:rPr>
          <w:rFonts w:hint="cs"/>
          <w:rtl/>
        </w:rPr>
        <w:t xml:space="preserve">הנוגע לנתוני התחלואה </w:t>
      </w:r>
      <w:r w:rsidRPr="00DC3374">
        <w:rPr>
          <w:rtl/>
        </w:rPr>
        <w:t>בלטה ספקנות בנוגע למהימנות הנתונים.</w:t>
      </w:r>
      <w:r w:rsidRPr="00DC3374">
        <w:rPr>
          <w:rFonts w:hint="cs"/>
          <w:rtl/>
        </w:rPr>
        <w:t xml:space="preserve"> </w:t>
      </w:r>
    </w:p>
    <w:p w:rsidR="00E92F67" w:rsidRPr="00DC3374" w:rsidP="00E81188" w14:paraId="099BB3E5" w14:textId="29C3A84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5511688" w14:textId="77777777">
      <w:pPr>
        <w:spacing w:line="269" w:lineRule="auto"/>
        <w:ind w:left="-1"/>
        <w:rPr>
          <w:rtl/>
        </w:rPr>
      </w:pPr>
      <w:r w:rsidRPr="00DC3374">
        <w:rPr>
          <w:rFonts w:hint="eastAsia"/>
          <w:b/>
          <w:bCs/>
          <w:rtl/>
        </w:rPr>
        <w:t>בהתייחס</w:t>
      </w:r>
      <w:r w:rsidRPr="00DC3374">
        <w:rPr>
          <w:b/>
          <w:bCs/>
          <w:rtl/>
        </w:rPr>
        <w:t xml:space="preserve"> </w:t>
      </w:r>
      <w:r w:rsidRPr="00DC3374">
        <w:rPr>
          <w:rFonts w:hint="eastAsia"/>
          <w:b/>
          <w:bCs/>
          <w:rtl/>
        </w:rPr>
        <w:t>לכלל</w:t>
      </w:r>
      <w:r w:rsidRPr="00DC3374">
        <w:rPr>
          <w:b/>
          <w:bCs/>
          <w:rtl/>
        </w:rPr>
        <w:t xml:space="preserve"> </w:t>
      </w:r>
      <w:r w:rsidRPr="00DC3374">
        <w:rPr>
          <w:rFonts w:hint="eastAsia"/>
          <w:b/>
          <w:bCs/>
          <w:rtl/>
        </w:rPr>
        <w:t>החודשים</w:t>
      </w:r>
      <w:r w:rsidRPr="00DC3374">
        <w:rPr>
          <w:b/>
          <w:bCs/>
          <w:rtl/>
        </w:rPr>
        <w:t xml:space="preserve"> </w:t>
      </w:r>
      <w:r w:rsidRPr="00DC3374">
        <w:rPr>
          <w:rFonts w:hint="eastAsia"/>
          <w:b/>
          <w:bCs/>
          <w:rtl/>
        </w:rPr>
        <w:t>שבבדיקה</w:t>
      </w:r>
      <w:r w:rsidRPr="00DC3374">
        <w:rPr>
          <w:b/>
          <w:bCs/>
          <w:rtl/>
        </w:rPr>
        <w:t xml:space="preserve"> </w:t>
      </w:r>
      <w:r w:rsidRPr="00DC3374">
        <w:rPr>
          <w:rFonts w:hint="eastAsia"/>
          <w:b/>
          <w:bCs/>
          <w:rtl/>
        </w:rPr>
        <w:t>אפשר</w:t>
      </w:r>
      <w:r w:rsidRPr="00DC3374">
        <w:rPr>
          <w:b/>
          <w:bCs/>
          <w:rtl/>
        </w:rPr>
        <w:t xml:space="preserve"> </w:t>
      </w:r>
      <w:r w:rsidRPr="00DC3374">
        <w:rPr>
          <w:rFonts w:hint="eastAsia"/>
          <w:b/>
          <w:bCs/>
          <w:rtl/>
        </w:rPr>
        <w:t>לומר</w:t>
      </w:r>
      <w:r w:rsidRPr="00DC3374">
        <w:rPr>
          <w:b/>
          <w:bCs/>
          <w:rtl/>
        </w:rPr>
        <w:t xml:space="preserve"> </w:t>
      </w:r>
      <w:r w:rsidRPr="00DC3374">
        <w:rPr>
          <w:rFonts w:hint="eastAsia"/>
          <w:b/>
          <w:bCs/>
          <w:rtl/>
        </w:rPr>
        <w:t>כי</w:t>
      </w:r>
      <w:r w:rsidRPr="00DC3374">
        <w:rPr>
          <w:b/>
          <w:bCs/>
          <w:rtl/>
        </w:rPr>
        <w:t xml:space="preserve"> מידת השכנוע בנחיצות</w:t>
      </w:r>
      <w:r w:rsidRPr="00DC3374">
        <w:rPr>
          <w:rFonts w:hint="cs"/>
          <w:b/>
          <w:bCs/>
          <w:rtl/>
        </w:rPr>
        <w:t xml:space="preserve"> ההנחיות הנוגעות לבדיקות קורונה הייתה בינונית (למעט במאי 2020, אז מידת השכנוע הייתה רבה). עם היציאה מהסגר הראשון - במאי - מידת השכנוע הייתה הרבה ביותר, ואולם היא פחתה עם הזמן. </w:t>
      </w:r>
      <w:r w:rsidRPr="00DC3374">
        <w:rPr>
          <w:b/>
          <w:bCs/>
          <w:rtl/>
        </w:rPr>
        <w:t>מידת האמון של הציבור במקבלי ההחלטות ב</w:t>
      </w:r>
      <w:r w:rsidRPr="00DC3374">
        <w:rPr>
          <w:rFonts w:hint="cs"/>
          <w:b/>
          <w:bCs/>
          <w:rtl/>
        </w:rPr>
        <w:t>נוגע</w:t>
      </w:r>
      <w:r w:rsidRPr="00DC3374">
        <w:rPr>
          <w:b/>
          <w:bCs/>
          <w:rtl/>
        </w:rPr>
        <w:t xml:space="preserve"> לבדיקות הקורונה הייתה </w:t>
      </w:r>
      <w:r w:rsidRPr="00DC3374">
        <w:rPr>
          <w:rFonts w:hint="eastAsia"/>
          <w:b/>
          <w:bCs/>
          <w:rtl/>
        </w:rPr>
        <w:t>ה</w:t>
      </w:r>
      <w:r w:rsidRPr="00DC3374">
        <w:rPr>
          <w:rFonts w:hint="cs"/>
          <w:b/>
          <w:bCs/>
          <w:rtl/>
        </w:rPr>
        <w:t>מעטה</w:t>
      </w:r>
      <w:r w:rsidRPr="00DC3374">
        <w:rPr>
          <w:b/>
          <w:bCs/>
          <w:rtl/>
        </w:rPr>
        <w:t xml:space="preserve"> ביותר מכל נושאי הליבה שנבדקו (1.9) </w:t>
      </w:r>
      <w:r w:rsidRPr="00DC3374">
        <w:rPr>
          <w:rFonts w:hint="eastAsia"/>
          <w:b/>
          <w:bCs/>
          <w:rtl/>
        </w:rPr>
        <w:t>לאורך</w:t>
      </w:r>
      <w:r w:rsidRPr="00DC3374">
        <w:rPr>
          <w:b/>
          <w:bCs/>
          <w:rtl/>
        </w:rPr>
        <w:t xml:space="preserve"> כל התקופה, </w:t>
      </w:r>
      <w:r w:rsidRPr="00DC3374">
        <w:rPr>
          <w:rFonts w:hint="cs"/>
          <w:b/>
          <w:bCs/>
          <w:rtl/>
        </w:rPr>
        <w:t>לנוכח</w:t>
      </w:r>
      <w:r w:rsidRPr="00DC3374">
        <w:rPr>
          <w:b/>
          <w:bCs/>
          <w:rtl/>
        </w:rPr>
        <w:t xml:space="preserve"> ספקות שעלו כאמור בנוגע למהימנות הנתונים שהוצגו על סמך תוצאות הבדיקות. </w:t>
      </w:r>
    </w:p>
    <w:p w:rsidR="00E92F67" w:rsidRPr="00DC3374" w:rsidP="00E81188" w14:paraId="02DA3E0B" w14:textId="77777777">
      <w:pPr>
        <w:spacing w:line="269" w:lineRule="auto"/>
        <w:ind w:left="-1"/>
        <w:rPr>
          <w:rtl/>
        </w:rPr>
      </w:pPr>
    </w:p>
    <w:p w:rsidR="00E92F67" w:rsidRPr="00DC3374" w:rsidP="00E81188" w14:paraId="098AEF49" w14:textId="77777777">
      <w:pPr>
        <w:pStyle w:val="Heading4"/>
        <w:spacing w:before="0" w:line="269" w:lineRule="auto"/>
        <w:rPr>
          <w:rtl/>
        </w:rPr>
      </w:pPr>
      <w:r w:rsidRPr="00DC3374">
        <w:rPr>
          <w:rFonts w:hint="cs"/>
          <w:rtl/>
        </w:rPr>
        <w:t>סגירת מוסדות</w:t>
      </w:r>
      <w:r w:rsidRPr="00DC3374">
        <w:rPr>
          <w:rtl/>
        </w:rPr>
        <w:t xml:space="preserve"> החינוך</w:t>
      </w:r>
      <w:r w:rsidRPr="00DC3374">
        <w:rPr>
          <w:rFonts w:hint="cs"/>
          <w:rtl/>
        </w:rPr>
        <w:t xml:space="preserve"> ופתיחתם</w:t>
      </w:r>
      <w:r w:rsidRPr="00DC3374">
        <w:rPr>
          <w:rtl/>
        </w:rPr>
        <w:t xml:space="preserve"> </w:t>
      </w:r>
    </w:p>
    <w:p w:rsidR="00E92F67" w:rsidRPr="00DC3374" w:rsidP="00E81188" w14:paraId="320A7B58" w14:textId="04F721A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72AB5CD" w14:textId="77777777">
      <w:pPr>
        <w:spacing w:line="269" w:lineRule="auto"/>
        <w:rPr>
          <w:rtl/>
        </w:rPr>
      </w:pPr>
      <w:r w:rsidRPr="00DC3374">
        <w:rPr>
          <w:rFonts w:hint="cs"/>
          <w:rtl/>
        </w:rPr>
        <w:t xml:space="preserve">בחלק מן התקופה שנבדקה נושא סגירת מוסדות החינוך ופתיחתם היה הבולט ביותר בשיח ברשתות החברתיות מבין הנושאים שנבדקו. ההנחיות נגעו לסגירה ולפתיחה של מוסדות גם ברמת היישוב, לאופן הלמידה (בקפסולות ובחלוקת התלמידים בין ימי הלימוד ושעות הלימוד) ולפתיחת צהרונים במוסדות החינוך. </w:t>
      </w:r>
      <w:r w:rsidRPr="00DC3374">
        <w:rPr>
          <w:rtl/>
        </w:rPr>
        <w:t xml:space="preserve">להלן </w:t>
      </w:r>
      <w:r w:rsidRPr="00DC3374">
        <w:rPr>
          <w:rFonts w:hint="cs"/>
          <w:rtl/>
        </w:rPr>
        <w:t xml:space="preserve">שני </w:t>
      </w:r>
      <w:r w:rsidRPr="00DC3374">
        <w:rPr>
          <w:rtl/>
        </w:rPr>
        <w:t>תרשי</w:t>
      </w:r>
      <w:r w:rsidRPr="00DC3374">
        <w:rPr>
          <w:rFonts w:hint="cs"/>
          <w:rtl/>
        </w:rPr>
        <w:t>מי</w:t>
      </w:r>
      <w:r w:rsidRPr="00DC3374">
        <w:rPr>
          <w:rtl/>
        </w:rPr>
        <w:t xml:space="preserve">ם </w:t>
      </w:r>
      <w:r w:rsidRPr="00DC3374">
        <w:rPr>
          <w:rFonts w:hint="cs"/>
          <w:rtl/>
        </w:rPr>
        <w:t xml:space="preserve">המתארים את תגובות הציבור בנוגע להנחיות לסגירת מוסדות החינוך ולפתיחתם, כפי שהשתקפו בשיח ברשתות החברתיות. </w:t>
      </w:r>
    </w:p>
    <w:p w:rsidR="00E92F67" w:rsidRPr="00DC3374" w:rsidP="00E81188" w14:paraId="75787D8F" w14:textId="15C7ED4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A75BAAE" w14:textId="77777777">
      <w:pPr>
        <w:spacing w:line="269" w:lineRule="auto"/>
        <w:jc w:val="center"/>
        <w:rPr>
          <w:rtl/>
        </w:rPr>
      </w:pPr>
      <w:r w:rsidRPr="00DC3374">
        <w:rPr>
          <w:rFonts w:hint="eastAsia"/>
          <w:b/>
          <w:bCs/>
          <w:rtl/>
        </w:rPr>
        <w:t>תרשים</w:t>
      </w:r>
      <w:r w:rsidRPr="00DC3374">
        <w:rPr>
          <w:b/>
          <w:bCs/>
          <w:rtl/>
        </w:rPr>
        <w:t xml:space="preserve"> </w:t>
      </w:r>
      <w:r w:rsidRPr="00DC3374">
        <w:rPr>
          <w:rFonts w:hint="cs"/>
          <w:b/>
          <w:bCs/>
          <w:rtl/>
        </w:rPr>
        <w:t>24</w:t>
      </w:r>
      <w:r w:rsidRPr="00DC3374">
        <w:rPr>
          <w:b/>
          <w:bCs/>
          <w:rtl/>
        </w:rPr>
        <w:t xml:space="preserve">: </w:t>
      </w:r>
      <w:r w:rsidRPr="00DC3374">
        <w:rPr>
          <w:rFonts w:hint="eastAsia"/>
          <w:b/>
          <w:bCs/>
          <w:rtl/>
        </w:rPr>
        <w:t>עיקרי</w:t>
      </w:r>
      <w:r w:rsidRPr="00DC3374">
        <w:rPr>
          <w:b/>
          <w:bCs/>
          <w:rtl/>
        </w:rPr>
        <w:t xml:space="preserve"> </w:t>
      </w:r>
      <w:r w:rsidRPr="00DC3374">
        <w:rPr>
          <w:rFonts w:hint="eastAsia"/>
          <w:b/>
          <w:bCs/>
          <w:rtl/>
        </w:rPr>
        <w:t>השיח</w:t>
      </w:r>
      <w:r w:rsidRPr="00DC3374">
        <w:rPr>
          <w:b/>
          <w:bCs/>
          <w:rtl/>
        </w:rPr>
        <w:t xml:space="preserve"> </w:t>
      </w:r>
      <w:r w:rsidRPr="00DC3374">
        <w:rPr>
          <w:rFonts w:hint="eastAsia"/>
          <w:b/>
          <w:bCs/>
          <w:rtl/>
        </w:rPr>
        <w:t>על</w:t>
      </w:r>
      <w:r w:rsidRPr="00DC3374">
        <w:rPr>
          <w:b/>
          <w:bCs/>
          <w:rtl/>
        </w:rPr>
        <w:t xml:space="preserve"> </w:t>
      </w:r>
      <w:r w:rsidRPr="00DC3374">
        <w:rPr>
          <w:rFonts w:hint="eastAsia"/>
          <w:b/>
          <w:bCs/>
          <w:rtl/>
        </w:rPr>
        <w:t>פתיחת</w:t>
      </w:r>
      <w:r w:rsidRPr="00DC3374">
        <w:rPr>
          <w:b/>
          <w:bCs/>
          <w:rtl/>
        </w:rPr>
        <w:t xml:space="preserve"> </w:t>
      </w:r>
      <w:r w:rsidRPr="00DC3374">
        <w:rPr>
          <w:rFonts w:hint="eastAsia"/>
          <w:b/>
          <w:bCs/>
          <w:rtl/>
        </w:rPr>
        <w:t>מוסדות</w:t>
      </w:r>
      <w:r w:rsidRPr="00DC3374">
        <w:rPr>
          <w:b/>
          <w:bCs/>
          <w:rtl/>
        </w:rPr>
        <w:t xml:space="preserve"> </w:t>
      </w:r>
      <w:r w:rsidRPr="00DC3374">
        <w:rPr>
          <w:rFonts w:hint="eastAsia"/>
          <w:b/>
          <w:bCs/>
          <w:rtl/>
        </w:rPr>
        <w:t>החינוך</w:t>
      </w:r>
      <w:r w:rsidRPr="00DC3374">
        <w:rPr>
          <w:rFonts w:hint="cs"/>
          <w:b/>
          <w:bCs/>
          <w:rtl/>
        </w:rPr>
        <w:t>*, **</w:t>
      </w:r>
    </w:p>
    <w:p w:rsidR="00E92F67" w:rsidRPr="00DC3374" w:rsidP="00E81188" w14:paraId="01877610" w14:textId="77777777">
      <w:pPr>
        <w:spacing w:line="269" w:lineRule="auto"/>
        <w:ind w:left="283" w:right="-709"/>
        <w:rPr>
          <w:rtl/>
        </w:rPr>
      </w:pPr>
      <w:r w:rsidRPr="00DC3374">
        <w:rPr>
          <w:noProof/>
        </w:rPr>
        <w:drawing>
          <wp:anchor distT="0" distB="0" distL="114300" distR="114300" simplePos="0" relativeHeight="251669504" behindDoc="0" locked="0" layoutInCell="1" allowOverlap="1">
            <wp:simplePos x="0" y="0"/>
            <wp:positionH relativeFrom="margin">
              <wp:posOffset>3181350</wp:posOffset>
            </wp:positionH>
            <wp:positionV relativeFrom="paragraph">
              <wp:posOffset>1031240</wp:posOffset>
            </wp:positionV>
            <wp:extent cx="1239241" cy="950400"/>
            <wp:effectExtent l="0" t="0" r="0" b="2540"/>
            <wp:wrapThrough wrapText="bothSides">
              <wp:wrapPolygon>
                <wp:start x="0" y="0"/>
                <wp:lineTo x="0" y="21225"/>
                <wp:lineTo x="21257" y="21225"/>
                <wp:lineTo x="2125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12738" name="Picture 2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r="14004"/>
                    <a:stretch>
                      <a:fillRect/>
                    </a:stretch>
                  </pic:blipFill>
                  <pic:spPr bwMode="auto">
                    <a:xfrm>
                      <a:off x="0" y="0"/>
                      <a:ext cx="1239241" cy="9504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3374">
        <w:rPr>
          <w:noProof/>
        </w:rPr>
        <w:drawing>
          <wp:inline distT="0" distB="0" distL="0" distR="0">
            <wp:extent cx="2769580" cy="2664000"/>
            <wp:effectExtent l="0" t="0" r="0" b="3175"/>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11346" name="Picture 14"/>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l="10485" r="18013"/>
                    <a:stretch>
                      <a:fillRect/>
                    </a:stretch>
                  </pic:blipFill>
                  <pic:spPr bwMode="auto">
                    <a:xfrm>
                      <a:off x="0" y="0"/>
                      <a:ext cx="2769580" cy="2664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44C8F6EA"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6CB54433" w14:textId="77777777">
      <w:pPr>
        <w:spacing w:line="269" w:lineRule="auto"/>
        <w:rPr>
          <w:szCs w:val="20"/>
          <w:rtl/>
        </w:rPr>
      </w:pPr>
      <w:r w:rsidRPr="00DC3374">
        <w:rPr>
          <w:rFonts w:hint="cs"/>
          <w:szCs w:val="20"/>
          <w:rtl/>
        </w:rPr>
        <w:t>*מספר הפוסטים והתגובות היה 3,133.</w:t>
      </w:r>
    </w:p>
    <w:p w:rsidR="00E92F67" w:rsidRPr="00DC3374" w:rsidP="00E81188" w14:paraId="010651FE" w14:textId="4537E005">
      <w:pPr>
        <w:spacing w:line="269" w:lineRule="auto"/>
        <w:rPr>
          <w:szCs w:val="20"/>
          <w:rtl/>
        </w:rPr>
      </w:pPr>
      <w:r w:rsidRPr="00DC3374">
        <w:rPr>
          <w:rFonts w:hint="cs"/>
          <w:szCs w:val="20"/>
          <w:rtl/>
        </w:rPr>
        <w:t xml:space="preserve">** </w:t>
      </w:r>
      <w:r w:rsidRPr="00DC3374">
        <w:rPr>
          <w:szCs w:val="20"/>
          <w:rtl/>
        </w:rPr>
        <w:t>מדד ההבנה לא מוצג כיוון שמספר הפוסטים בעניינו לא עלה על רף התקפות הסטטיסטית.</w:t>
      </w:r>
      <w:r w:rsidR="009A11FC">
        <w:rPr>
          <w:szCs w:val="20"/>
          <w:rtl/>
        </w:rPr>
        <w:t xml:space="preserve"> </w:t>
      </w:r>
    </w:p>
    <w:p w:rsidR="00E92F67" w:rsidRPr="00DC3374" w:rsidP="00E81188" w14:paraId="6A841B51" w14:textId="0F69BC8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F26F18" w14:paraId="6918EC68" w14:textId="2CD0A792">
      <w:pPr>
        <w:tabs>
          <w:tab w:val="left" w:pos="6285"/>
        </w:tabs>
        <w:bidi w:val="0"/>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25</w:t>
      </w:r>
      <w:r w:rsidRPr="00DC3374">
        <w:rPr>
          <w:b/>
          <w:bCs/>
          <w:rtl/>
        </w:rPr>
        <w:t xml:space="preserve">: </w:t>
      </w:r>
      <w:r w:rsidRPr="00DC3374">
        <w:rPr>
          <w:rFonts w:hint="eastAsia"/>
          <w:b/>
          <w:bCs/>
          <w:rtl/>
        </w:rPr>
        <w:t>פתיחת</w:t>
      </w:r>
      <w:r w:rsidRPr="00DC3374">
        <w:rPr>
          <w:b/>
          <w:bCs/>
          <w:rtl/>
        </w:rPr>
        <w:t xml:space="preserve"> </w:t>
      </w:r>
      <w:r w:rsidRPr="00DC3374">
        <w:rPr>
          <w:rFonts w:hint="eastAsia"/>
          <w:b/>
          <w:bCs/>
          <w:rtl/>
        </w:rPr>
        <w:t>מוסדות</w:t>
      </w:r>
      <w:r w:rsidRPr="00DC3374">
        <w:rPr>
          <w:b/>
          <w:bCs/>
          <w:rtl/>
        </w:rPr>
        <w:t xml:space="preserve"> </w:t>
      </w:r>
      <w:r w:rsidRPr="00DC3374">
        <w:rPr>
          <w:rFonts w:hint="eastAsia"/>
          <w:b/>
          <w:bCs/>
          <w:rtl/>
        </w:rPr>
        <w:t>החינוך</w:t>
      </w:r>
      <w:r w:rsidRPr="00DC3374">
        <w:rPr>
          <w:b/>
          <w:bCs/>
          <w:rtl/>
        </w:rPr>
        <w:t xml:space="preserve"> - </w:t>
      </w:r>
      <w:r w:rsidRPr="00DC3374">
        <w:rPr>
          <w:rFonts w:hint="eastAsia"/>
          <w:b/>
          <w:bCs/>
          <w:rtl/>
        </w:rPr>
        <w:t>מדדי</w:t>
      </w:r>
      <w:r w:rsidRPr="00DC3374">
        <w:rPr>
          <w:b/>
          <w:bCs/>
          <w:rtl/>
        </w:rPr>
        <w:t xml:space="preserve"> </w:t>
      </w:r>
      <w:r w:rsidRPr="00DC3374">
        <w:rPr>
          <w:rFonts w:hint="eastAsia"/>
          <w:b/>
          <w:bCs/>
          <w:rtl/>
        </w:rPr>
        <w:t>שכנוע</w:t>
      </w:r>
      <w:r w:rsidRPr="00DC3374">
        <w:rPr>
          <w:b/>
          <w:bCs/>
          <w:rtl/>
        </w:rPr>
        <w:t xml:space="preserve"> </w:t>
      </w:r>
      <w:r w:rsidRPr="00DC3374">
        <w:rPr>
          <w:rFonts w:hint="eastAsia"/>
          <w:b/>
          <w:bCs/>
          <w:rtl/>
        </w:rPr>
        <w:t>ואמון</w:t>
      </w:r>
      <w:r w:rsidRPr="00DC3374">
        <w:rPr>
          <w:b/>
          <w:bCs/>
          <w:rtl/>
        </w:rPr>
        <w:t xml:space="preserve"> </w:t>
      </w:r>
      <w:r w:rsidRPr="00DC3374">
        <w:rPr>
          <w:rFonts w:hint="eastAsia"/>
          <w:b/>
          <w:bCs/>
          <w:rtl/>
        </w:rPr>
        <w:t>לאורך</w:t>
      </w:r>
      <w:r w:rsidRPr="00DC3374">
        <w:rPr>
          <w:b/>
          <w:bCs/>
          <w:rtl/>
        </w:rPr>
        <w:t xml:space="preserve"> </w:t>
      </w:r>
      <w:r w:rsidRPr="00DC3374">
        <w:rPr>
          <w:rFonts w:hint="eastAsia"/>
          <w:b/>
          <w:bCs/>
          <w:rtl/>
        </w:rPr>
        <w:t>המשבר</w:t>
      </w:r>
    </w:p>
    <w:p w:rsidR="00E92F67" w:rsidRPr="00DC3374" w:rsidP="00E81188" w14:paraId="7C32525B" w14:textId="77777777">
      <w:pPr>
        <w:spacing w:line="269" w:lineRule="auto"/>
        <w:ind w:left="-567" w:right="-1418"/>
        <w:jc w:val="center"/>
        <w:rPr>
          <w:szCs w:val="20"/>
          <w:rtl/>
        </w:rPr>
      </w:pPr>
      <w:r w:rsidRPr="00DC3374">
        <w:rPr>
          <w:noProof/>
          <w:szCs w:val="20"/>
        </w:rPr>
        <w:drawing>
          <wp:anchor distT="0" distB="0" distL="114300" distR="114300" simplePos="0" relativeHeight="251670528" behindDoc="0" locked="0" layoutInCell="1" allowOverlap="1">
            <wp:simplePos x="0" y="0"/>
            <wp:positionH relativeFrom="column">
              <wp:posOffset>4076065</wp:posOffset>
            </wp:positionH>
            <wp:positionV relativeFrom="paragraph">
              <wp:posOffset>21590</wp:posOffset>
            </wp:positionV>
            <wp:extent cx="1116545" cy="828000"/>
            <wp:effectExtent l="0" t="0" r="762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0566" name="Picture 28"/>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6545" cy="828000"/>
                    </a:xfrm>
                    <a:prstGeom prst="rect">
                      <a:avLst/>
                    </a:prstGeom>
                    <a:noFill/>
                  </pic:spPr>
                </pic:pic>
              </a:graphicData>
            </a:graphic>
            <wp14:sizeRelH relativeFrom="margin">
              <wp14:pctWidth>0</wp14:pctWidth>
            </wp14:sizeRelH>
            <wp14:sizeRelV relativeFrom="margin">
              <wp14:pctHeight>0</wp14:pctHeight>
            </wp14:sizeRelV>
          </wp:anchor>
        </w:drawing>
      </w:r>
      <w:r w:rsidRPr="00DC3374">
        <w:rPr>
          <w:noProof/>
          <w:szCs w:val="20"/>
        </w:rPr>
        <w:drawing>
          <wp:inline distT="0" distB="0" distL="0" distR="0">
            <wp:extent cx="4420317" cy="2124000"/>
            <wp:effectExtent l="0" t="0" r="0" b="0"/>
            <wp:docPr id="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63727" name="Picture 25"/>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r="12204"/>
                    <a:stretch>
                      <a:fillRect/>
                    </a:stretch>
                  </pic:blipFill>
                  <pic:spPr bwMode="auto">
                    <a:xfrm>
                      <a:off x="0" y="0"/>
                      <a:ext cx="4420317" cy="2124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318E6193"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3E420943" w14:textId="6045063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66A2669" w14:textId="77777777">
      <w:pPr>
        <w:spacing w:line="269" w:lineRule="auto"/>
        <w:rPr>
          <w:rtl/>
        </w:rPr>
      </w:pPr>
      <w:r w:rsidRPr="00DC3374">
        <w:rPr>
          <w:rFonts w:hint="cs"/>
          <w:rtl/>
        </w:rPr>
        <w:t xml:space="preserve">שני הנושאים שבלטו בשיח ברשתות החברתיות על סגירת מוסדות החינוך ופתיחתם היו </w:t>
      </w:r>
      <w:r w:rsidRPr="00DC3374">
        <w:rPr>
          <w:rtl/>
        </w:rPr>
        <w:t xml:space="preserve">תהליך קבלת ההחלטות </w:t>
      </w:r>
      <w:r w:rsidRPr="00DC3374">
        <w:rPr>
          <w:rFonts w:hint="cs"/>
          <w:rtl/>
        </w:rPr>
        <w:t>ונושא הלמידה מרחוק. כך לדוגמה עלו</w:t>
      </w:r>
      <w:r w:rsidRPr="00DC3374">
        <w:rPr>
          <w:rtl/>
        </w:rPr>
        <w:t xml:space="preserve"> טענות </w:t>
      </w:r>
      <w:r w:rsidRPr="00DC3374">
        <w:rPr>
          <w:rFonts w:hint="cs"/>
          <w:rtl/>
        </w:rPr>
        <w:t xml:space="preserve">שהתקבלו </w:t>
      </w:r>
      <w:r w:rsidRPr="00DC3374">
        <w:rPr>
          <w:rtl/>
        </w:rPr>
        <w:t>החלטות ש</w:t>
      </w:r>
      <w:r w:rsidRPr="00DC3374">
        <w:rPr>
          <w:rFonts w:hint="cs"/>
          <w:rtl/>
        </w:rPr>
        <w:t xml:space="preserve">אינן מתיישבות </w:t>
      </w:r>
      <w:r w:rsidRPr="00DC3374">
        <w:rPr>
          <w:rtl/>
        </w:rPr>
        <w:t>עם נתוני התחלואה</w:t>
      </w:r>
      <w:r w:rsidRPr="00DC3374">
        <w:rPr>
          <w:rFonts w:hint="cs"/>
          <w:rtl/>
        </w:rPr>
        <w:t>;</w:t>
      </w:r>
      <w:r w:rsidRPr="00DC3374">
        <w:rPr>
          <w:rtl/>
        </w:rPr>
        <w:t xml:space="preserve"> </w:t>
      </w:r>
      <w:r w:rsidRPr="00DC3374">
        <w:rPr>
          <w:rFonts w:hint="cs"/>
          <w:rtl/>
        </w:rPr>
        <w:t xml:space="preserve">טענות שההחלטות התקבלו </w:t>
      </w:r>
      <w:r w:rsidRPr="00DC3374">
        <w:rPr>
          <w:rtl/>
        </w:rPr>
        <w:t>בחופזה</w:t>
      </w:r>
      <w:r w:rsidRPr="00DC3374">
        <w:rPr>
          <w:rFonts w:hint="cs"/>
          <w:rtl/>
        </w:rPr>
        <w:t xml:space="preserve">; וטענות לאי-בהירותן של ההחלטות. </w:t>
      </w:r>
    </w:p>
    <w:p w:rsidR="00E92F67" w:rsidRPr="00DC3374" w:rsidP="00E81188" w14:paraId="3150402B" w14:textId="161138F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EBA8A09" w14:textId="77777777">
      <w:pPr>
        <w:spacing w:line="269" w:lineRule="auto"/>
        <w:rPr>
          <w:b/>
          <w:bCs/>
          <w:rtl/>
        </w:rPr>
      </w:pPr>
      <w:r w:rsidRPr="00DC3374">
        <w:rPr>
          <w:rFonts w:hint="cs"/>
          <w:b/>
          <w:bCs/>
          <w:rtl/>
        </w:rPr>
        <w:t xml:space="preserve">מידת השכנוע בנחיצות ההנחיות לגבי סגירת מוסדות החינוך ופתיחתם מאופיינת בתנודות חדות: </w:t>
      </w:r>
      <w:r w:rsidRPr="00DC3374">
        <w:rPr>
          <w:rFonts w:hint="eastAsia"/>
          <w:b/>
          <w:bCs/>
          <w:rtl/>
        </w:rPr>
        <w:t>לאחר</w:t>
      </w:r>
      <w:r w:rsidRPr="00DC3374">
        <w:rPr>
          <w:b/>
          <w:bCs/>
          <w:rtl/>
        </w:rPr>
        <w:t xml:space="preserve"> פתיחת מוסדות החינוך בתום הסגר הראשון, במאי 2020</w:t>
      </w:r>
      <w:r w:rsidRPr="00DC3374">
        <w:rPr>
          <w:rFonts w:hint="cs"/>
          <w:b/>
          <w:bCs/>
          <w:rtl/>
        </w:rPr>
        <w:t>, היא עלתה לרמה גבוהה; ב</w:t>
      </w:r>
      <w:r w:rsidRPr="00DC3374">
        <w:rPr>
          <w:rFonts w:hint="eastAsia"/>
          <w:b/>
          <w:bCs/>
          <w:rtl/>
        </w:rPr>
        <w:t>חופש</w:t>
      </w:r>
      <w:r w:rsidRPr="00DC3374">
        <w:rPr>
          <w:b/>
          <w:bCs/>
          <w:rtl/>
        </w:rPr>
        <w:t xml:space="preserve"> </w:t>
      </w:r>
      <w:r w:rsidRPr="00DC3374">
        <w:rPr>
          <w:rFonts w:hint="eastAsia"/>
          <w:b/>
          <w:bCs/>
          <w:rtl/>
        </w:rPr>
        <w:t>הגדול</w:t>
      </w:r>
      <w:r w:rsidRPr="00DC3374">
        <w:rPr>
          <w:b/>
          <w:bCs/>
          <w:rtl/>
        </w:rPr>
        <w:t xml:space="preserve"> </w:t>
      </w:r>
      <w:r w:rsidRPr="00DC3374">
        <w:rPr>
          <w:rFonts w:hint="cs"/>
          <w:b/>
          <w:bCs/>
          <w:rtl/>
        </w:rPr>
        <w:t>היא ירדה</w:t>
      </w:r>
      <w:r w:rsidRPr="00DC3374">
        <w:rPr>
          <w:b/>
          <w:bCs/>
          <w:rtl/>
        </w:rPr>
        <w:t xml:space="preserve"> </w:t>
      </w:r>
      <w:r w:rsidRPr="00DC3374">
        <w:rPr>
          <w:rFonts w:hint="eastAsia"/>
          <w:b/>
          <w:bCs/>
          <w:rtl/>
        </w:rPr>
        <w:t>במידה</w:t>
      </w:r>
      <w:r w:rsidRPr="00DC3374">
        <w:rPr>
          <w:b/>
          <w:bCs/>
          <w:rtl/>
        </w:rPr>
        <w:t xml:space="preserve"> </w:t>
      </w:r>
      <w:r w:rsidRPr="00DC3374">
        <w:rPr>
          <w:rFonts w:hint="eastAsia"/>
          <w:b/>
          <w:bCs/>
          <w:rtl/>
        </w:rPr>
        <w:t>ניכרת</w:t>
      </w:r>
      <w:r w:rsidRPr="00DC3374">
        <w:rPr>
          <w:rFonts w:hint="cs"/>
          <w:b/>
          <w:bCs/>
          <w:rtl/>
        </w:rPr>
        <w:t>;</w:t>
      </w:r>
      <w:r w:rsidRPr="00DC3374">
        <w:rPr>
          <w:b/>
          <w:bCs/>
          <w:rtl/>
        </w:rPr>
        <w:t xml:space="preserve"> </w:t>
      </w:r>
      <w:r w:rsidRPr="00DC3374">
        <w:rPr>
          <w:rFonts w:hint="cs"/>
          <w:b/>
          <w:bCs/>
          <w:rtl/>
        </w:rPr>
        <w:t>ונותרה נמוכה עד סוף התקופה שנבדקה</w:t>
      </w:r>
      <w:r w:rsidRPr="00DC3374">
        <w:rPr>
          <w:b/>
          <w:bCs/>
          <w:rtl/>
        </w:rPr>
        <w:t xml:space="preserve">. </w:t>
      </w:r>
      <w:r w:rsidRPr="00DC3374">
        <w:rPr>
          <w:rFonts w:hint="eastAsia"/>
          <w:b/>
          <w:bCs/>
          <w:rtl/>
        </w:rPr>
        <w:t>מידת</w:t>
      </w:r>
      <w:r w:rsidRPr="00DC3374">
        <w:rPr>
          <w:b/>
          <w:bCs/>
          <w:rtl/>
        </w:rPr>
        <w:t xml:space="preserve"> </w:t>
      </w:r>
      <w:r w:rsidRPr="00DC3374">
        <w:rPr>
          <w:rFonts w:hint="eastAsia"/>
          <w:b/>
          <w:bCs/>
          <w:rtl/>
        </w:rPr>
        <w:t>האמון</w:t>
      </w:r>
      <w:r w:rsidRPr="00DC3374">
        <w:rPr>
          <w:b/>
          <w:bCs/>
          <w:rtl/>
        </w:rPr>
        <w:t xml:space="preserve"> </w:t>
      </w:r>
      <w:r w:rsidRPr="00DC3374">
        <w:rPr>
          <w:rFonts w:hint="eastAsia"/>
          <w:b/>
          <w:bCs/>
          <w:rtl/>
        </w:rPr>
        <w:t>של</w:t>
      </w:r>
      <w:r w:rsidRPr="00DC3374">
        <w:rPr>
          <w:b/>
          <w:bCs/>
          <w:rtl/>
        </w:rPr>
        <w:t xml:space="preserve"> </w:t>
      </w:r>
      <w:r w:rsidRPr="00DC3374">
        <w:rPr>
          <w:rFonts w:hint="eastAsia"/>
          <w:b/>
          <w:bCs/>
          <w:rtl/>
        </w:rPr>
        <w:t>הציבור</w:t>
      </w:r>
      <w:r w:rsidRPr="00DC3374">
        <w:rPr>
          <w:b/>
          <w:bCs/>
          <w:rtl/>
        </w:rPr>
        <w:t xml:space="preserve"> </w:t>
      </w:r>
      <w:r w:rsidRPr="00DC3374">
        <w:rPr>
          <w:rFonts w:hint="eastAsia"/>
          <w:b/>
          <w:bCs/>
          <w:rtl/>
        </w:rPr>
        <w:t>במקבלי</w:t>
      </w:r>
      <w:r w:rsidRPr="00DC3374">
        <w:rPr>
          <w:b/>
          <w:bCs/>
          <w:rtl/>
        </w:rPr>
        <w:t xml:space="preserve"> </w:t>
      </w:r>
      <w:r w:rsidRPr="00DC3374">
        <w:rPr>
          <w:rFonts w:hint="eastAsia"/>
          <w:b/>
          <w:bCs/>
          <w:rtl/>
        </w:rPr>
        <w:t>ההחלטות</w:t>
      </w:r>
      <w:r w:rsidRPr="00DC3374">
        <w:rPr>
          <w:b/>
          <w:bCs/>
          <w:rtl/>
        </w:rPr>
        <w:t xml:space="preserve"> </w:t>
      </w:r>
      <w:r w:rsidRPr="00DC3374">
        <w:rPr>
          <w:rFonts w:hint="eastAsia"/>
          <w:b/>
          <w:bCs/>
          <w:rtl/>
        </w:rPr>
        <w:t>הייתה</w:t>
      </w:r>
      <w:r w:rsidRPr="00DC3374">
        <w:rPr>
          <w:b/>
          <w:bCs/>
          <w:rtl/>
        </w:rPr>
        <w:t xml:space="preserve"> </w:t>
      </w:r>
      <w:r w:rsidRPr="00DC3374">
        <w:rPr>
          <w:rFonts w:hint="cs"/>
          <w:b/>
          <w:bCs/>
          <w:rtl/>
        </w:rPr>
        <w:t>מעט</w:t>
      </w:r>
      <w:r w:rsidRPr="00DC3374">
        <w:rPr>
          <w:rFonts w:hint="eastAsia"/>
          <w:b/>
          <w:bCs/>
          <w:rtl/>
        </w:rPr>
        <w:t>ה</w:t>
      </w:r>
      <w:r w:rsidRPr="00DC3374">
        <w:rPr>
          <w:rFonts w:hint="cs"/>
          <w:b/>
          <w:bCs/>
          <w:rtl/>
        </w:rPr>
        <w:t xml:space="preserve"> מאוד</w:t>
      </w:r>
      <w:r w:rsidRPr="00DC3374">
        <w:rPr>
          <w:b/>
          <w:bCs/>
          <w:rtl/>
        </w:rPr>
        <w:t xml:space="preserve"> </w:t>
      </w:r>
      <w:r w:rsidRPr="00DC3374">
        <w:rPr>
          <w:rFonts w:hint="eastAsia"/>
          <w:b/>
          <w:bCs/>
          <w:rtl/>
        </w:rPr>
        <w:t>לאורך</w:t>
      </w:r>
      <w:r w:rsidRPr="00DC3374">
        <w:rPr>
          <w:b/>
          <w:bCs/>
          <w:rtl/>
        </w:rPr>
        <w:t xml:space="preserve"> </w:t>
      </w:r>
      <w:r w:rsidRPr="00DC3374">
        <w:rPr>
          <w:rFonts w:hint="eastAsia"/>
          <w:b/>
          <w:bCs/>
          <w:rtl/>
        </w:rPr>
        <w:t>רוב</w:t>
      </w:r>
      <w:r w:rsidRPr="00DC3374">
        <w:rPr>
          <w:b/>
          <w:bCs/>
          <w:rtl/>
        </w:rPr>
        <w:t xml:space="preserve"> </w:t>
      </w:r>
      <w:r w:rsidRPr="00DC3374">
        <w:rPr>
          <w:rFonts w:hint="eastAsia"/>
          <w:b/>
          <w:bCs/>
          <w:rtl/>
        </w:rPr>
        <w:t>התקופה</w:t>
      </w:r>
      <w:r w:rsidRPr="00DC3374">
        <w:rPr>
          <w:b/>
          <w:bCs/>
          <w:rtl/>
        </w:rPr>
        <w:t xml:space="preserve"> </w:t>
      </w:r>
      <w:r w:rsidRPr="00DC3374">
        <w:rPr>
          <w:rFonts w:hint="eastAsia"/>
          <w:b/>
          <w:bCs/>
          <w:rtl/>
        </w:rPr>
        <w:t>שנבדקה</w:t>
      </w:r>
      <w:r w:rsidRPr="00DC3374">
        <w:rPr>
          <w:rFonts w:hint="cs"/>
          <w:b/>
          <w:bCs/>
          <w:rtl/>
        </w:rPr>
        <w:t xml:space="preserve"> (2.7)</w:t>
      </w:r>
      <w:r w:rsidRPr="00DC3374">
        <w:rPr>
          <w:b/>
          <w:bCs/>
          <w:rtl/>
        </w:rPr>
        <w:t>.</w:t>
      </w:r>
    </w:p>
    <w:p w:rsidR="00E92F67" w:rsidRPr="00DC3374" w:rsidP="00E81188" w14:paraId="054E6200" w14:textId="77777777">
      <w:pPr>
        <w:pStyle w:val="Heading4"/>
        <w:spacing w:before="0" w:line="269" w:lineRule="auto"/>
        <w:rPr>
          <w:rtl/>
        </w:rPr>
      </w:pPr>
    </w:p>
    <w:p w:rsidR="00E92F67" w:rsidRPr="00DC3374" w:rsidP="00E81188" w14:paraId="2B124EAD" w14:textId="77777777">
      <w:pPr>
        <w:pStyle w:val="Heading4"/>
        <w:spacing w:before="0" w:line="269" w:lineRule="auto"/>
      </w:pPr>
      <w:r w:rsidRPr="00DC3374">
        <w:rPr>
          <w:rFonts w:hint="cs"/>
          <w:rtl/>
        </w:rPr>
        <w:t>ה</w:t>
      </w:r>
      <w:r w:rsidRPr="00DC3374">
        <w:rPr>
          <w:rtl/>
        </w:rPr>
        <w:t xml:space="preserve">תו </w:t>
      </w:r>
      <w:r w:rsidRPr="00DC3374">
        <w:rPr>
          <w:rFonts w:hint="cs"/>
          <w:rtl/>
        </w:rPr>
        <w:t>ה</w:t>
      </w:r>
      <w:r w:rsidRPr="00DC3374">
        <w:rPr>
          <w:rtl/>
        </w:rPr>
        <w:t xml:space="preserve">סגול ופתיחת </w:t>
      </w:r>
      <w:r w:rsidRPr="00DC3374">
        <w:rPr>
          <w:rFonts w:hint="cs"/>
          <w:rtl/>
        </w:rPr>
        <w:t xml:space="preserve">בתי </w:t>
      </w:r>
      <w:r w:rsidRPr="00DC3374">
        <w:rPr>
          <w:rtl/>
        </w:rPr>
        <w:t xml:space="preserve">עסק </w:t>
      </w:r>
    </w:p>
    <w:p w:rsidR="00E92F67" w:rsidRPr="00DC3374" w:rsidP="00E81188" w14:paraId="786110EB" w14:textId="77CEDB6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ED311EA" w14:textId="77777777">
      <w:pPr>
        <w:spacing w:line="269" w:lineRule="auto"/>
        <w:rPr>
          <w:rtl/>
        </w:rPr>
      </w:pPr>
      <w:r w:rsidRPr="00DC3374">
        <w:rPr>
          <w:rtl/>
        </w:rPr>
        <w:t>כאמור, התו הסגול נקבע כדי לאפשר פתיחת בתי עסק. הוא קובע למשל את סוגי בתי העסק שמותר לפתוח</w:t>
      </w:r>
      <w:r w:rsidRPr="00DC3374">
        <w:rPr>
          <w:rFonts w:hint="cs"/>
          <w:rtl/>
        </w:rPr>
        <w:t xml:space="preserve"> כגון חנויות ומספרות; המספר המרבי של האנשים שיכולים להיות בו-זמנית בבית עסק; והדרישות מבית עסק פתוח (העסקת ממונה קורונה, מדידת חום בכניסה, ריחוק חברתי וכיו"ב). </w:t>
      </w:r>
      <w:r w:rsidRPr="00DC3374">
        <w:rPr>
          <w:rtl/>
        </w:rPr>
        <w:t xml:space="preserve">להלן </w:t>
      </w:r>
      <w:r w:rsidRPr="00DC3374">
        <w:rPr>
          <w:rFonts w:hint="cs"/>
          <w:rtl/>
        </w:rPr>
        <w:t xml:space="preserve">שני </w:t>
      </w:r>
      <w:r w:rsidRPr="00DC3374">
        <w:rPr>
          <w:rtl/>
        </w:rPr>
        <w:t>תרשי</w:t>
      </w:r>
      <w:r w:rsidRPr="00DC3374">
        <w:rPr>
          <w:rFonts w:hint="cs"/>
          <w:rtl/>
        </w:rPr>
        <w:t>מי</w:t>
      </w:r>
      <w:r w:rsidRPr="00DC3374">
        <w:rPr>
          <w:rtl/>
        </w:rPr>
        <w:t xml:space="preserve">ם </w:t>
      </w:r>
      <w:r w:rsidRPr="00DC3374">
        <w:rPr>
          <w:rFonts w:hint="cs"/>
          <w:rtl/>
        </w:rPr>
        <w:t xml:space="preserve">המתארים את תגובות הציבור בנוגע לתו הסגול ולפתיחת בתי עסק, כפי שהשתקפו בשיח ברשתות החברתיות. </w:t>
      </w:r>
    </w:p>
    <w:p w:rsidR="00E92F67" w:rsidRPr="00DC3374" w:rsidP="00E81188" w14:paraId="4263124D" w14:textId="5C6DEA1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DC1FB12" w14:textId="77777777">
      <w:pPr>
        <w:spacing w:line="269" w:lineRule="auto"/>
        <w:jc w:val="center"/>
        <w:rPr>
          <w:rtl/>
        </w:rPr>
      </w:pPr>
      <w:r w:rsidRPr="00DC3374">
        <w:rPr>
          <w:rFonts w:hint="eastAsia"/>
          <w:b/>
          <w:bCs/>
          <w:rtl/>
        </w:rPr>
        <w:t>תרשים</w:t>
      </w:r>
      <w:r w:rsidRPr="00DC3374">
        <w:rPr>
          <w:b/>
          <w:bCs/>
          <w:rtl/>
        </w:rPr>
        <w:t xml:space="preserve"> </w:t>
      </w:r>
      <w:r w:rsidRPr="00DC3374">
        <w:rPr>
          <w:rFonts w:hint="cs"/>
          <w:b/>
          <w:bCs/>
          <w:rtl/>
        </w:rPr>
        <w:t>26</w:t>
      </w:r>
      <w:r w:rsidRPr="00DC3374">
        <w:rPr>
          <w:b/>
          <w:bCs/>
          <w:rtl/>
        </w:rPr>
        <w:t xml:space="preserve">: </w:t>
      </w:r>
      <w:r w:rsidRPr="00DC3374">
        <w:rPr>
          <w:rFonts w:hint="eastAsia"/>
          <w:b/>
          <w:bCs/>
          <w:rtl/>
        </w:rPr>
        <w:t>עיקרי</w:t>
      </w:r>
      <w:r w:rsidRPr="00DC3374">
        <w:rPr>
          <w:b/>
          <w:bCs/>
          <w:rtl/>
        </w:rPr>
        <w:t xml:space="preserve"> </w:t>
      </w:r>
      <w:r w:rsidRPr="00DC3374">
        <w:rPr>
          <w:rFonts w:hint="eastAsia"/>
          <w:b/>
          <w:bCs/>
          <w:rtl/>
        </w:rPr>
        <w:t>השיח</w:t>
      </w:r>
      <w:r w:rsidRPr="00DC3374">
        <w:rPr>
          <w:b/>
          <w:bCs/>
          <w:rtl/>
        </w:rPr>
        <w:t xml:space="preserve"> </w:t>
      </w:r>
      <w:r w:rsidRPr="00DC3374">
        <w:rPr>
          <w:rFonts w:hint="eastAsia"/>
          <w:b/>
          <w:bCs/>
          <w:rtl/>
        </w:rPr>
        <w:t>על</w:t>
      </w:r>
      <w:r w:rsidRPr="00DC3374">
        <w:rPr>
          <w:b/>
          <w:bCs/>
          <w:rtl/>
        </w:rPr>
        <w:t xml:space="preserve"> התו </w:t>
      </w:r>
      <w:r w:rsidRPr="00DC3374">
        <w:rPr>
          <w:rFonts w:hint="eastAsia"/>
          <w:b/>
          <w:bCs/>
          <w:rtl/>
        </w:rPr>
        <w:t>הסגול</w:t>
      </w:r>
      <w:r w:rsidRPr="00DC3374">
        <w:rPr>
          <w:b/>
          <w:bCs/>
          <w:rtl/>
        </w:rPr>
        <w:t xml:space="preserve"> </w:t>
      </w:r>
      <w:r w:rsidRPr="00DC3374">
        <w:rPr>
          <w:rFonts w:hint="eastAsia"/>
          <w:b/>
          <w:bCs/>
          <w:rtl/>
        </w:rPr>
        <w:t>ופתיחת</w:t>
      </w:r>
      <w:r w:rsidRPr="00DC3374">
        <w:rPr>
          <w:b/>
          <w:bCs/>
          <w:rtl/>
        </w:rPr>
        <w:t xml:space="preserve"> </w:t>
      </w:r>
      <w:r w:rsidRPr="00DC3374">
        <w:rPr>
          <w:rFonts w:hint="eastAsia"/>
          <w:b/>
          <w:bCs/>
          <w:rtl/>
        </w:rPr>
        <w:t>בתי</w:t>
      </w:r>
      <w:r w:rsidRPr="00DC3374">
        <w:rPr>
          <w:b/>
          <w:bCs/>
          <w:rtl/>
        </w:rPr>
        <w:t xml:space="preserve"> </w:t>
      </w:r>
      <w:r w:rsidRPr="00DC3374">
        <w:rPr>
          <w:rFonts w:hint="eastAsia"/>
          <w:b/>
          <w:bCs/>
          <w:rtl/>
        </w:rPr>
        <w:t>עסק</w:t>
      </w:r>
      <w:r w:rsidRPr="00DC3374">
        <w:rPr>
          <w:rFonts w:hint="cs"/>
          <w:b/>
          <w:bCs/>
          <w:rtl/>
        </w:rPr>
        <w:t>*</w:t>
      </w:r>
      <w:r w:rsidRPr="00DC3374">
        <w:rPr>
          <w:rFonts w:hint="cs"/>
          <w:rtl/>
        </w:rPr>
        <w:t>, **</w:t>
      </w:r>
    </w:p>
    <w:p w:rsidR="00E92F67" w:rsidRPr="00DC3374" w:rsidP="00E81188" w14:paraId="45C9DF58" w14:textId="77777777">
      <w:pPr>
        <w:spacing w:line="269" w:lineRule="auto"/>
        <w:ind w:right="-851"/>
        <w:rPr>
          <w:rtl/>
        </w:rPr>
      </w:pPr>
      <w:r w:rsidRPr="00DC3374">
        <w:rPr>
          <w:noProof/>
        </w:rPr>
        <w:drawing>
          <wp:anchor distT="0" distB="0" distL="114300" distR="114300" simplePos="0" relativeHeight="251671552" behindDoc="0" locked="0" layoutInCell="1" allowOverlap="1">
            <wp:simplePos x="0" y="0"/>
            <wp:positionH relativeFrom="column">
              <wp:posOffset>2971165</wp:posOffset>
            </wp:positionH>
            <wp:positionV relativeFrom="paragraph">
              <wp:posOffset>1196340</wp:posOffset>
            </wp:positionV>
            <wp:extent cx="1248000" cy="936000"/>
            <wp:effectExtent l="0" t="0" r="9525" b="0"/>
            <wp:wrapThrough wrapText="bothSides">
              <wp:wrapPolygon>
                <wp:start x="0" y="0"/>
                <wp:lineTo x="0" y="21102"/>
                <wp:lineTo x="21435" y="21102"/>
                <wp:lineTo x="21435" y="0"/>
                <wp:lineTo x="0" y="0"/>
              </wp:wrapPolygon>
            </wp:wrapThrough>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96108" name="Picture 26"/>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8000" cy="936000"/>
                    </a:xfrm>
                    <a:prstGeom prst="rect">
                      <a:avLst/>
                    </a:prstGeom>
                    <a:noFill/>
                  </pic:spPr>
                </pic:pic>
              </a:graphicData>
            </a:graphic>
            <wp14:sizeRelH relativeFrom="margin">
              <wp14:pctWidth>0</wp14:pctWidth>
            </wp14:sizeRelH>
            <wp14:sizeRelV relativeFrom="margin">
              <wp14:pctHeight>0</wp14:pctHeight>
            </wp14:sizeRelV>
          </wp:anchor>
        </w:drawing>
      </w:r>
      <w:r w:rsidRPr="00DC3374">
        <w:rPr>
          <w:noProof/>
        </w:rPr>
        <w:drawing>
          <wp:inline distT="0" distB="0" distL="0" distR="0">
            <wp:extent cx="2460893" cy="2664000"/>
            <wp:effectExtent l="0" t="0" r="0" b="3175"/>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4035" name="Picture 15"/>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l="14322" b="8107"/>
                    <a:stretch>
                      <a:fillRect/>
                    </a:stretch>
                  </pic:blipFill>
                  <pic:spPr bwMode="auto">
                    <a:xfrm>
                      <a:off x="0" y="0"/>
                      <a:ext cx="2460893" cy="2664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6C8A0BE8"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06F7B46D" w14:textId="77777777">
      <w:pPr>
        <w:spacing w:line="269" w:lineRule="auto"/>
        <w:rPr>
          <w:szCs w:val="20"/>
          <w:rtl/>
        </w:rPr>
      </w:pPr>
      <w:r w:rsidRPr="00DC3374">
        <w:rPr>
          <w:szCs w:val="20"/>
          <w:rtl/>
        </w:rPr>
        <w:t>*</w:t>
      </w:r>
      <w:r w:rsidRPr="00DC3374">
        <w:rPr>
          <w:rFonts w:hint="eastAsia"/>
          <w:szCs w:val="20"/>
          <w:rtl/>
        </w:rPr>
        <w:t>מספר</w:t>
      </w:r>
      <w:r w:rsidRPr="00DC3374">
        <w:rPr>
          <w:szCs w:val="20"/>
          <w:rtl/>
        </w:rPr>
        <w:t xml:space="preserve"> </w:t>
      </w:r>
      <w:r w:rsidRPr="00DC3374">
        <w:rPr>
          <w:rFonts w:hint="eastAsia"/>
          <w:szCs w:val="20"/>
          <w:rtl/>
        </w:rPr>
        <w:t>הפוסטים</w:t>
      </w:r>
      <w:r w:rsidRPr="00DC3374">
        <w:rPr>
          <w:szCs w:val="20"/>
          <w:rtl/>
        </w:rPr>
        <w:t xml:space="preserve"> והתגובות </w:t>
      </w:r>
      <w:r w:rsidRPr="00DC3374">
        <w:rPr>
          <w:rFonts w:hint="cs"/>
          <w:szCs w:val="20"/>
          <w:rtl/>
        </w:rPr>
        <w:t>היה</w:t>
      </w:r>
      <w:r w:rsidRPr="00DC3374">
        <w:rPr>
          <w:szCs w:val="20"/>
          <w:rtl/>
        </w:rPr>
        <w:t xml:space="preserve"> 3,073</w:t>
      </w:r>
      <w:r w:rsidRPr="00DC3374">
        <w:rPr>
          <w:rFonts w:hint="cs"/>
          <w:szCs w:val="20"/>
          <w:rtl/>
        </w:rPr>
        <w:t>.</w:t>
      </w:r>
    </w:p>
    <w:p w:rsidR="00E81188" w:rsidP="00E81188" w14:paraId="67D177DC" w14:textId="7E0EB773">
      <w:pPr>
        <w:spacing w:line="269" w:lineRule="auto"/>
        <w:rPr>
          <w:szCs w:val="20"/>
          <w:rtl/>
        </w:rPr>
      </w:pPr>
      <w:r w:rsidRPr="00DC3374">
        <w:rPr>
          <w:rFonts w:hint="cs"/>
          <w:szCs w:val="20"/>
          <w:rtl/>
        </w:rPr>
        <w:t xml:space="preserve">** </w:t>
      </w:r>
      <w:r w:rsidRPr="00DC3374">
        <w:rPr>
          <w:szCs w:val="20"/>
          <w:rtl/>
        </w:rPr>
        <w:t>מדד ההבנה לא מוצג כיוון שמספר הפוסטים בעניינו לא עלה על רף התקפות הסטטיסטית.</w:t>
      </w:r>
      <w:r w:rsidR="009A11FC">
        <w:rPr>
          <w:szCs w:val="20"/>
          <w:rtl/>
        </w:rPr>
        <w:t xml:space="preserve"> </w:t>
      </w:r>
    </w:p>
    <w:p w:rsidR="00E81188" w14:paraId="15A0AE71" w14:textId="77777777">
      <w:pPr>
        <w:spacing w:line="240" w:lineRule="auto"/>
        <w:ind w:left="720" w:hanging="720"/>
        <w:rPr>
          <w:szCs w:val="20"/>
          <w:rtl/>
        </w:rPr>
      </w:pPr>
      <w:r>
        <w:rPr>
          <w:szCs w:val="20"/>
          <w:rtl/>
        </w:rPr>
        <w:br w:type="page"/>
      </w:r>
    </w:p>
    <w:p w:rsidR="00E92F67" w:rsidRPr="00DC3374" w:rsidP="00E81188" w14:paraId="69F030F3" w14:textId="2BBE44A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E92C80C" w14:textId="77777777">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27</w:t>
      </w:r>
      <w:r w:rsidRPr="00DC3374">
        <w:rPr>
          <w:b/>
          <w:bCs/>
          <w:rtl/>
        </w:rPr>
        <w:t xml:space="preserve">: התו </w:t>
      </w:r>
      <w:r w:rsidRPr="00DC3374">
        <w:rPr>
          <w:rFonts w:hint="eastAsia"/>
          <w:b/>
          <w:bCs/>
          <w:rtl/>
        </w:rPr>
        <w:t>הסגול</w:t>
      </w:r>
      <w:r w:rsidRPr="00DC3374">
        <w:rPr>
          <w:b/>
          <w:bCs/>
          <w:rtl/>
        </w:rPr>
        <w:t xml:space="preserve"> </w:t>
      </w:r>
      <w:r w:rsidRPr="00DC3374">
        <w:rPr>
          <w:rFonts w:hint="eastAsia"/>
          <w:b/>
          <w:bCs/>
          <w:rtl/>
        </w:rPr>
        <w:t>ופתיחת</w:t>
      </w:r>
      <w:r w:rsidRPr="00DC3374">
        <w:rPr>
          <w:b/>
          <w:bCs/>
          <w:rtl/>
        </w:rPr>
        <w:t xml:space="preserve"> </w:t>
      </w:r>
      <w:r w:rsidRPr="00DC3374">
        <w:rPr>
          <w:rFonts w:hint="eastAsia"/>
          <w:b/>
          <w:bCs/>
          <w:rtl/>
        </w:rPr>
        <w:t>בתי</w:t>
      </w:r>
      <w:r w:rsidRPr="00DC3374">
        <w:rPr>
          <w:b/>
          <w:bCs/>
          <w:rtl/>
        </w:rPr>
        <w:t xml:space="preserve"> </w:t>
      </w:r>
      <w:r w:rsidRPr="00DC3374">
        <w:rPr>
          <w:rFonts w:hint="eastAsia"/>
          <w:b/>
          <w:bCs/>
          <w:rtl/>
        </w:rPr>
        <w:t>עסק</w:t>
      </w:r>
      <w:r w:rsidRPr="00DC3374">
        <w:rPr>
          <w:b/>
          <w:bCs/>
          <w:rtl/>
        </w:rPr>
        <w:t xml:space="preserve"> - </w:t>
      </w:r>
      <w:r w:rsidRPr="00DC3374">
        <w:rPr>
          <w:rFonts w:hint="eastAsia"/>
          <w:b/>
          <w:bCs/>
          <w:rtl/>
        </w:rPr>
        <w:t>מדדי</w:t>
      </w:r>
      <w:r w:rsidRPr="00DC3374">
        <w:rPr>
          <w:b/>
          <w:bCs/>
          <w:rtl/>
        </w:rPr>
        <w:t xml:space="preserve"> </w:t>
      </w:r>
      <w:r w:rsidRPr="00DC3374">
        <w:rPr>
          <w:rFonts w:hint="eastAsia"/>
          <w:b/>
          <w:bCs/>
          <w:rtl/>
        </w:rPr>
        <w:t>שכנוע</w:t>
      </w:r>
      <w:r w:rsidRPr="00DC3374">
        <w:rPr>
          <w:b/>
          <w:bCs/>
          <w:rtl/>
        </w:rPr>
        <w:t xml:space="preserve"> </w:t>
      </w:r>
      <w:r w:rsidRPr="00DC3374">
        <w:rPr>
          <w:rFonts w:hint="eastAsia"/>
          <w:b/>
          <w:bCs/>
          <w:rtl/>
        </w:rPr>
        <w:t>ואמון</w:t>
      </w:r>
      <w:r w:rsidRPr="00DC3374">
        <w:rPr>
          <w:b/>
          <w:bCs/>
          <w:rtl/>
        </w:rPr>
        <w:t xml:space="preserve"> </w:t>
      </w:r>
      <w:r w:rsidRPr="00DC3374">
        <w:rPr>
          <w:rFonts w:hint="eastAsia"/>
          <w:b/>
          <w:bCs/>
          <w:rtl/>
        </w:rPr>
        <w:t>לאורך</w:t>
      </w:r>
      <w:r w:rsidRPr="00DC3374">
        <w:rPr>
          <w:b/>
          <w:bCs/>
          <w:rtl/>
        </w:rPr>
        <w:t xml:space="preserve"> </w:t>
      </w:r>
      <w:r w:rsidRPr="00DC3374">
        <w:rPr>
          <w:rFonts w:hint="eastAsia"/>
          <w:b/>
          <w:bCs/>
          <w:rtl/>
        </w:rPr>
        <w:t>המשבר</w:t>
      </w:r>
    </w:p>
    <w:p w:rsidR="00E92F67" w:rsidRPr="00DC3374" w:rsidP="00E81188" w14:paraId="2011522C" w14:textId="77777777">
      <w:pPr>
        <w:spacing w:line="269" w:lineRule="auto"/>
        <w:ind w:right="-851"/>
        <w:rPr>
          <w:szCs w:val="20"/>
          <w:rtl/>
        </w:rPr>
      </w:pPr>
      <w:r w:rsidRPr="00DC3374">
        <w:rPr>
          <w:noProof/>
          <w:szCs w:val="20"/>
        </w:rPr>
        <w:drawing>
          <wp:anchor distT="0" distB="0" distL="114300" distR="114300" simplePos="0" relativeHeight="251672576" behindDoc="0" locked="0" layoutInCell="1" allowOverlap="1">
            <wp:simplePos x="0" y="0"/>
            <wp:positionH relativeFrom="margin">
              <wp:posOffset>4077335</wp:posOffset>
            </wp:positionH>
            <wp:positionV relativeFrom="paragraph">
              <wp:posOffset>189865</wp:posOffset>
            </wp:positionV>
            <wp:extent cx="1163986" cy="86400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43414" name="Picture 28"/>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63986" cy="864000"/>
                    </a:xfrm>
                    <a:prstGeom prst="rect">
                      <a:avLst/>
                    </a:prstGeom>
                    <a:noFill/>
                  </pic:spPr>
                </pic:pic>
              </a:graphicData>
            </a:graphic>
            <wp14:sizeRelH relativeFrom="margin">
              <wp14:pctWidth>0</wp14:pctWidth>
            </wp14:sizeRelH>
            <wp14:sizeRelV relativeFrom="margin">
              <wp14:pctHeight>0</wp14:pctHeight>
            </wp14:sizeRelV>
          </wp:anchor>
        </w:drawing>
      </w:r>
      <w:r w:rsidRPr="00DC3374">
        <w:rPr>
          <w:noProof/>
          <w:szCs w:val="20"/>
        </w:rPr>
        <w:drawing>
          <wp:inline distT="0" distB="0" distL="0" distR="0">
            <wp:extent cx="4295140" cy="1876422"/>
            <wp:effectExtent l="0" t="0" r="0" b="0"/>
            <wp:docPr id="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78798" name="Picture 26"/>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r="11650"/>
                    <a:stretch>
                      <a:fillRect/>
                    </a:stretch>
                  </pic:blipFill>
                  <pic:spPr bwMode="auto">
                    <a:xfrm>
                      <a:off x="0" y="0"/>
                      <a:ext cx="4339939" cy="18959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538A2558"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75C7861E" w14:textId="6D497C7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2713559" w14:textId="77777777">
      <w:pPr>
        <w:spacing w:line="269" w:lineRule="auto"/>
        <w:rPr>
          <w:rtl/>
        </w:rPr>
      </w:pPr>
      <w:r w:rsidRPr="00DC3374">
        <w:rPr>
          <w:rtl/>
        </w:rPr>
        <w:t xml:space="preserve">כרבע מהשיח </w:t>
      </w:r>
      <w:r w:rsidRPr="00DC3374">
        <w:rPr>
          <w:rFonts w:hint="cs"/>
          <w:rtl/>
        </w:rPr>
        <w:t xml:space="preserve">ברשתות החברתיות </w:t>
      </w:r>
      <w:r w:rsidRPr="00DC3374">
        <w:rPr>
          <w:rtl/>
        </w:rPr>
        <w:t>עסק בהש</w:t>
      </w:r>
      <w:r w:rsidRPr="00DC3374">
        <w:rPr>
          <w:rFonts w:hint="cs"/>
          <w:rtl/>
        </w:rPr>
        <w:t>פע</w:t>
      </w:r>
      <w:r w:rsidRPr="00DC3374">
        <w:rPr>
          <w:rtl/>
        </w:rPr>
        <w:t xml:space="preserve">ות הכלכליות של ההגבלות על </w:t>
      </w:r>
      <w:r w:rsidRPr="00DC3374">
        <w:rPr>
          <w:rFonts w:hint="cs"/>
          <w:rtl/>
        </w:rPr>
        <w:t xml:space="preserve">בתי </w:t>
      </w:r>
      <w:r w:rsidRPr="00DC3374">
        <w:rPr>
          <w:rtl/>
        </w:rPr>
        <w:t>העסק</w:t>
      </w:r>
      <w:r w:rsidRPr="00DC3374">
        <w:rPr>
          <w:rFonts w:hint="cs"/>
          <w:rtl/>
        </w:rPr>
        <w:t xml:space="preserve">, ובכלל זאת עלו </w:t>
      </w:r>
      <w:r w:rsidRPr="00DC3374">
        <w:rPr>
          <w:rtl/>
        </w:rPr>
        <w:t xml:space="preserve">טענות </w:t>
      </w:r>
      <w:r w:rsidRPr="00DC3374">
        <w:rPr>
          <w:rFonts w:hint="cs"/>
          <w:rtl/>
        </w:rPr>
        <w:t xml:space="preserve">על </w:t>
      </w:r>
      <w:r w:rsidRPr="00DC3374">
        <w:rPr>
          <w:rtl/>
        </w:rPr>
        <w:t xml:space="preserve">פגיעה </w:t>
      </w:r>
      <w:r w:rsidRPr="00DC3374">
        <w:rPr>
          <w:rFonts w:hint="cs"/>
          <w:rtl/>
        </w:rPr>
        <w:t>כלכלית בבעלי ה</w:t>
      </w:r>
      <w:r w:rsidRPr="00DC3374">
        <w:rPr>
          <w:rtl/>
        </w:rPr>
        <w:t>עסקים</w:t>
      </w:r>
      <w:r w:rsidRPr="00DC3374">
        <w:rPr>
          <w:rFonts w:hint="cs"/>
          <w:rtl/>
        </w:rPr>
        <w:t xml:space="preserve"> ועל היעדר מתווה ברור לפיצוים</w:t>
      </w:r>
      <w:r w:rsidRPr="00DC3374">
        <w:rPr>
          <w:rtl/>
        </w:rPr>
        <w:t xml:space="preserve">. </w:t>
      </w:r>
    </w:p>
    <w:p w:rsidR="00E92F67" w:rsidRPr="00DC3374" w:rsidP="00E81188" w14:paraId="4C1841F7" w14:textId="7E102AB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9A78822" w14:textId="09BA3740">
      <w:pPr>
        <w:spacing w:line="269" w:lineRule="auto"/>
        <w:rPr>
          <w:b/>
          <w:bCs/>
          <w:rtl/>
        </w:rPr>
      </w:pPr>
      <w:r w:rsidRPr="00DC3374">
        <w:rPr>
          <w:rFonts w:hint="cs"/>
          <w:b/>
          <w:bCs/>
          <w:rtl/>
        </w:rPr>
        <w:t xml:space="preserve">במרץ ובאפריל הציבור היה משוכנע במידה בינונית בלבד בדבר נחיצות ההנחיות הנוגעות לתו הסגול ולפתיחת בתי עסק; מיוני עלתה מידת השכנוע לרמה גבוהה; ופחתה במהלך הסגר השני - בספטמבר. </w:t>
      </w:r>
      <w:r w:rsidRPr="00DC3374">
        <w:rPr>
          <w:b/>
          <w:bCs/>
          <w:rtl/>
        </w:rPr>
        <w:t xml:space="preserve">לאורך כל התקופה </w:t>
      </w:r>
      <w:r w:rsidRPr="00DC3374">
        <w:rPr>
          <w:rFonts w:hint="eastAsia"/>
          <w:b/>
          <w:bCs/>
          <w:rtl/>
        </w:rPr>
        <w:t>שנבדקה</w:t>
      </w:r>
      <w:r w:rsidRPr="00DC3374">
        <w:rPr>
          <w:b/>
          <w:bCs/>
          <w:rtl/>
        </w:rPr>
        <w:t xml:space="preserve"> </w:t>
      </w:r>
      <w:r w:rsidRPr="00DC3374">
        <w:rPr>
          <w:rFonts w:hint="eastAsia"/>
          <w:b/>
          <w:bCs/>
          <w:rtl/>
        </w:rPr>
        <w:t>מידת</w:t>
      </w:r>
      <w:r w:rsidRPr="00DC3374">
        <w:rPr>
          <w:b/>
          <w:bCs/>
          <w:rtl/>
        </w:rPr>
        <w:t xml:space="preserve"> </w:t>
      </w:r>
      <w:r w:rsidRPr="00DC3374">
        <w:rPr>
          <w:rFonts w:hint="eastAsia"/>
          <w:b/>
          <w:bCs/>
          <w:rtl/>
        </w:rPr>
        <w:t>האמון</w:t>
      </w:r>
      <w:r w:rsidRPr="00DC3374">
        <w:rPr>
          <w:b/>
          <w:bCs/>
          <w:rtl/>
        </w:rPr>
        <w:t xml:space="preserve"> </w:t>
      </w:r>
      <w:r w:rsidRPr="00DC3374">
        <w:rPr>
          <w:rFonts w:hint="eastAsia"/>
          <w:b/>
          <w:bCs/>
          <w:rtl/>
        </w:rPr>
        <w:t>של</w:t>
      </w:r>
      <w:r w:rsidRPr="00DC3374">
        <w:rPr>
          <w:b/>
          <w:bCs/>
          <w:rtl/>
        </w:rPr>
        <w:t xml:space="preserve"> </w:t>
      </w:r>
      <w:r w:rsidRPr="00DC3374">
        <w:rPr>
          <w:rFonts w:hint="eastAsia"/>
          <w:b/>
          <w:bCs/>
          <w:rtl/>
        </w:rPr>
        <w:t>הציבור</w:t>
      </w:r>
      <w:r w:rsidRPr="00DC3374">
        <w:rPr>
          <w:b/>
          <w:bCs/>
          <w:rtl/>
        </w:rPr>
        <w:t xml:space="preserve"> </w:t>
      </w:r>
      <w:r w:rsidRPr="00DC3374">
        <w:rPr>
          <w:rFonts w:hint="eastAsia"/>
          <w:b/>
          <w:bCs/>
          <w:rtl/>
        </w:rPr>
        <w:t>בקובעי</w:t>
      </w:r>
      <w:r w:rsidRPr="00DC3374">
        <w:rPr>
          <w:b/>
          <w:bCs/>
          <w:rtl/>
        </w:rPr>
        <w:t xml:space="preserve"> </w:t>
      </w:r>
      <w:r w:rsidRPr="00DC3374">
        <w:rPr>
          <w:rFonts w:hint="eastAsia"/>
          <w:b/>
          <w:bCs/>
          <w:rtl/>
        </w:rPr>
        <w:t>המדיניות</w:t>
      </w:r>
      <w:r w:rsidRPr="00DC3374">
        <w:rPr>
          <w:b/>
          <w:bCs/>
          <w:rtl/>
        </w:rPr>
        <w:t xml:space="preserve"> </w:t>
      </w:r>
      <w:r w:rsidRPr="00DC3374">
        <w:rPr>
          <w:rFonts w:hint="eastAsia"/>
          <w:b/>
          <w:bCs/>
          <w:rtl/>
        </w:rPr>
        <w:t>הייתה</w:t>
      </w:r>
      <w:r w:rsidRPr="00DC3374">
        <w:rPr>
          <w:b/>
          <w:bCs/>
          <w:rtl/>
        </w:rPr>
        <w:t xml:space="preserve"> </w:t>
      </w:r>
      <w:r w:rsidRPr="00DC3374">
        <w:rPr>
          <w:rFonts w:hint="cs"/>
          <w:b/>
          <w:bCs/>
          <w:rtl/>
        </w:rPr>
        <w:t>מעטה (2.9)</w:t>
      </w:r>
      <w:r w:rsidRPr="00DC3374">
        <w:rPr>
          <w:b/>
          <w:bCs/>
          <w:rtl/>
        </w:rPr>
        <w:t xml:space="preserve">, </w:t>
      </w:r>
      <w:r w:rsidRPr="00DC3374">
        <w:rPr>
          <w:rFonts w:hint="eastAsia"/>
          <w:b/>
          <w:bCs/>
          <w:rtl/>
        </w:rPr>
        <w:t>מלבד</w:t>
      </w:r>
      <w:r w:rsidRPr="00DC3374">
        <w:rPr>
          <w:b/>
          <w:bCs/>
          <w:rtl/>
        </w:rPr>
        <w:t xml:space="preserve"> </w:t>
      </w:r>
      <w:r w:rsidRPr="00DC3374">
        <w:rPr>
          <w:rFonts w:hint="eastAsia"/>
          <w:b/>
          <w:bCs/>
          <w:rtl/>
        </w:rPr>
        <w:t>ב</w:t>
      </w:r>
      <w:r w:rsidRPr="00DC3374">
        <w:rPr>
          <w:b/>
          <w:bCs/>
          <w:rtl/>
        </w:rPr>
        <w:t>חודש יוני.</w:t>
      </w:r>
    </w:p>
    <w:p w:rsidR="00E92F67" w:rsidRPr="00DC3374" w:rsidP="00E81188" w14:paraId="0B1E644F" w14:textId="77777777">
      <w:pPr>
        <w:spacing w:line="269" w:lineRule="auto"/>
        <w:rPr>
          <w:rtl/>
        </w:rPr>
      </w:pPr>
    </w:p>
    <w:p w:rsidR="00E92F67" w:rsidRPr="00DC3374" w:rsidP="00E81188" w14:paraId="27FAEA04" w14:textId="77777777">
      <w:pPr>
        <w:pStyle w:val="Heading4"/>
        <w:spacing w:before="0" w:line="269" w:lineRule="auto"/>
        <w:rPr>
          <w:rtl/>
        </w:rPr>
      </w:pPr>
      <w:r w:rsidRPr="00DC3374">
        <w:rPr>
          <w:rFonts w:hint="cs"/>
          <w:rtl/>
        </w:rPr>
        <w:t>השיח על הדוגמה האישית של אנשי ציבור</w:t>
      </w:r>
    </w:p>
    <w:p w:rsidR="00E92F67" w:rsidRPr="00DC3374" w:rsidP="00E81188" w14:paraId="5FF06196" w14:textId="6931ACA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3DC91EF" w14:textId="569A8FBE">
      <w:pPr>
        <w:spacing w:line="269" w:lineRule="auto"/>
        <w:rPr>
          <w:rtl/>
        </w:rPr>
      </w:pPr>
      <w:r w:rsidRPr="00DC3374">
        <w:rPr>
          <w:rtl/>
        </w:rPr>
        <w:t>לדוגמ</w:t>
      </w:r>
      <w:r w:rsidRPr="00DC3374">
        <w:rPr>
          <w:rFonts w:hint="cs"/>
          <w:rtl/>
        </w:rPr>
        <w:t>ה</w:t>
      </w:r>
      <w:r w:rsidRPr="00DC3374">
        <w:rPr>
          <w:rtl/>
        </w:rPr>
        <w:t xml:space="preserve"> האישית </w:t>
      </w:r>
      <w:r w:rsidRPr="00DC3374">
        <w:rPr>
          <w:rFonts w:hint="cs"/>
          <w:rtl/>
        </w:rPr>
        <w:t xml:space="preserve">של אנשי ציבור </w:t>
      </w:r>
      <w:r w:rsidRPr="00DC3374">
        <w:rPr>
          <w:rtl/>
        </w:rPr>
        <w:t xml:space="preserve">יש השפעה רבה על אפקטיביות המסרים </w:t>
      </w:r>
      <w:r w:rsidRPr="00DC3374">
        <w:rPr>
          <w:rFonts w:hint="cs"/>
          <w:rtl/>
        </w:rPr>
        <w:t xml:space="preserve">לציבור בתקופת משבר </w:t>
      </w:r>
      <w:r w:rsidRPr="00DC3374">
        <w:rPr>
          <w:rtl/>
        </w:rPr>
        <w:t xml:space="preserve">וההנחיות </w:t>
      </w:r>
      <w:r w:rsidRPr="00DC3374">
        <w:rPr>
          <w:rFonts w:hint="cs"/>
          <w:rtl/>
        </w:rPr>
        <w:t xml:space="preserve">המגבילות את שגרת החיים </w:t>
      </w:r>
      <w:r w:rsidRPr="00DC3374">
        <w:rPr>
          <w:rtl/>
        </w:rPr>
        <w:t xml:space="preserve">ועל מידת החשיבות שהציבור מייחס </w:t>
      </w:r>
      <w:r w:rsidRPr="00DC3374">
        <w:rPr>
          <w:rFonts w:hint="cs"/>
          <w:rtl/>
        </w:rPr>
        <w:t>למסרים ולעמידה בהנחיות</w:t>
      </w:r>
      <w:r w:rsidRPr="00DC3374">
        <w:rPr>
          <w:rtl/>
        </w:rPr>
        <w:t>.</w:t>
      </w:r>
      <w:r w:rsidRPr="00DC3374">
        <w:rPr>
          <w:rFonts w:hint="cs"/>
          <w:rtl/>
        </w:rPr>
        <w:t xml:space="preserve"> ככל שהאמון שהציבור רוחש לקובעי המדיניות ולמקבלי ההחלטות גבוה יותר, כך עולה הסיכוי שהוא יקפיד לפעול בהתאם להגבלות שהם הטילו על שגרת החיים.</w:t>
      </w:r>
    </w:p>
    <w:p w:rsidR="00E92F67" w:rsidRPr="00DC3374" w:rsidP="00E81188" w14:paraId="5FD73A84" w14:textId="1BE4C34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81188" w:rsidP="00E81188" w14:paraId="16304B36" w14:textId="77777777">
      <w:pPr>
        <w:spacing w:line="269" w:lineRule="auto"/>
        <w:rPr>
          <w:szCs w:val="20"/>
          <w:rtl/>
        </w:rPr>
      </w:pPr>
      <w:r w:rsidRPr="00DC3374">
        <w:rPr>
          <w:rFonts w:hint="cs"/>
          <w:rtl/>
        </w:rPr>
        <w:t>נמצא כי 15% מכלל השיח ברשתות החברתיות בתקופה שנבדקה עסקו באנשי ציבור שלא הקפידו לציית להנחיות</w:t>
      </w:r>
      <w:r>
        <w:rPr>
          <w:rStyle w:val="FootnoteReference1"/>
          <w:rtl/>
        </w:rPr>
        <w:footnoteReference w:id="26"/>
      </w:r>
      <w:r w:rsidRPr="00DC3374">
        <w:rPr>
          <w:rFonts w:hint="cs"/>
          <w:rtl/>
        </w:rPr>
        <w:t>. ביותר מ-80% מאותם פוסטים נמדדה מידת אמון מעטה. דהיינו, אי-ההקפדה של אנשי ציבור על ההנחיות פגעה באמון הציבור במקבלי ההחלטות</w:t>
      </w:r>
      <w:r>
        <w:rPr>
          <w:rStyle w:val="FootnoteReference1"/>
          <w:rtl/>
        </w:rPr>
        <w:footnoteReference w:id="27"/>
      </w:r>
      <w:r w:rsidRPr="00DC3374">
        <w:rPr>
          <w:rFonts w:hint="cs"/>
          <w:rtl/>
        </w:rPr>
        <w:t>. להלן תרשים שמציג את התפלגות השיח בנושא הדוגמה האישית.</w:t>
      </w:r>
    </w:p>
    <w:p w:rsidR="00E81188" w:rsidP="00F26F18" w14:paraId="11E4570E" w14:textId="35D80963">
      <w:pPr>
        <w:spacing w:line="240" w:lineRule="auto"/>
        <w:rPr>
          <w:szCs w:val="20"/>
          <w:rtl/>
        </w:rPr>
      </w:pPr>
      <w:r>
        <w:rPr>
          <w:szCs w:val="20"/>
          <w:rtl/>
        </w:rPr>
        <w:br w:type="page"/>
      </w:r>
    </w:p>
    <w:p w:rsidR="00E81188" w:rsidP="00E81188" w14:paraId="2C21A493" w14:textId="6C58125D">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92F67" w:rsidRPr="00DC3374" w:rsidP="00F26F18" w14:paraId="2806E30C" w14:textId="09D0D901">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28</w:t>
      </w:r>
      <w:r w:rsidRPr="00DC3374">
        <w:rPr>
          <w:b/>
          <w:bCs/>
          <w:rtl/>
        </w:rPr>
        <w:t xml:space="preserve">: </w:t>
      </w:r>
      <w:r w:rsidRPr="00DC3374">
        <w:rPr>
          <w:rFonts w:hint="eastAsia"/>
          <w:b/>
          <w:bCs/>
          <w:rtl/>
        </w:rPr>
        <w:t>עיקרי</w:t>
      </w:r>
      <w:r w:rsidRPr="00DC3374">
        <w:rPr>
          <w:b/>
          <w:bCs/>
          <w:rtl/>
        </w:rPr>
        <w:t xml:space="preserve"> </w:t>
      </w:r>
      <w:r w:rsidRPr="00DC3374">
        <w:rPr>
          <w:rFonts w:hint="eastAsia"/>
          <w:b/>
          <w:bCs/>
          <w:rtl/>
        </w:rPr>
        <w:t>השיח</w:t>
      </w:r>
      <w:r w:rsidRPr="00DC3374">
        <w:rPr>
          <w:b/>
          <w:bCs/>
          <w:rtl/>
        </w:rPr>
        <w:t xml:space="preserve"> </w:t>
      </w:r>
      <w:r w:rsidRPr="00DC3374">
        <w:rPr>
          <w:rFonts w:hint="eastAsia"/>
          <w:b/>
          <w:bCs/>
          <w:rtl/>
        </w:rPr>
        <w:t>על</w:t>
      </w:r>
      <w:r w:rsidRPr="00DC3374">
        <w:rPr>
          <w:b/>
          <w:bCs/>
          <w:rtl/>
        </w:rPr>
        <w:t xml:space="preserve"> </w:t>
      </w:r>
      <w:r w:rsidRPr="00DC3374">
        <w:rPr>
          <w:rFonts w:hint="cs"/>
          <w:b/>
          <w:bCs/>
          <w:rtl/>
        </w:rPr>
        <w:t>ה</w:t>
      </w:r>
      <w:r w:rsidRPr="00DC3374">
        <w:rPr>
          <w:rFonts w:hint="eastAsia"/>
          <w:b/>
          <w:bCs/>
          <w:rtl/>
        </w:rPr>
        <w:t>דוגמה</w:t>
      </w:r>
      <w:r w:rsidRPr="00DC3374">
        <w:rPr>
          <w:b/>
          <w:bCs/>
          <w:rtl/>
        </w:rPr>
        <w:t xml:space="preserve"> </w:t>
      </w:r>
      <w:r w:rsidRPr="00DC3374">
        <w:rPr>
          <w:rFonts w:hint="cs"/>
          <w:b/>
          <w:bCs/>
          <w:rtl/>
        </w:rPr>
        <w:t>ה</w:t>
      </w:r>
      <w:r w:rsidRPr="00DC3374">
        <w:rPr>
          <w:rFonts w:hint="eastAsia"/>
          <w:b/>
          <w:bCs/>
          <w:rtl/>
        </w:rPr>
        <w:t>אישית</w:t>
      </w:r>
      <w:r w:rsidRPr="00DC3374">
        <w:rPr>
          <w:b/>
          <w:bCs/>
          <w:rtl/>
        </w:rPr>
        <w:t xml:space="preserve"> </w:t>
      </w:r>
      <w:r w:rsidRPr="00DC3374">
        <w:rPr>
          <w:rFonts w:hint="eastAsia"/>
          <w:b/>
          <w:bCs/>
          <w:rtl/>
        </w:rPr>
        <w:t>של</w:t>
      </w:r>
      <w:r w:rsidRPr="00DC3374">
        <w:rPr>
          <w:b/>
          <w:bCs/>
          <w:rtl/>
        </w:rPr>
        <w:t xml:space="preserve"> </w:t>
      </w:r>
      <w:r w:rsidRPr="00DC3374">
        <w:rPr>
          <w:rFonts w:hint="eastAsia"/>
          <w:b/>
          <w:bCs/>
          <w:rtl/>
        </w:rPr>
        <w:t>אנשי</w:t>
      </w:r>
      <w:r w:rsidRPr="00DC3374">
        <w:rPr>
          <w:b/>
          <w:bCs/>
          <w:rtl/>
        </w:rPr>
        <w:t xml:space="preserve"> </w:t>
      </w:r>
      <w:r w:rsidRPr="00DC3374">
        <w:rPr>
          <w:rFonts w:hint="eastAsia"/>
          <w:b/>
          <w:bCs/>
          <w:rtl/>
        </w:rPr>
        <w:t>ציבור</w:t>
      </w:r>
    </w:p>
    <w:p w:rsidR="00E92F67" w:rsidRPr="00DC3374" w:rsidP="00E81188" w14:paraId="2B4103F3" w14:textId="77777777">
      <w:pPr>
        <w:spacing w:line="269" w:lineRule="auto"/>
        <w:jc w:val="center"/>
        <w:rPr>
          <w:b/>
          <w:bCs/>
          <w:u w:val="single"/>
          <w:rtl/>
        </w:rPr>
      </w:pPr>
      <w:r w:rsidRPr="00DC3374">
        <w:rPr>
          <w:noProof/>
        </w:rPr>
        <w:drawing>
          <wp:inline distT="0" distB="0" distL="0" distR="0">
            <wp:extent cx="4817745" cy="1838325"/>
            <wp:effectExtent l="0" t="0" r="0" b="0"/>
            <wp:docPr id="120" name="תרשים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92F67" w:rsidRPr="00DC3374" w:rsidP="00E81188" w14:paraId="78414AC7" w14:textId="77777777">
      <w:pPr>
        <w:spacing w:line="269" w:lineRule="auto"/>
        <w:rPr>
          <w:szCs w:val="20"/>
          <w:rtl/>
        </w:rPr>
      </w:pPr>
      <w:r w:rsidRPr="00DC3374">
        <w:rPr>
          <w:szCs w:val="20"/>
          <w:rtl/>
        </w:rPr>
        <w:t>על פי ממצאי ניתוח השיח ברשתות החברתיות ממרץ עד אוקטובר 2020, בעיבוד משרד מבקר המדינה.</w:t>
      </w:r>
    </w:p>
    <w:p w:rsidR="00E92F67" w:rsidRPr="00DC3374" w:rsidP="00E81188" w14:paraId="7BDEBBC3" w14:textId="0FC3CAC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AD61144" w14:textId="77777777">
      <w:pPr>
        <w:spacing w:line="269" w:lineRule="auto"/>
        <w:rPr>
          <w:b/>
          <w:bCs/>
          <w:rtl/>
        </w:rPr>
      </w:pPr>
      <w:r w:rsidRPr="00DC3374">
        <w:rPr>
          <w:rFonts w:hint="cs"/>
          <w:b/>
          <w:bCs/>
          <w:rtl/>
        </w:rPr>
        <w:t xml:space="preserve">כמחצית מהשיח הנוגע לדוגמה אישית של אנשי ציבור בתקופה שנבדקה עסק אפוא בחובת הבידוד, ובמידה מצומצמת יותר - באיסור על התקהלויות, בסגר, בחובת עטיית המסכות ובבדיקות קורונה. </w:t>
      </w:r>
    </w:p>
    <w:p w:rsidR="00E92F67" w:rsidRPr="00DC3374" w:rsidP="00E81188" w14:paraId="7161270E" w14:textId="3776E58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7243D9F" w14:textId="77777777">
      <w:pPr>
        <w:spacing w:line="269" w:lineRule="auto"/>
        <w:rPr>
          <w:b/>
          <w:bCs/>
          <w:rtl/>
        </w:rPr>
      </w:pPr>
      <w:r w:rsidRPr="00DC3374">
        <w:rPr>
          <w:rFonts w:hint="eastAsia"/>
          <w:b/>
          <w:bCs/>
          <w:rtl/>
        </w:rPr>
        <w:t>כאמור</w:t>
      </w:r>
      <w:r w:rsidRPr="00DC3374">
        <w:rPr>
          <w:b/>
          <w:bCs/>
          <w:rtl/>
        </w:rPr>
        <w:t xml:space="preserve">, </w:t>
      </w:r>
      <w:r w:rsidRPr="00DC3374">
        <w:rPr>
          <w:rFonts w:hint="eastAsia"/>
          <w:b/>
          <w:bCs/>
          <w:rtl/>
        </w:rPr>
        <w:t>מדד</w:t>
      </w:r>
      <w:r w:rsidRPr="00DC3374">
        <w:rPr>
          <w:b/>
          <w:bCs/>
          <w:rtl/>
        </w:rPr>
        <w:t xml:space="preserve"> </w:t>
      </w:r>
      <w:r w:rsidRPr="00DC3374">
        <w:rPr>
          <w:rFonts w:hint="eastAsia"/>
          <w:b/>
          <w:bCs/>
          <w:rtl/>
        </w:rPr>
        <w:t>האמון</w:t>
      </w:r>
      <w:r w:rsidRPr="00DC3374">
        <w:rPr>
          <w:b/>
          <w:bCs/>
          <w:rtl/>
        </w:rPr>
        <w:t xml:space="preserve"> </w:t>
      </w:r>
      <w:r w:rsidRPr="00DC3374">
        <w:rPr>
          <w:rFonts w:hint="eastAsia"/>
          <w:b/>
          <w:bCs/>
          <w:rtl/>
        </w:rPr>
        <w:t>הכללי</w:t>
      </w:r>
      <w:r w:rsidRPr="00DC3374">
        <w:rPr>
          <w:b/>
          <w:bCs/>
          <w:rtl/>
        </w:rPr>
        <w:t xml:space="preserve"> </w:t>
      </w:r>
      <w:r w:rsidRPr="00DC3374">
        <w:rPr>
          <w:rFonts w:hint="eastAsia"/>
          <w:b/>
          <w:bCs/>
          <w:rtl/>
        </w:rPr>
        <w:t>בשיח</w:t>
      </w:r>
      <w:r w:rsidRPr="00DC3374">
        <w:rPr>
          <w:b/>
          <w:bCs/>
          <w:rtl/>
        </w:rPr>
        <w:t xml:space="preserve"> ברשתות </w:t>
      </w:r>
      <w:r w:rsidRPr="00DC3374">
        <w:rPr>
          <w:rFonts w:hint="eastAsia"/>
          <w:b/>
          <w:bCs/>
          <w:rtl/>
        </w:rPr>
        <w:t>ממרץ</w:t>
      </w:r>
      <w:r w:rsidRPr="00DC3374">
        <w:rPr>
          <w:b/>
          <w:bCs/>
          <w:rtl/>
        </w:rPr>
        <w:t xml:space="preserve"> </w:t>
      </w:r>
      <w:r w:rsidRPr="00DC3374">
        <w:rPr>
          <w:rFonts w:hint="eastAsia"/>
          <w:b/>
          <w:bCs/>
          <w:rtl/>
        </w:rPr>
        <w:t>עד</w:t>
      </w:r>
      <w:r w:rsidRPr="00DC3374">
        <w:rPr>
          <w:b/>
          <w:bCs/>
          <w:rtl/>
        </w:rPr>
        <w:t xml:space="preserve"> </w:t>
      </w:r>
      <w:r w:rsidRPr="00DC3374">
        <w:rPr>
          <w:rFonts w:hint="eastAsia"/>
          <w:b/>
          <w:bCs/>
          <w:rtl/>
        </w:rPr>
        <w:t>אוקטובר</w:t>
      </w:r>
      <w:r w:rsidRPr="00DC3374">
        <w:rPr>
          <w:b/>
          <w:bCs/>
          <w:rtl/>
        </w:rPr>
        <w:t xml:space="preserve"> </w:t>
      </w:r>
      <w:r w:rsidRPr="00DC3374">
        <w:rPr>
          <w:rFonts w:hint="cs"/>
          <w:b/>
          <w:bCs/>
          <w:rtl/>
        </w:rPr>
        <w:t>2020 קיבל</w:t>
      </w:r>
      <w:r w:rsidRPr="00DC3374">
        <w:rPr>
          <w:b/>
          <w:bCs/>
          <w:rtl/>
        </w:rPr>
        <w:t xml:space="preserve"> </w:t>
      </w:r>
      <w:r w:rsidRPr="00DC3374">
        <w:rPr>
          <w:rFonts w:hint="eastAsia"/>
          <w:b/>
          <w:bCs/>
          <w:rtl/>
        </w:rPr>
        <w:t>ציון</w:t>
      </w:r>
      <w:r w:rsidRPr="00DC3374">
        <w:rPr>
          <w:b/>
          <w:bCs/>
          <w:rtl/>
        </w:rPr>
        <w:t xml:space="preserve"> ממוצע 3</w:t>
      </w:r>
      <w:r w:rsidRPr="00DC3374">
        <w:rPr>
          <w:rFonts w:hint="cs"/>
          <w:b/>
          <w:bCs/>
          <w:rtl/>
        </w:rPr>
        <w:t xml:space="preserve"> (בדירוג של 0 - 10)</w:t>
      </w:r>
      <w:r w:rsidRPr="00DC3374">
        <w:rPr>
          <w:b/>
          <w:bCs/>
          <w:rtl/>
        </w:rPr>
        <w:t xml:space="preserve">. עם זאת, מידת האמון של הציבור </w:t>
      </w:r>
      <w:r w:rsidRPr="00DC3374">
        <w:rPr>
          <w:rFonts w:hint="cs"/>
          <w:b/>
          <w:bCs/>
          <w:rtl/>
        </w:rPr>
        <w:t>באנשי</w:t>
      </w:r>
      <w:r w:rsidRPr="00DC3374">
        <w:rPr>
          <w:b/>
          <w:bCs/>
          <w:rtl/>
        </w:rPr>
        <w:t xml:space="preserve"> הציבור </w:t>
      </w:r>
      <w:r w:rsidRPr="00DC3374">
        <w:rPr>
          <w:rFonts w:hint="cs"/>
          <w:b/>
          <w:bCs/>
          <w:rtl/>
        </w:rPr>
        <w:t>לנוכח</w:t>
      </w:r>
      <w:r w:rsidRPr="00DC3374">
        <w:rPr>
          <w:b/>
          <w:bCs/>
          <w:rtl/>
        </w:rPr>
        <w:t xml:space="preserve"> מקרים שבהם לא שימשו דוגמה אישית הולמת לעמידה בהנחיות המגבילות את שגרת החיים הייתה </w:t>
      </w:r>
      <w:r w:rsidRPr="00DC3374">
        <w:rPr>
          <w:rFonts w:hint="cs"/>
          <w:b/>
          <w:bCs/>
          <w:rtl/>
        </w:rPr>
        <w:t>מעטה</w:t>
      </w:r>
      <w:r w:rsidRPr="00DC3374">
        <w:rPr>
          <w:b/>
          <w:bCs/>
          <w:rtl/>
        </w:rPr>
        <w:t xml:space="preserve"> </w:t>
      </w:r>
      <w:r w:rsidRPr="00DC3374">
        <w:rPr>
          <w:rFonts w:hint="eastAsia"/>
          <w:b/>
          <w:bCs/>
          <w:rtl/>
        </w:rPr>
        <w:t>עוד</w:t>
      </w:r>
      <w:r w:rsidRPr="00DC3374">
        <w:rPr>
          <w:b/>
          <w:bCs/>
          <w:rtl/>
        </w:rPr>
        <w:t xml:space="preserve"> </w:t>
      </w:r>
      <w:r w:rsidRPr="00DC3374">
        <w:rPr>
          <w:rFonts w:hint="eastAsia"/>
          <w:b/>
          <w:bCs/>
          <w:rtl/>
        </w:rPr>
        <w:t>יותר</w:t>
      </w:r>
      <w:r w:rsidRPr="00DC3374">
        <w:rPr>
          <w:b/>
          <w:bCs/>
          <w:rtl/>
        </w:rPr>
        <w:t xml:space="preserve"> </w:t>
      </w:r>
      <w:r w:rsidRPr="00DC3374">
        <w:rPr>
          <w:rFonts w:hint="cs"/>
          <w:b/>
          <w:bCs/>
          <w:rtl/>
        </w:rPr>
        <w:t>-</w:t>
      </w:r>
      <w:r w:rsidRPr="00DC3374">
        <w:rPr>
          <w:b/>
          <w:bCs/>
          <w:rtl/>
        </w:rPr>
        <w:t xml:space="preserve"> 0.8. אמון נמוך של הציבור </w:t>
      </w:r>
      <w:r w:rsidRPr="00DC3374">
        <w:rPr>
          <w:rFonts w:hint="cs"/>
          <w:b/>
          <w:bCs/>
          <w:rtl/>
        </w:rPr>
        <w:t>באנשי</w:t>
      </w:r>
      <w:r w:rsidRPr="00DC3374">
        <w:rPr>
          <w:b/>
          <w:bCs/>
          <w:rtl/>
        </w:rPr>
        <w:t xml:space="preserve"> הציבור עלול לצמצם במידה ניכרת את הציות להנחיות</w:t>
      </w:r>
      <w:r w:rsidRPr="00DC3374">
        <w:rPr>
          <w:rFonts w:hint="cs"/>
          <w:b/>
          <w:bCs/>
          <w:rtl/>
        </w:rPr>
        <w:t>, ולפיכך מהווה אתגר לגורמי ההסברה, אשר נדרשים לשכנע את הציבור בנחיצות ההנחיות</w:t>
      </w:r>
      <w:r w:rsidRPr="00DC3374">
        <w:rPr>
          <w:b/>
          <w:bCs/>
          <w:rtl/>
        </w:rPr>
        <w:t>.</w:t>
      </w:r>
    </w:p>
    <w:p w:rsidR="00E92F67" w:rsidRPr="00DC3374" w:rsidP="00E81188" w14:paraId="045CC838" w14:textId="77777777">
      <w:pPr>
        <w:spacing w:line="269" w:lineRule="auto"/>
        <w:jc w:val="center"/>
        <w:rPr>
          <w:rFonts w:ascii="Arial" w:hAnsi="Arial" w:cs="Arial"/>
          <w:b/>
          <w:bCs/>
          <w:sz w:val="36"/>
          <w:rtl/>
        </w:rPr>
      </w:pPr>
      <w:r w:rsidRPr="00DC3374">
        <w:rPr>
          <w:rFonts w:ascii="Segoe UI Symbol" w:hAnsi="Segoe UI Symbol" w:cs="Segoe UI Symbol" w:hint="cs"/>
          <w:b/>
          <w:bCs/>
          <w:sz w:val="36"/>
          <w:rtl/>
        </w:rPr>
        <w:t>✰</w:t>
      </w:r>
    </w:p>
    <w:p w:rsidR="00E92F67" w:rsidRPr="00DC3374" w:rsidP="00E81188" w14:paraId="7679BC72" w14:textId="49F1DD8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73F52C8" w14:textId="77777777">
      <w:pPr>
        <w:spacing w:line="269" w:lineRule="auto"/>
        <w:rPr>
          <w:b/>
          <w:bCs/>
          <w:rtl/>
        </w:rPr>
      </w:pPr>
      <w:r w:rsidRPr="00DC3374">
        <w:rPr>
          <w:rFonts w:hint="eastAsia"/>
          <w:b/>
          <w:bCs/>
          <w:rtl/>
        </w:rPr>
        <w:t>מדדי</w:t>
      </w:r>
      <w:r w:rsidRPr="00DC3374">
        <w:rPr>
          <w:b/>
          <w:bCs/>
          <w:rtl/>
        </w:rPr>
        <w:t xml:space="preserve"> </w:t>
      </w:r>
      <w:r w:rsidRPr="00DC3374">
        <w:rPr>
          <w:rFonts w:hint="eastAsia"/>
          <w:b/>
          <w:bCs/>
          <w:rtl/>
        </w:rPr>
        <w:t>ההבנה</w:t>
      </w:r>
      <w:r w:rsidRPr="00DC3374">
        <w:rPr>
          <w:rFonts w:hint="cs"/>
          <w:b/>
          <w:bCs/>
          <w:rtl/>
        </w:rPr>
        <w:t xml:space="preserve"> ו</w:t>
      </w:r>
      <w:r w:rsidRPr="00DC3374">
        <w:rPr>
          <w:rFonts w:hint="eastAsia"/>
          <w:b/>
          <w:bCs/>
          <w:rtl/>
        </w:rPr>
        <w:t>השכנוע</w:t>
      </w:r>
      <w:r w:rsidRPr="00DC3374">
        <w:rPr>
          <w:b/>
          <w:bCs/>
          <w:rtl/>
        </w:rPr>
        <w:t xml:space="preserve"> </w:t>
      </w:r>
      <w:r w:rsidRPr="00DC3374">
        <w:rPr>
          <w:rFonts w:hint="eastAsia"/>
          <w:b/>
          <w:bCs/>
          <w:rtl/>
        </w:rPr>
        <w:t>מלמדים</w:t>
      </w:r>
      <w:r w:rsidRPr="00DC3374">
        <w:rPr>
          <w:b/>
          <w:bCs/>
          <w:rtl/>
        </w:rPr>
        <w:t xml:space="preserve"> </w:t>
      </w:r>
      <w:r w:rsidRPr="00DC3374">
        <w:rPr>
          <w:rFonts w:hint="eastAsia"/>
          <w:b/>
          <w:bCs/>
          <w:rtl/>
        </w:rPr>
        <w:t>על</w:t>
      </w:r>
      <w:r w:rsidRPr="00DC3374">
        <w:rPr>
          <w:b/>
          <w:bCs/>
          <w:rtl/>
        </w:rPr>
        <w:t xml:space="preserve"> </w:t>
      </w:r>
      <w:r w:rsidRPr="00DC3374">
        <w:rPr>
          <w:rFonts w:hint="eastAsia"/>
          <w:b/>
          <w:bCs/>
          <w:rtl/>
        </w:rPr>
        <w:t>האופן</w:t>
      </w:r>
      <w:r w:rsidRPr="00DC3374">
        <w:rPr>
          <w:b/>
          <w:bCs/>
          <w:rtl/>
        </w:rPr>
        <w:t xml:space="preserve"> </w:t>
      </w:r>
      <w:r w:rsidRPr="00DC3374">
        <w:rPr>
          <w:rFonts w:hint="eastAsia"/>
          <w:b/>
          <w:bCs/>
          <w:rtl/>
        </w:rPr>
        <w:t>שבו</w:t>
      </w:r>
      <w:r w:rsidRPr="00DC3374">
        <w:rPr>
          <w:b/>
          <w:bCs/>
          <w:rtl/>
        </w:rPr>
        <w:t xml:space="preserve"> </w:t>
      </w:r>
      <w:r w:rsidRPr="00DC3374">
        <w:rPr>
          <w:rFonts w:hint="eastAsia"/>
          <w:b/>
          <w:bCs/>
          <w:rtl/>
        </w:rPr>
        <w:t>הציבור</w:t>
      </w:r>
      <w:r w:rsidRPr="00DC3374">
        <w:rPr>
          <w:b/>
          <w:bCs/>
          <w:rtl/>
        </w:rPr>
        <w:t xml:space="preserve"> </w:t>
      </w:r>
      <w:r w:rsidRPr="00DC3374">
        <w:rPr>
          <w:rFonts w:hint="eastAsia"/>
          <w:b/>
          <w:bCs/>
          <w:rtl/>
        </w:rPr>
        <w:t>תפס</w:t>
      </w:r>
      <w:r w:rsidRPr="00DC3374">
        <w:rPr>
          <w:b/>
          <w:bCs/>
          <w:rtl/>
        </w:rPr>
        <w:t xml:space="preserve"> </w:t>
      </w:r>
      <w:r w:rsidRPr="00DC3374">
        <w:rPr>
          <w:rFonts w:hint="eastAsia"/>
          <w:b/>
          <w:bCs/>
          <w:rtl/>
        </w:rPr>
        <w:t>את</w:t>
      </w:r>
      <w:r w:rsidRPr="00DC3374">
        <w:rPr>
          <w:b/>
          <w:bCs/>
          <w:rtl/>
        </w:rPr>
        <w:t xml:space="preserve"> </w:t>
      </w:r>
      <w:r w:rsidRPr="00DC3374">
        <w:rPr>
          <w:rFonts w:hint="eastAsia"/>
          <w:b/>
          <w:bCs/>
          <w:rtl/>
        </w:rPr>
        <w:t>ההנחיות</w:t>
      </w:r>
      <w:r w:rsidRPr="00DC3374">
        <w:rPr>
          <w:b/>
          <w:bCs/>
          <w:rtl/>
        </w:rPr>
        <w:t xml:space="preserve"> </w:t>
      </w:r>
      <w:r w:rsidRPr="00DC3374">
        <w:rPr>
          <w:rFonts w:hint="eastAsia"/>
          <w:b/>
          <w:bCs/>
          <w:rtl/>
        </w:rPr>
        <w:t>להתנהגות</w:t>
      </w:r>
      <w:r w:rsidRPr="00DC3374">
        <w:rPr>
          <w:b/>
          <w:bCs/>
          <w:rtl/>
        </w:rPr>
        <w:t xml:space="preserve"> </w:t>
      </w:r>
      <w:r w:rsidRPr="00DC3374">
        <w:rPr>
          <w:rFonts w:hint="eastAsia"/>
          <w:b/>
          <w:bCs/>
          <w:rtl/>
        </w:rPr>
        <w:t>במהלך</w:t>
      </w:r>
      <w:r w:rsidRPr="00DC3374">
        <w:rPr>
          <w:b/>
          <w:bCs/>
          <w:rtl/>
        </w:rPr>
        <w:t xml:space="preserve"> </w:t>
      </w:r>
      <w:r w:rsidRPr="00DC3374">
        <w:rPr>
          <w:rFonts w:hint="eastAsia"/>
          <w:b/>
          <w:bCs/>
          <w:rtl/>
        </w:rPr>
        <w:t>משבר</w:t>
      </w:r>
      <w:r w:rsidRPr="00DC3374">
        <w:rPr>
          <w:b/>
          <w:bCs/>
          <w:rtl/>
        </w:rPr>
        <w:t xml:space="preserve"> </w:t>
      </w:r>
      <w:r w:rsidRPr="00DC3374">
        <w:rPr>
          <w:rFonts w:hint="eastAsia"/>
          <w:b/>
          <w:bCs/>
          <w:rtl/>
        </w:rPr>
        <w:t>הקורונה</w:t>
      </w:r>
      <w:r w:rsidRPr="00DC3374">
        <w:rPr>
          <w:b/>
          <w:bCs/>
          <w:rtl/>
        </w:rPr>
        <w:t xml:space="preserve"> </w:t>
      </w:r>
      <w:r w:rsidRPr="00DC3374">
        <w:rPr>
          <w:rFonts w:hint="eastAsia"/>
          <w:b/>
          <w:bCs/>
          <w:rtl/>
        </w:rPr>
        <w:t>ועל</w:t>
      </w:r>
      <w:r w:rsidRPr="00DC3374">
        <w:rPr>
          <w:b/>
          <w:bCs/>
          <w:rtl/>
        </w:rPr>
        <w:t xml:space="preserve"> </w:t>
      </w:r>
      <w:r w:rsidRPr="00DC3374">
        <w:rPr>
          <w:rFonts w:hint="eastAsia"/>
          <w:b/>
          <w:bCs/>
          <w:rtl/>
        </w:rPr>
        <w:t>האתגרים</w:t>
      </w:r>
      <w:r w:rsidRPr="00DC3374">
        <w:rPr>
          <w:b/>
          <w:bCs/>
          <w:rtl/>
        </w:rPr>
        <w:t xml:space="preserve"> </w:t>
      </w:r>
      <w:r w:rsidRPr="00DC3374">
        <w:rPr>
          <w:rFonts w:hint="eastAsia"/>
          <w:b/>
          <w:bCs/>
          <w:rtl/>
        </w:rPr>
        <w:t>שעמדו</w:t>
      </w:r>
      <w:r w:rsidRPr="00DC3374">
        <w:rPr>
          <w:b/>
          <w:bCs/>
          <w:rtl/>
        </w:rPr>
        <w:t xml:space="preserve"> </w:t>
      </w:r>
      <w:r w:rsidRPr="00DC3374">
        <w:rPr>
          <w:rFonts w:hint="cs"/>
          <w:b/>
          <w:bCs/>
          <w:rtl/>
        </w:rPr>
        <w:t>ב</w:t>
      </w:r>
      <w:r w:rsidRPr="00DC3374">
        <w:rPr>
          <w:rFonts w:hint="eastAsia"/>
          <w:b/>
          <w:bCs/>
          <w:rtl/>
        </w:rPr>
        <w:t>פני</w:t>
      </w:r>
      <w:r w:rsidRPr="00DC3374">
        <w:rPr>
          <w:b/>
          <w:bCs/>
          <w:rtl/>
        </w:rPr>
        <w:t xml:space="preserve"> </w:t>
      </w:r>
      <w:r w:rsidRPr="00DC3374">
        <w:rPr>
          <w:rFonts w:hint="eastAsia"/>
          <w:b/>
          <w:bCs/>
          <w:rtl/>
        </w:rPr>
        <w:t>הגורמים</w:t>
      </w:r>
      <w:r w:rsidRPr="00DC3374">
        <w:rPr>
          <w:b/>
          <w:bCs/>
          <w:rtl/>
        </w:rPr>
        <w:t xml:space="preserve"> </w:t>
      </w:r>
      <w:r w:rsidRPr="00DC3374">
        <w:rPr>
          <w:rFonts w:hint="eastAsia"/>
          <w:b/>
          <w:bCs/>
          <w:rtl/>
        </w:rPr>
        <w:t>האחראים</w:t>
      </w:r>
      <w:r w:rsidRPr="00DC3374">
        <w:rPr>
          <w:b/>
          <w:bCs/>
          <w:rtl/>
        </w:rPr>
        <w:t xml:space="preserve"> </w:t>
      </w:r>
      <w:r w:rsidRPr="00DC3374">
        <w:rPr>
          <w:rFonts w:hint="eastAsia"/>
          <w:b/>
          <w:bCs/>
          <w:rtl/>
        </w:rPr>
        <w:t>להסברה</w:t>
      </w:r>
      <w:r w:rsidRPr="00DC3374">
        <w:rPr>
          <w:b/>
          <w:bCs/>
          <w:rtl/>
        </w:rPr>
        <w:t>.</w:t>
      </w:r>
      <w:r w:rsidRPr="00DC3374">
        <w:rPr>
          <w:rFonts w:hint="cs"/>
          <w:b/>
          <w:bCs/>
          <w:noProof/>
          <w:rtl/>
        </w:rPr>
        <w:t xml:space="preserve"> עלה כי </w:t>
      </w:r>
      <w:r w:rsidRPr="00DC3374">
        <w:rPr>
          <w:b/>
          <w:bCs/>
          <w:noProof/>
          <w:rtl/>
        </w:rPr>
        <w:t>כ-34% מכלל הציבור סברו שההגבלות לא הוסברו באופן ברור</w:t>
      </w:r>
      <w:r w:rsidRPr="00DC3374">
        <w:rPr>
          <w:rFonts w:hint="cs"/>
          <w:b/>
          <w:bCs/>
          <w:noProof/>
          <w:rtl/>
        </w:rPr>
        <w:t>,</w:t>
      </w:r>
      <w:r w:rsidRPr="00DC3374">
        <w:rPr>
          <w:b/>
          <w:bCs/>
          <w:noProof/>
          <w:rtl/>
        </w:rPr>
        <w:t xml:space="preserve"> ו-36% סברו כי ההיגיון שבהן לא היה מובן. </w:t>
      </w:r>
      <w:r w:rsidRPr="00DC3374">
        <w:rPr>
          <w:rFonts w:hint="cs"/>
          <w:b/>
          <w:bCs/>
          <w:noProof/>
          <w:rtl/>
        </w:rPr>
        <w:t xml:space="preserve">ממצאי הביקורת מלמדים </w:t>
      </w:r>
      <w:r w:rsidRPr="00DC3374">
        <w:rPr>
          <w:rFonts w:hint="cs"/>
          <w:b/>
          <w:bCs/>
          <w:rtl/>
        </w:rPr>
        <w:t>שככלל, מי שסמך על הגורמים האחראים לניהול המשבר בדבר ההגבלות שהוטלו על הציבור במהלך משבר הקורונה, סבר כי ההגבלות הוסברו היטב והן הגיוניות.</w:t>
      </w:r>
      <w:r w:rsidRPr="00DC3374">
        <w:rPr>
          <w:rFonts w:hint="cs"/>
          <w:rtl/>
        </w:rPr>
        <w:t xml:space="preserve"> </w:t>
      </w:r>
    </w:p>
    <w:p w:rsidR="00E92F67" w:rsidRPr="00DC3374" w:rsidP="00E81188" w14:paraId="135795C1" w14:textId="78F5C2F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218D173" w14:textId="77777777">
      <w:pPr>
        <w:spacing w:line="269" w:lineRule="auto"/>
        <w:rPr>
          <w:rtl/>
        </w:rPr>
      </w:pPr>
      <w:r w:rsidRPr="00DC3374">
        <w:rPr>
          <w:rFonts w:hint="eastAsia"/>
          <w:b/>
          <w:bCs/>
          <w:rtl/>
        </w:rPr>
        <w:t>גורמי</w:t>
      </w:r>
      <w:r w:rsidRPr="00DC3374">
        <w:rPr>
          <w:b/>
          <w:bCs/>
          <w:rtl/>
        </w:rPr>
        <w:t xml:space="preserve"> ההסברה הצליחו להסביר לציבור </w:t>
      </w:r>
      <w:r w:rsidRPr="00DC3374">
        <w:rPr>
          <w:rFonts w:hint="cs"/>
          <w:b/>
          <w:bCs/>
          <w:rtl/>
        </w:rPr>
        <w:t>את רוב ה</w:t>
      </w:r>
      <w:r w:rsidRPr="00DC3374">
        <w:rPr>
          <w:b/>
          <w:bCs/>
          <w:rtl/>
        </w:rPr>
        <w:t xml:space="preserve">הגבלות </w:t>
      </w:r>
      <w:r w:rsidRPr="00DC3374">
        <w:rPr>
          <w:rFonts w:hint="cs"/>
          <w:b/>
          <w:bCs/>
          <w:rtl/>
        </w:rPr>
        <w:t>רק</w:t>
      </w:r>
      <w:r w:rsidRPr="00DC3374">
        <w:rPr>
          <w:b/>
          <w:bCs/>
          <w:rtl/>
        </w:rPr>
        <w:t xml:space="preserve"> </w:t>
      </w:r>
      <w:r w:rsidRPr="00DC3374">
        <w:rPr>
          <w:rFonts w:hint="cs"/>
          <w:b/>
          <w:bCs/>
          <w:rtl/>
        </w:rPr>
        <w:t>במידה בינונית, וככלל, הציבור נתן אמון מצומצם בלבד בגורמים האחראים לניהול המשבר. שכנוע ברמה בינונית בדבר נחיצות ההגבלות ומידה מעטה של אמון בגורמים שקבעו אותן מגדילים את הסיכון לאי-ציות הציבור להנחיות גורמי הממשל.</w:t>
      </w:r>
      <w:r w:rsidRPr="00DC3374">
        <w:rPr>
          <w:b/>
          <w:bCs/>
          <w:rtl/>
        </w:rPr>
        <w:t xml:space="preserve"> </w:t>
      </w:r>
    </w:p>
    <w:p w:rsidR="00E92F67" w:rsidRPr="00DC3374" w:rsidP="00E81188" w14:paraId="2D27F56E" w14:textId="465FE62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0FF4FD4" w14:textId="77777777">
      <w:pPr>
        <w:spacing w:line="269" w:lineRule="auto"/>
        <w:rPr>
          <w:b/>
          <w:bCs/>
          <w:rtl/>
        </w:rPr>
      </w:pPr>
      <w:r w:rsidRPr="00DC3374">
        <w:rPr>
          <w:rFonts w:hint="cs"/>
          <w:b/>
          <w:bCs/>
          <w:rtl/>
        </w:rPr>
        <w:t xml:space="preserve">בשנת 2020 נדרשה </w:t>
      </w:r>
      <w:r w:rsidRPr="00DC3374">
        <w:rPr>
          <w:rFonts w:hint="eastAsia"/>
          <w:b/>
          <w:bCs/>
          <w:rtl/>
        </w:rPr>
        <w:t>מדינ</w:t>
      </w:r>
      <w:r w:rsidRPr="00DC3374">
        <w:rPr>
          <w:rFonts w:hint="cs"/>
          <w:b/>
          <w:bCs/>
          <w:rtl/>
        </w:rPr>
        <w:t>ת</w:t>
      </w:r>
      <w:r w:rsidRPr="00DC3374">
        <w:rPr>
          <w:b/>
          <w:bCs/>
          <w:rtl/>
        </w:rPr>
        <w:t xml:space="preserve"> ישראל לראשונה להתמודד עם משבר </w:t>
      </w:r>
      <w:r w:rsidRPr="00DC3374">
        <w:rPr>
          <w:rFonts w:hint="eastAsia"/>
          <w:b/>
          <w:bCs/>
          <w:rtl/>
        </w:rPr>
        <w:t>אפידימיולוגי</w:t>
      </w:r>
      <w:r w:rsidRPr="00DC3374">
        <w:rPr>
          <w:b/>
          <w:bCs/>
          <w:rtl/>
        </w:rPr>
        <w:t xml:space="preserve"> נרחב. בתוך כך</w:t>
      </w:r>
      <w:r w:rsidRPr="00DC3374">
        <w:rPr>
          <w:rFonts w:hint="cs"/>
          <w:b/>
          <w:bCs/>
          <w:rtl/>
        </w:rPr>
        <w:t>,</w:t>
      </w:r>
      <w:r w:rsidRPr="00DC3374">
        <w:rPr>
          <w:b/>
          <w:bCs/>
          <w:rtl/>
        </w:rPr>
        <w:t xml:space="preserve"> במהלך ניהול המשבר</w:t>
      </w:r>
      <w:r w:rsidRPr="00DC3374">
        <w:rPr>
          <w:rFonts w:hint="cs"/>
          <w:b/>
          <w:bCs/>
          <w:rtl/>
        </w:rPr>
        <w:t>,</w:t>
      </w:r>
      <w:r w:rsidRPr="00DC3374">
        <w:rPr>
          <w:b/>
          <w:bCs/>
          <w:rtl/>
        </w:rPr>
        <w:t xml:space="preserve"> נדרש גם מערך ההסברה לספק מענה </w:t>
      </w:r>
      <w:r w:rsidRPr="00DC3374">
        <w:rPr>
          <w:rFonts w:hint="eastAsia"/>
          <w:b/>
          <w:bCs/>
          <w:rtl/>
        </w:rPr>
        <w:t>בתנאים</w:t>
      </w:r>
      <w:r w:rsidRPr="00DC3374">
        <w:rPr>
          <w:b/>
          <w:bCs/>
          <w:rtl/>
        </w:rPr>
        <w:t xml:space="preserve"> מורכבים. </w:t>
      </w:r>
      <w:r w:rsidRPr="00DC3374">
        <w:rPr>
          <w:rFonts w:hint="cs"/>
          <w:b/>
          <w:bCs/>
          <w:rtl/>
        </w:rPr>
        <w:t xml:space="preserve">במהלך המשבר ביצעו משרד הבריאות ופקע"ר סקרים בקרב האוכלוסייה, ובכלל זאת סקרים לבדיקת אפקטיביות פעולות ההסברה וכן סקרים לבדיקת אמון הציבור בגורמים המנהלים את המשבר ומידת הציות של הציבור להנחיות. </w:t>
      </w:r>
    </w:p>
    <w:p w:rsidR="00E92F67" w:rsidRPr="00DC3374" w:rsidP="00E81188" w14:paraId="0DA6742D" w14:textId="15E6AB9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45C39513" w14:textId="77777777">
      <w:pPr>
        <w:spacing w:line="269" w:lineRule="auto"/>
        <w:rPr>
          <w:b/>
          <w:bCs/>
          <w:rtl/>
        </w:rPr>
      </w:pPr>
      <w:r w:rsidRPr="00DC3374">
        <w:rPr>
          <w:b/>
          <w:bCs/>
          <w:rtl/>
        </w:rPr>
        <w:t xml:space="preserve">מוצע על כן כי </w:t>
      </w:r>
      <w:r w:rsidRPr="00DC3374">
        <w:rPr>
          <w:rFonts w:hint="eastAsia"/>
          <w:b/>
          <w:bCs/>
          <w:rtl/>
        </w:rPr>
        <w:t>המסקנות</w:t>
      </w:r>
      <w:r w:rsidRPr="00DC3374">
        <w:rPr>
          <w:b/>
          <w:bCs/>
          <w:rtl/>
        </w:rPr>
        <w:t xml:space="preserve"> </w:t>
      </w:r>
      <w:r w:rsidRPr="00DC3374">
        <w:rPr>
          <w:rFonts w:hint="eastAsia"/>
          <w:b/>
          <w:bCs/>
          <w:rtl/>
        </w:rPr>
        <w:t>המובאות</w:t>
      </w:r>
      <w:r w:rsidRPr="00DC3374">
        <w:rPr>
          <w:b/>
          <w:bCs/>
          <w:rtl/>
        </w:rPr>
        <w:t xml:space="preserve"> </w:t>
      </w:r>
      <w:r w:rsidRPr="00DC3374">
        <w:rPr>
          <w:rFonts w:hint="eastAsia"/>
          <w:b/>
          <w:bCs/>
          <w:rtl/>
        </w:rPr>
        <w:t>בפרק</w:t>
      </w:r>
      <w:r w:rsidRPr="00DC3374">
        <w:rPr>
          <w:b/>
          <w:bCs/>
          <w:rtl/>
        </w:rPr>
        <w:t xml:space="preserve"> </w:t>
      </w:r>
      <w:r w:rsidRPr="00DC3374">
        <w:rPr>
          <w:rFonts w:hint="eastAsia"/>
          <w:b/>
          <w:bCs/>
          <w:rtl/>
        </w:rPr>
        <w:t>זה</w:t>
      </w:r>
      <w:r w:rsidRPr="00DC3374">
        <w:rPr>
          <w:rFonts w:hint="cs"/>
          <w:b/>
          <w:bCs/>
          <w:rtl/>
        </w:rPr>
        <w:t>, בייחוד</w:t>
      </w:r>
      <w:r w:rsidRPr="00DC3374">
        <w:rPr>
          <w:b/>
          <w:bCs/>
          <w:rtl/>
        </w:rPr>
        <w:t xml:space="preserve"> </w:t>
      </w:r>
      <w:r w:rsidRPr="00DC3374">
        <w:rPr>
          <w:rFonts w:hint="cs"/>
          <w:b/>
          <w:bCs/>
          <w:rtl/>
        </w:rPr>
        <w:t xml:space="preserve">בדבר הירידה באמון הציבור בגורמים המנהלים את המשבר ובדבר ההנחיות שהציבור הבין והשתכנע בנחיצותן באופן חלקי, </w:t>
      </w:r>
      <w:r w:rsidRPr="00DC3374">
        <w:rPr>
          <w:b/>
          <w:bCs/>
          <w:rtl/>
        </w:rPr>
        <w:t xml:space="preserve">הנשענות על סקרים </w:t>
      </w:r>
      <w:r w:rsidRPr="00DC3374">
        <w:rPr>
          <w:rFonts w:hint="cs"/>
          <w:b/>
          <w:bCs/>
          <w:rtl/>
        </w:rPr>
        <w:t xml:space="preserve">וניתוח שיח ברשתות החברתיות </w:t>
      </w:r>
      <w:r w:rsidRPr="00DC3374">
        <w:rPr>
          <w:b/>
          <w:bCs/>
          <w:rtl/>
        </w:rPr>
        <w:t>שביצע משרד מבקר המדינה</w:t>
      </w:r>
      <w:r w:rsidRPr="00DC3374">
        <w:rPr>
          <w:rFonts w:hint="cs"/>
          <w:b/>
          <w:bCs/>
          <w:rtl/>
        </w:rPr>
        <w:t>,</w:t>
      </w:r>
      <w:r w:rsidRPr="00DC3374">
        <w:rPr>
          <w:b/>
          <w:bCs/>
          <w:rtl/>
        </w:rPr>
        <w:t xml:space="preserve"> יגולמו במסגרת הליכי הפקת הלקחים שי</w:t>
      </w:r>
      <w:r w:rsidRPr="00DC3374">
        <w:rPr>
          <w:rFonts w:hint="cs"/>
          <w:b/>
          <w:bCs/>
          <w:rtl/>
        </w:rPr>
        <w:t>י</w:t>
      </w:r>
      <w:r w:rsidRPr="00DC3374">
        <w:rPr>
          <w:b/>
          <w:bCs/>
          <w:rtl/>
        </w:rPr>
        <w:t>עשו</w:t>
      </w:r>
      <w:r w:rsidRPr="00DC3374">
        <w:rPr>
          <w:rFonts w:hint="cs"/>
          <w:b/>
          <w:bCs/>
          <w:rtl/>
        </w:rPr>
        <w:t xml:space="preserve">. עוד מוצע כי נוסף על הסקרים שערכו גורמי ההסברה בקרב האוכלוסייה, תורחב בדיקת עמדות הציבור והתנהלותו, והיא תתייחס לכלל ההגבלות שהוטלו עליו ולנקודות זמן שונות במהלך המשבר, אם באמצעות סקרים ואם באמצעות כלי מחקר נוספים, דוגמת ניתוח השיח ברשתות החברתיות, כדי שאפשר יהיה לבסס לקחים לעתיד על </w:t>
      </w:r>
      <w:r w:rsidRPr="00DC3374">
        <w:rPr>
          <w:rFonts w:hint="cs"/>
          <w:b/>
          <w:bCs/>
          <w:rtl/>
        </w:rPr>
        <w:t xml:space="preserve">מכלול רחב של ממצאים וכדי </w:t>
      </w:r>
      <w:r w:rsidRPr="00DC3374">
        <w:rPr>
          <w:b/>
          <w:bCs/>
          <w:rtl/>
        </w:rPr>
        <w:t>לטייב את הה</w:t>
      </w:r>
      <w:r w:rsidRPr="00DC3374">
        <w:rPr>
          <w:rFonts w:hint="cs"/>
          <w:b/>
          <w:bCs/>
          <w:rtl/>
        </w:rPr>
        <w:t>י</w:t>
      </w:r>
      <w:r w:rsidRPr="00DC3374">
        <w:rPr>
          <w:b/>
          <w:bCs/>
          <w:rtl/>
        </w:rPr>
        <w:t xml:space="preserve">ערכות העתידית בהתמודדות עם </w:t>
      </w:r>
      <w:r w:rsidRPr="00DC3374">
        <w:rPr>
          <w:rFonts w:hint="eastAsia"/>
          <w:b/>
          <w:bCs/>
          <w:rtl/>
        </w:rPr>
        <w:t>א</w:t>
      </w:r>
      <w:r w:rsidRPr="00DC3374">
        <w:rPr>
          <w:rFonts w:hint="cs"/>
          <w:b/>
          <w:bCs/>
          <w:rtl/>
        </w:rPr>
        <w:t>י</w:t>
      </w:r>
      <w:r w:rsidRPr="00DC3374">
        <w:rPr>
          <w:rFonts w:hint="eastAsia"/>
          <w:b/>
          <w:bCs/>
          <w:rtl/>
        </w:rPr>
        <w:t>רועי</w:t>
      </w:r>
      <w:r w:rsidRPr="00DC3374">
        <w:rPr>
          <w:b/>
          <w:bCs/>
          <w:rtl/>
        </w:rPr>
        <w:t xml:space="preserve"> חירום אזרחיים בכלל </w:t>
      </w:r>
      <w:r w:rsidRPr="00DC3374">
        <w:rPr>
          <w:rFonts w:hint="eastAsia"/>
          <w:b/>
          <w:bCs/>
          <w:rtl/>
        </w:rPr>
        <w:t>וא</w:t>
      </w:r>
      <w:r w:rsidRPr="00DC3374">
        <w:rPr>
          <w:rFonts w:hint="cs"/>
          <w:b/>
          <w:bCs/>
          <w:rtl/>
        </w:rPr>
        <w:t>י</w:t>
      </w:r>
      <w:r w:rsidRPr="00DC3374">
        <w:rPr>
          <w:rFonts w:hint="eastAsia"/>
          <w:b/>
          <w:bCs/>
          <w:rtl/>
        </w:rPr>
        <w:t>רוע</w:t>
      </w:r>
      <w:r w:rsidRPr="00DC3374">
        <w:rPr>
          <w:rFonts w:hint="cs"/>
          <w:b/>
          <w:bCs/>
          <w:rtl/>
        </w:rPr>
        <w:t>ים</w:t>
      </w:r>
      <w:r w:rsidRPr="00DC3374">
        <w:rPr>
          <w:b/>
          <w:bCs/>
          <w:rtl/>
        </w:rPr>
        <w:t xml:space="preserve"> </w:t>
      </w:r>
      <w:r w:rsidRPr="00DC3374">
        <w:rPr>
          <w:rFonts w:hint="eastAsia"/>
          <w:b/>
          <w:bCs/>
          <w:rtl/>
        </w:rPr>
        <w:t>אפידימיולוגי</w:t>
      </w:r>
      <w:r w:rsidRPr="00DC3374">
        <w:rPr>
          <w:rFonts w:hint="cs"/>
          <w:b/>
          <w:bCs/>
          <w:rtl/>
        </w:rPr>
        <w:t>ים</w:t>
      </w:r>
      <w:r w:rsidRPr="00DC3374">
        <w:rPr>
          <w:b/>
          <w:bCs/>
          <w:rtl/>
        </w:rPr>
        <w:t xml:space="preserve"> </w:t>
      </w:r>
      <w:r w:rsidRPr="00DC3374">
        <w:rPr>
          <w:rFonts w:hint="eastAsia"/>
          <w:b/>
          <w:bCs/>
          <w:rtl/>
        </w:rPr>
        <w:t>בפרט</w:t>
      </w:r>
      <w:r w:rsidRPr="00DC3374">
        <w:rPr>
          <w:b/>
          <w:bCs/>
          <w:rtl/>
        </w:rPr>
        <w:t xml:space="preserve">. </w:t>
      </w:r>
    </w:p>
    <w:p w:rsidR="00E92F67" w:rsidRPr="00DC3374" w:rsidP="00E81188" w14:paraId="7B3AD29D" w14:textId="77777777">
      <w:pPr>
        <w:spacing w:line="269" w:lineRule="auto"/>
        <w:rPr>
          <w:b/>
          <w:bCs/>
          <w:rtl/>
        </w:rPr>
      </w:pPr>
    </w:p>
    <w:p w:rsidR="006C1EA1" w:rsidRPr="00DC3374" w:rsidP="00E81188" w14:paraId="2BCA7186" w14:textId="4E97DBC3">
      <w:pPr>
        <w:pStyle w:val="Heading2"/>
        <w:spacing w:before="0" w:line="269" w:lineRule="auto"/>
        <w:rPr>
          <w:rtl/>
        </w:rPr>
      </w:pPr>
      <w:r w:rsidRPr="00DC3374">
        <w:rPr>
          <w:rFonts w:hint="cs"/>
          <w:rtl/>
        </w:rPr>
        <w:t>ההיערכות הלאומית להסברה במצב חירום אזרחי</w:t>
      </w:r>
    </w:p>
    <w:p w:rsidR="006C1EA1" w:rsidRPr="00DC3374" w:rsidP="00E81188" w14:paraId="1071E7D1" w14:textId="1C0103A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7CD6F0FF" w14:textId="77777777">
      <w:pPr>
        <w:spacing w:line="269" w:lineRule="auto"/>
        <w:rPr>
          <w:rtl/>
        </w:rPr>
      </w:pPr>
      <w:r w:rsidRPr="00DC3374">
        <w:rPr>
          <w:rFonts w:hint="cs"/>
          <w:rtl/>
        </w:rPr>
        <w:t>מצבי חירום לאומיים מתאפיינים, כאמור, בשינוי המציאות ובאיום על הסדר הקיים, בסכנת פגיעה בחיי אדם ובתשתיות מרכזיות ובמורכבות המערבת גופים ורשויות שונות הנדרשים לתת מענה לציבור. תפקיד ההסברה במצבים אלה הוא להניע את הציבור ביעילות להתנהגות מצילת חיים. בהתחשב בטיבם הבלתי צפוי של מצבי חירום ובתפקידה המורכב של ההסברה בשעת משבר לאומי, נדרשת היערכות מוקדמת להסברה בחירום</w:t>
      </w:r>
      <w:r>
        <w:rPr>
          <w:rStyle w:val="FootnoteReference1"/>
          <w:rtl/>
        </w:rPr>
        <w:footnoteReference w:id="28"/>
      </w:r>
      <w:r w:rsidRPr="00DC3374">
        <w:rPr>
          <w:rFonts w:hint="cs"/>
          <w:rtl/>
        </w:rPr>
        <w:t>, ובכלל זה:</w:t>
      </w:r>
    </w:p>
    <w:p w:rsidR="006C1EA1" w:rsidRPr="00DC3374" w:rsidP="00E81188" w14:paraId="5CE8700E" w14:textId="0746960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C1FA805" w14:textId="2357582E">
      <w:pPr>
        <w:pStyle w:val="ListParagraph"/>
        <w:numPr>
          <w:ilvl w:val="6"/>
          <w:numId w:val="21"/>
        </w:numPr>
        <w:spacing w:line="269" w:lineRule="auto"/>
        <w:ind w:left="312"/>
      </w:pPr>
      <w:r w:rsidRPr="00F26F18">
        <w:rPr>
          <w:rStyle w:val="7"/>
          <w:rFonts w:hint="eastAsia"/>
          <w:rtl/>
        </w:rPr>
        <w:t>היערכות</w:t>
      </w:r>
      <w:r w:rsidRPr="00F26F18">
        <w:rPr>
          <w:rStyle w:val="7"/>
          <w:rtl/>
        </w:rPr>
        <w:t xml:space="preserve"> </w:t>
      </w:r>
      <w:r w:rsidRPr="00F26F18">
        <w:rPr>
          <w:rStyle w:val="7"/>
          <w:rFonts w:hint="eastAsia"/>
          <w:rtl/>
        </w:rPr>
        <w:t>בין</w:t>
      </w:r>
      <w:r w:rsidRPr="00F26F18">
        <w:rPr>
          <w:rStyle w:val="7"/>
          <w:rtl/>
        </w:rPr>
        <w:t>-</w:t>
      </w:r>
      <w:r w:rsidRPr="00F26F18">
        <w:rPr>
          <w:rStyle w:val="7"/>
          <w:rFonts w:hint="eastAsia"/>
          <w:rtl/>
        </w:rPr>
        <w:t>ארגונית</w:t>
      </w:r>
      <w:r w:rsidRPr="00F26F18">
        <w:rPr>
          <w:rStyle w:val="7"/>
          <w:rtl/>
        </w:rPr>
        <w:t>:</w:t>
      </w:r>
      <w:r w:rsidRPr="00DC3374">
        <w:rPr>
          <w:rFonts w:hint="cs"/>
          <w:rtl/>
        </w:rPr>
        <w:t xml:space="preserve"> חלוקת האחריות לתכלול וביצוע ההסברה לציבור בין הגופים השונים הפעילים בחירום. </w:t>
      </w:r>
    </w:p>
    <w:p w:rsidR="006C1EA1" w:rsidRPr="00DC3374" w:rsidP="00E81188" w14:paraId="457DA6FA" w14:textId="506605A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07B9286" w14:textId="7CADED2B">
      <w:pPr>
        <w:pStyle w:val="ListParagraph"/>
        <w:numPr>
          <w:ilvl w:val="6"/>
          <w:numId w:val="21"/>
        </w:numPr>
        <w:spacing w:line="269" w:lineRule="auto"/>
        <w:ind w:left="312"/>
      </w:pPr>
      <w:r w:rsidRPr="00F26F18">
        <w:rPr>
          <w:rStyle w:val="7"/>
          <w:rFonts w:hint="eastAsia"/>
          <w:rtl/>
        </w:rPr>
        <w:t>היערכות</w:t>
      </w:r>
      <w:r w:rsidRPr="00F26F18">
        <w:rPr>
          <w:rStyle w:val="7"/>
          <w:rtl/>
        </w:rPr>
        <w:t xml:space="preserve"> </w:t>
      </w:r>
      <w:r w:rsidRPr="00F26F18">
        <w:rPr>
          <w:rStyle w:val="7"/>
          <w:rFonts w:hint="eastAsia"/>
          <w:rtl/>
        </w:rPr>
        <w:t>אסטרטגית</w:t>
      </w:r>
      <w:r w:rsidRPr="00F26F18">
        <w:rPr>
          <w:rStyle w:val="7"/>
          <w:rtl/>
        </w:rPr>
        <w:t xml:space="preserve"> ואופרטיבית:</w:t>
      </w:r>
      <w:r w:rsidRPr="00DC3374">
        <w:rPr>
          <w:rFonts w:hint="cs"/>
          <w:rtl/>
        </w:rPr>
        <w:t xml:space="preserve"> גיבוש עקרונות היסוד ושיטות ההסברה בחירום ברמה הלאומית, והכנת מתווה פעולה בכל אחד מגופי ההסברה בהתאם לתפקיד שהוטל עליו על פי עקרונות ושיטות אלה. </w:t>
      </w:r>
    </w:p>
    <w:p w:rsidR="006C1EA1" w:rsidRPr="00DC3374" w:rsidP="00E81188" w14:paraId="1FB0E005" w14:textId="567C5F27">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F8EE247" w14:textId="77777777">
      <w:pPr>
        <w:pStyle w:val="ListParagraph"/>
        <w:numPr>
          <w:ilvl w:val="0"/>
          <w:numId w:val="21"/>
        </w:numPr>
        <w:spacing w:line="269" w:lineRule="auto"/>
        <w:ind w:left="312"/>
      </w:pPr>
      <w:r w:rsidRPr="00F26F18">
        <w:rPr>
          <w:rStyle w:val="7"/>
          <w:rFonts w:hint="eastAsia"/>
          <w:rtl/>
        </w:rPr>
        <w:t>היערכות</w:t>
      </w:r>
      <w:r w:rsidRPr="00F26F18">
        <w:rPr>
          <w:rStyle w:val="7"/>
          <w:rtl/>
        </w:rPr>
        <w:t xml:space="preserve"> </w:t>
      </w:r>
      <w:r w:rsidRPr="00F26F18">
        <w:rPr>
          <w:rStyle w:val="7"/>
          <w:rFonts w:hint="eastAsia"/>
          <w:rtl/>
        </w:rPr>
        <w:t>ארגונית</w:t>
      </w:r>
      <w:r w:rsidRPr="00F26F18">
        <w:rPr>
          <w:rStyle w:val="7"/>
          <w:rtl/>
        </w:rPr>
        <w:t>:</w:t>
      </w:r>
      <w:r w:rsidRPr="00DC3374">
        <w:rPr>
          <w:rFonts w:hint="cs"/>
          <w:rtl/>
        </w:rPr>
        <w:t xml:space="preserve"> הקמת תשתית מתאימה בכל אחד מן הגופים בהתאם לאחריות שהוטלה עליו בתחום ההסברה, והכנת האוכלוסייה באמצעות ביצוע עיתי של פעולות תרגול, הדרכה והטמעה של המידע הדרוש לתפקוד מיטבי בשעת חירום. </w:t>
      </w:r>
    </w:p>
    <w:p w:rsidR="006C1EA1" w:rsidRPr="00DC3374" w:rsidP="00E81188" w14:paraId="078BA78F" w14:textId="325F1FEA">
      <w:pPr>
        <w:pStyle w:val="a"/>
        <w:spacing w:line="269" w:lineRule="auto"/>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6C1EA1" w:rsidRPr="00DC3374" w:rsidP="00E81188" w14:paraId="13A7C802" w14:textId="77777777">
      <w:pPr>
        <w:spacing w:line="269" w:lineRule="auto"/>
        <w:rPr>
          <w:rtl/>
        </w:rPr>
      </w:pPr>
      <w:r w:rsidRPr="00DC3374">
        <w:rPr>
          <w:rFonts w:hint="cs"/>
          <w:b/>
          <w:bCs/>
          <w:rtl/>
        </w:rPr>
        <w:t>עלה כי הממשלה ניהלה את ההסברה של המשבר שלא בהתאם לחלוקת האחריות שהוגדרה מבעוד מועד - במסגרת החלטת הממשלה בנושא מערך ההסברה הלאומי משנת 2007, ואף לא על פי "נחשול בריא" - טיוטת התוכנית הלאומית לפנדמיה של שפעת (שגובשה במשך שנים ותורגלה בשנת 2018) (להלן - תוכנית "נחשול בריא"), ותוך בניית מערך ארגוני ותפקודי חלופי. כמו כן נמצאו ליקויים בהשתלבותו של פקע"ר, שהוא בעל תשתית ארגונית ומקצועית משמעותית במערך ההסברה - כל זאת כמפורט להלן בהמשך הפרק</w:t>
      </w:r>
      <w:r w:rsidRPr="00DC3374">
        <w:rPr>
          <w:rFonts w:hint="cs"/>
          <w:rtl/>
        </w:rPr>
        <w:t>.</w:t>
      </w:r>
    </w:p>
    <w:p w:rsidR="006C1EA1" w:rsidRPr="00DC3374" w:rsidP="00E81188" w14:paraId="26B0AAE7" w14:textId="77777777">
      <w:pPr>
        <w:spacing w:line="269" w:lineRule="auto"/>
      </w:pPr>
    </w:p>
    <w:p w:rsidR="006C1EA1" w:rsidRPr="00DC3374" w:rsidP="00E81188" w14:paraId="62991FE8" w14:textId="77777777">
      <w:pPr>
        <w:pStyle w:val="Heading3"/>
        <w:spacing w:before="0" w:line="269" w:lineRule="auto"/>
        <w:rPr>
          <w:rtl/>
        </w:rPr>
      </w:pPr>
      <w:r w:rsidRPr="00DC3374">
        <w:rPr>
          <w:rFonts w:hint="cs"/>
          <w:rtl/>
        </w:rPr>
        <w:t>היערכות בין-ארגונית - חלוקת האחריות בין גופי ההסברה</w:t>
      </w:r>
    </w:p>
    <w:p w:rsidR="006C1EA1" w:rsidRPr="00DC3374" w:rsidP="00E81188" w14:paraId="2769E5C5" w14:textId="368044C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24A06BEB" w14:textId="6F09DB21">
      <w:pPr>
        <w:spacing w:line="269" w:lineRule="auto"/>
        <w:rPr>
          <w:rStyle w:val="5"/>
          <w:rFonts w:eastAsiaTheme="minorHAnsi"/>
          <w:bCs w:val="0"/>
          <w:spacing w:val="0"/>
          <w:rtl/>
        </w:rPr>
      </w:pPr>
      <w:r w:rsidRPr="00DC3374">
        <w:rPr>
          <w:rFonts w:hint="cs"/>
          <w:rtl/>
        </w:rPr>
        <w:t>במשך השנים נדרשה מדינת ישראל לתת מענה הסברתי לאירועי חירום בעלי אופי צבאי-ביטחוני - הסברה פנימית לתושבי המדינה והסברת חוץ למדינות אחרות</w:t>
      </w:r>
      <w:r w:rsidR="00F32462">
        <w:rPr>
          <w:rFonts w:hint="cs"/>
          <w:rtl/>
        </w:rPr>
        <w:t xml:space="preserve">. לצד זאת, יש </w:t>
      </w:r>
      <w:r w:rsidRPr="00DC3374">
        <w:rPr>
          <w:rFonts w:hint="cs"/>
          <w:rtl/>
        </w:rPr>
        <w:t>לתת מענה הסברתי לתושבי המדינה באירועי חירום בעלי אופי אזרחי, דוגמת אסון טבע כגון רעידת אדמה, תקלה המסכנת את הציבור כגון דליפת חומר מסוכן ומגפה</w:t>
      </w:r>
      <w:r>
        <w:rPr>
          <w:rStyle w:val="FootnoteReference1"/>
          <w:rtl/>
        </w:rPr>
        <w:footnoteReference w:id="29"/>
      </w:r>
      <w:r w:rsidRPr="00DC3374">
        <w:rPr>
          <w:rFonts w:hint="cs"/>
          <w:rtl/>
        </w:rPr>
        <w:t>. בכל הנוגע לאירוע חירום מסוג מגפה עולמית, נכון לתקופת הביקורת, העקרונות הבסיסיים המתווים את "גבולות הגזרה" בין גופי ההסברה הרלוונטיים, ובמרכזם - מטה ההסברה הלאומי במשרד רה"ם, פקע"ר ומשרד הבריאות, מפורטים בחקיקה ובכמה מסמכי ממשלה מרכזיים, כפי שיפורט להלן.</w:t>
      </w:r>
      <w:r w:rsidRPr="00DC3374">
        <w:rPr>
          <w:noProof/>
        </w:rPr>
        <w:t xml:space="preserve"> </w:t>
      </w:r>
    </w:p>
    <w:p w:rsidR="006C1EA1" w:rsidRPr="00DC3374" w:rsidP="00E81188" w14:paraId="3958D66F" w14:textId="5F1F06F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202745C8" w14:textId="77777777">
      <w:pPr>
        <w:pStyle w:val="ListParagraph"/>
        <w:numPr>
          <w:ilvl w:val="0"/>
          <w:numId w:val="8"/>
        </w:numPr>
        <w:spacing w:line="269" w:lineRule="auto"/>
        <w:ind w:left="312"/>
      </w:pPr>
      <w:r w:rsidRPr="00DC3374">
        <w:rPr>
          <w:rStyle w:val="7"/>
          <w:rFonts w:hint="eastAsia"/>
          <w:rtl/>
        </w:rPr>
        <w:t>החלטת</w:t>
      </w:r>
      <w:r w:rsidRPr="00DC3374">
        <w:rPr>
          <w:rStyle w:val="7"/>
          <w:rtl/>
        </w:rPr>
        <w:t xml:space="preserve"> </w:t>
      </w:r>
      <w:r w:rsidRPr="00DC3374">
        <w:rPr>
          <w:rStyle w:val="7"/>
          <w:rFonts w:hint="eastAsia"/>
          <w:rtl/>
        </w:rPr>
        <w:t>הממשלה</w:t>
      </w:r>
      <w:r w:rsidRPr="00DC3374">
        <w:rPr>
          <w:rStyle w:val="7"/>
          <w:rtl/>
        </w:rPr>
        <w:t xml:space="preserve"> </w:t>
      </w:r>
      <w:r w:rsidRPr="00DC3374">
        <w:rPr>
          <w:rStyle w:val="7"/>
          <w:rFonts w:hint="eastAsia"/>
          <w:rtl/>
        </w:rPr>
        <w:t>בעניין</w:t>
      </w:r>
      <w:r w:rsidRPr="00DC3374">
        <w:rPr>
          <w:rStyle w:val="7"/>
          <w:rtl/>
        </w:rPr>
        <w:t xml:space="preserve"> </w:t>
      </w:r>
      <w:r w:rsidRPr="00DC3374">
        <w:rPr>
          <w:rStyle w:val="7"/>
          <w:rFonts w:hint="eastAsia"/>
          <w:rtl/>
        </w:rPr>
        <w:t>הקמת</w:t>
      </w:r>
      <w:r w:rsidRPr="00DC3374">
        <w:rPr>
          <w:rStyle w:val="7"/>
          <w:rtl/>
        </w:rPr>
        <w:t xml:space="preserve"> </w:t>
      </w:r>
      <w:r w:rsidRPr="00DC3374">
        <w:rPr>
          <w:rStyle w:val="7"/>
          <w:rFonts w:hint="eastAsia"/>
          <w:rtl/>
        </w:rPr>
        <w:t>מערך</w:t>
      </w:r>
      <w:r w:rsidRPr="00DC3374">
        <w:rPr>
          <w:rStyle w:val="7"/>
          <w:rtl/>
        </w:rPr>
        <w:t xml:space="preserve"> </w:t>
      </w:r>
      <w:r w:rsidRPr="00DC3374">
        <w:rPr>
          <w:rStyle w:val="7"/>
          <w:rFonts w:hint="eastAsia"/>
          <w:rtl/>
        </w:rPr>
        <w:t>ההסברה</w:t>
      </w:r>
      <w:r w:rsidRPr="00DC3374">
        <w:rPr>
          <w:rStyle w:val="7"/>
          <w:rtl/>
        </w:rPr>
        <w:t xml:space="preserve"> </w:t>
      </w:r>
      <w:r w:rsidRPr="00DC3374">
        <w:rPr>
          <w:rStyle w:val="7"/>
          <w:rFonts w:hint="eastAsia"/>
          <w:rtl/>
        </w:rPr>
        <w:t>הלאומי</w:t>
      </w:r>
      <w:r w:rsidRPr="00DC3374">
        <w:rPr>
          <w:rStyle w:val="7"/>
          <w:rtl/>
        </w:rPr>
        <w:t>:</w:t>
      </w:r>
      <w:r w:rsidRPr="00DC3374">
        <w:rPr>
          <w:rFonts w:hint="cs"/>
          <w:rtl/>
        </w:rPr>
        <w:t xml:space="preserve"> בשנת 2007, לאחר מלחמת לבנון השנייה, ובעקבות דוחות מבקר המדינה שדנו בתפקוד גורמי ההסברה הלאומיים</w:t>
      </w:r>
      <w:r>
        <w:rPr>
          <w:vertAlign w:val="superscript"/>
          <w:rtl/>
        </w:rPr>
        <w:footnoteReference w:id="30"/>
      </w:r>
      <w:r w:rsidRPr="00DC3374">
        <w:rPr>
          <w:rFonts w:hint="cs"/>
          <w:rtl/>
        </w:rPr>
        <w:t xml:space="preserve">, הוגש לממשלה דוח הצוות הבין-משרדי בראשות מזכיר הממשלה דאז, עו"ד ישראל מימון, בנושא תגבור מערך ההסברה הלאומי (להלן - דוח מימון). </w:t>
      </w:r>
    </w:p>
    <w:p w:rsidR="006C1EA1" w:rsidRPr="00DC3374" w:rsidP="00E81188" w14:paraId="1DACBAE3" w14:textId="707FB362">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68A56E8" w14:textId="77777777">
      <w:pPr>
        <w:pStyle w:val="ListParagraph"/>
        <w:spacing w:line="269" w:lineRule="auto"/>
        <w:ind w:left="312"/>
        <w:rPr>
          <w:rtl/>
        </w:rPr>
      </w:pPr>
      <w:r w:rsidRPr="00DC3374">
        <w:rPr>
          <w:rFonts w:hint="cs"/>
          <w:rtl/>
        </w:rPr>
        <w:t>דוח מימון עמד בהרחבה על כמה גורמים המקשים על מיצוי ההסברה הישראלית, ובהם ריבוי גופי הסברה ממשלתיים, הפועלים ללא תוכנית עבודה מוסכמת ומחייבת, כאשר כל אחד מהם מגבש תוכנית הסברה עצמאית. כתוצאה מכך, על פי הדוח, מתאפיינת ההסברה הישראלית בחוסר אחידות, בערפול ואף בסתירות במסרים. לנוכח האמור ובהתאם להמלצות דוחות מבקר המדינה בנושא ההסברה הלאומית, המליץ דוח מימון לממשלה למנות "גורם-על" אשר יכין מבעוד מועד תוכניות הסברה לתרחישים שונים, יתכלל את עבודת כלל גורמי ההסברה הממשלתיים ויוודא כי הללו פועלים באופן מתואם, על בסיס מדיניות אחידה.</w:t>
      </w:r>
    </w:p>
    <w:p w:rsidR="006C1EA1" w:rsidRPr="00DC3374" w:rsidP="00E81188" w14:paraId="0434BDDA" w14:textId="2ACADC2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7664172E" w14:textId="77777777">
      <w:pPr>
        <w:pStyle w:val="ListParagraph"/>
        <w:spacing w:line="269" w:lineRule="auto"/>
        <w:ind w:left="312"/>
        <w:rPr>
          <w:rtl/>
        </w:rPr>
      </w:pPr>
      <w:r w:rsidRPr="00DC3374">
        <w:rPr>
          <w:rFonts w:hint="cs"/>
          <w:rtl/>
        </w:rPr>
        <w:t>על בסיס המלצות דוח מימון החליטה הממשלה בשנת 2007 על הקמת מערך הסברה לאומי, שבמרכזו מטה הסברה לאומי שיפעל במשרד רה"ם</w:t>
      </w:r>
      <w:r>
        <w:rPr>
          <w:vertAlign w:val="superscript"/>
          <w:rtl/>
        </w:rPr>
        <w:footnoteReference w:id="31"/>
      </w:r>
      <w:r w:rsidRPr="00DC3374">
        <w:rPr>
          <w:rFonts w:hint="cs"/>
          <w:rtl/>
        </w:rPr>
        <w:t>. בהחלטה זו נקבע כי מטה ההסברה הלאומי "יתאם את כלל גורמי ההסברה במדינת ישראל על מנת להציג מדיניות הסברה אמינה, אחידה ועקבית". בהחלטה נקבע עוד כי מערך ההסברה יכלול בין היתר את לשכת העיתונות הממשלתית; פורום הסברה לאומי בתחום המדיני-ביטחוני, בראשות מטה ההסברה הלאומי ובהשתתפות דוברי גופי הביטחון</w:t>
      </w:r>
      <w:r>
        <w:rPr>
          <w:rStyle w:val="FootnoteReference1"/>
          <w:rtl/>
        </w:rPr>
        <w:footnoteReference w:id="32"/>
      </w:r>
      <w:r w:rsidRPr="00DC3374">
        <w:rPr>
          <w:rFonts w:hint="cs"/>
          <w:rtl/>
        </w:rPr>
        <w:t xml:space="preserve">; ופורום הסברה במרחב האינטרנט, בראשות מטה ההסברה הלאומי. כן נקבע כי כלל גורמי ההסברה והדוברים הרשמיים של מדינת ישראל יפעלו בהתאם לעמדות, למסרים ולתגובות שיגבש פורום ההסברה הלאומי. </w:t>
      </w:r>
    </w:p>
    <w:p w:rsidR="006C1EA1" w:rsidRPr="00DC3374" w:rsidP="00E81188" w14:paraId="78DA2862" w14:textId="48F0D670">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6C1EA1" w:rsidRPr="00DC3374" w:rsidP="00E81188" w14:paraId="644C2E5C" w14:textId="77777777">
      <w:pPr>
        <w:pStyle w:val="ListParagraph"/>
        <w:spacing w:line="269" w:lineRule="auto"/>
        <w:ind w:left="340"/>
        <w:rPr>
          <w:rtl/>
        </w:rPr>
      </w:pPr>
      <w:r w:rsidRPr="00DC3374">
        <w:rPr>
          <w:rFonts w:hint="cs"/>
          <w:rtl/>
        </w:rPr>
        <w:t>עוד החליטה הממשלה כי בשעת חירום יופקד מטה ההסברה הלאומי על הנחיית כלל גורמי ההסברה במדינת ישראל ועל התיאום ביניהם. כמו כן יפעל "פורום הסברה לאומי בעת חירום", ובראשו יעמוד מטה ההסברה הלאומי. בפורום ישתתפו חברי פורום ההסברה המדיני-ביטחוני וכן ראשי גופי ההסברה במשרדי הממשלה הרלוונטיים - לרבות במשרד הבריאות</w:t>
      </w:r>
      <w:r>
        <w:rPr>
          <w:rStyle w:val="FootnoteReference1"/>
          <w:rtl/>
        </w:rPr>
        <w:footnoteReference w:id="33"/>
      </w:r>
      <w:r w:rsidRPr="00DC3374">
        <w:rPr>
          <w:rFonts w:hint="cs"/>
          <w:rtl/>
        </w:rPr>
        <w:t>, ראשי ההסברה בפקע"ר, ברשויות המקומיות ובקרב גורמים נוספים</w:t>
      </w:r>
      <w:r>
        <w:rPr>
          <w:rStyle w:val="FootnoteReference1"/>
          <w:rtl/>
        </w:rPr>
        <w:footnoteReference w:id="34"/>
      </w:r>
      <w:r w:rsidRPr="00DC3374">
        <w:rPr>
          <w:rFonts w:hint="cs"/>
          <w:rtl/>
        </w:rPr>
        <w:t>. על פי החלטת הממשלה, פורום ההסברה הלאומי בעת חירום יהיה האחראי העליון לכלל המידע המועבר לציבור ולקביעת המסרים המבוססים על החלטות הממשלה.</w:t>
      </w:r>
    </w:p>
    <w:p w:rsidR="006C1EA1" w:rsidRPr="00DC3374" w:rsidP="00E81188" w14:paraId="599B7BE0" w14:textId="0EEF64C8">
      <w:pPr>
        <w:pStyle w:val="a"/>
        <w:spacing w:line="269" w:lineRule="auto"/>
        <w:rPr>
          <w:rStyle w:val="5"/>
          <w:rFonts w:eastAsiaTheme="minorHAnsi"/>
          <w:bCs w:val="0"/>
          <w:spacing w:val="0"/>
        </w:rPr>
      </w:pPr>
      <w:r w:rsidRPr="00DC3374">
        <w:rPr>
          <w:rStyle w:val="5"/>
          <w:rFonts w:eastAsiaTheme="minorHAnsi"/>
          <w:bCs w:val="0"/>
          <w:spacing w:val="0"/>
          <w:rtl/>
        </w:rPr>
        <w:fldChar w:fldCharType="begin"/>
      </w:r>
      <w:r w:rsidRPr="00DC3374">
        <w:rPr>
          <w:rStyle w:val="5"/>
          <w:rFonts w:eastAsiaTheme="minorHAnsi"/>
          <w:bCs w:val="0"/>
          <w:spacing w:val="0"/>
          <w:rtl/>
        </w:rPr>
        <w:instrText xml:space="preserve"> </w:instrText>
      </w:r>
      <w:r w:rsidRPr="00DC3374">
        <w:rPr>
          <w:rStyle w:val="5"/>
          <w:rFonts w:eastAsiaTheme="minorHAnsi"/>
          <w:bCs w:val="0"/>
          <w:spacing w:val="0"/>
        </w:rPr>
        <w:instrText>AUTONUMLGL \e  \* MERGEFORMAT</w:instrText>
      </w:r>
      <w:r w:rsidRPr="00DC3374">
        <w:rPr>
          <w:rStyle w:val="5"/>
          <w:rFonts w:eastAsiaTheme="minorHAnsi"/>
          <w:bCs w:val="0"/>
          <w:spacing w:val="0"/>
          <w:rtl/>
        </w:rPr>
        <w:instrText xml:space="preserve"> </w:instrText>
      </w:r>
      <w:r w:rsidRPr="00DC3374">
        <w:rPr>
          <w:rStyle w:val="5"/>
          <w:rFonts w:eastAsiaTheme="minorHAnsi"/>
          <w:bCs w:val="0"/>
          <w:spacing w:val="0"/>
          <w:rtl/>
        </w:rPr>
        <w:fldChar w:fldCharType="end"/>
      </w:r>
    </w:p>
    <w:p w:rsidR="006C1EA1" w:rsidRPr="00DC3374" w:rsidP="00E81188" w14:paraId="3CEC3543" w14:textId="77777777">
      <w:pPr>
        <w:pStyle w:val="ListParagraph"/>
        <w:numPr>
          <w:ilvl w:val="0"/>
          <w:numId w:val="8"/>
        </w:numPr>
        <w:spacing w:line="269" w:lineRule="auto"/>
        <w:rPr>
          <w:rStyle w:val="5"/>
          <w:rFonts w:eastAsiaTheme="minorHAnsi"/>
          <w:bCs w:val="0"/>
          <w:spacing w:val="0"/>
        </w:rPr>
      </w:pPr>
      <w:r w:rsidRPr="00DC3374">
        <w:rPr>
          <w:rStyle w:val="7"/>
          <w:rFonts w:hint="eastAsia"/>
          <w:rtl/>
        </w:rPr>
        <w:t>חוק</w:t>
      </w:r>
      <w:r w:rsidRPr="00DC3374">
        <w:rPr>
          <w:rStyle w:val="7"/>
          <w:rtl/>
        </w:rPr>
        <w:t xml:space="preserve"> ההתגוננות האזרחית, </w:t>
      </w:r>
      <w:r w:rsidRPr="00DC3374">
        <w:rPr>
          <w:rStyle w:val="7"/>
          <w:rFonts w:hint="eastAsia"/>
          <w:rtl/>
        </w:rPr>
        <w:t>התשי</w:t>
      </w:r>
      <w:r w:rsidRPr="00DC3374">
        <w:rPr>
          <w:rStyle w:val="7"/>
          <w:rtl/>
        </w:rPr>
        <w:t xml:space="preserve">"א-1951 (להלן - </w:t>
      </w:r>
      <w:r w:rsidRPr="00DC3374">
        <w:rPr>
          <w:rStyle w:val="7"/>
          <w:rFonts w:hint="eastAsia"/>
          <w:rtl/>
        </w:rPr>
        <w:t>חוק</w:t>
      </w:r>
      <w:r w:rsidRPr="00DC3374">
        <w:rPr>
          <w:rStyle w:val="7"/>
          <w:rtl/>
        </w:rPr>
        <w:t xml:space="preserve"> </w:t>
      </w:r>
      <w:r w:rsidRPr="00DC3374">
        <w:rPr>
          <w:rStyle w:val="7"/>
          <w:rFonts w:hint="eastAsia"/>
          <w:rtl/>
        </w:rPr>
        <w:t>הג</w:t>
      </w:r>
      <w:r w:rsidRPr="00DC3374">
        <w:rPr>
          <w:rStyle w:val="7"/>
          <w:rtl/>
        </w:rPr>
        <w:t>"א):</w:t>
      </w:r>
      <w:r w:rsidRPr="00DC3374">
        <w:rPr>
          <w:rFonts w:hint="cs"/>
          <w:rtl/>
        </w:rPr>
        <w:t xml:space="preserve"> לפי חוק זה, פקע"ר אחראי לארגון ולניהול ההתגוננות האזרחית במדינת ישראל מפני התקפה צבאית. מתוקף אחריות זו מבצע פקע"ר באופן עיתי ושוטף פעולות תרגול, הדרכה והכנה לקראת אירועי חירום ברשויות המקומיות. </w:t>
      </w:r>
      <w:r w:rsidRPr="00DC3374">
        <w:rPr>
          <w:rtl/>
        </w:rPr>
        <w:t>בין הסמכויות המוקנות לפקע"ר גם הסמכות לפעול, באישור שר הבטחון ובתיאום עם הרשויות הנוגעות בדבר</w:t>
      </w:r>
      <w:r w:rsidRPr="00DC3374">
        <w:rPr>
          <w:rFonts w:hint="cs"/>
          <w:rtl/>
        </w:rPr>
        <w:t>,</w:t>
      </w:r>
      <w:r w:rsidRPr="00DC3374">
        <w:rPr>
          <w:rtl/>
        </w:rPr>
        <w:t xml:space="preserve"> להצלת נפש ורכוש שאינה כרוכה בהתגוננות אזרחית</w:t>
      </w:r>
      <w:r w:rsidRPr="00DC3374">
        <w:rPr>
          <w:rFonts w:hint="cs"/>
          <w:rtl/>
        </w:rPr>
        <w:t xml:space="preserve"> מפני התקפה צבאית</w:t>
      </w:r>
      <w:r>
        <w:rPr>
          <w:rStyle w:val="FootnoteReference1"/>
          <w:rtl/>
        </w:rPr>
        <w:footnoteReference w:id="35"/>
      </w:r>
      <w:r w:rsidRPr="00DC3374">
        <w:rPr>
          <w:rFonts w:hint="cs"/>
          <w:rtl/>
        </w:rPr>
        <w:t>.</w:t>
      </w:r>
      <w:r w:rsidRPr="00DC3374">
        <w:rPr>
          <w:rStyle w:val="5"/>
          <w:rFonts w:eastAsiaTheme="minorHAnsi" w:hint="cs"/>
          <w:bCs w:val="0"/>
          <w:spacing w:val="0"/>
          <w:rtl/>
        </w:rPr>
        <w:t xml:space="preserve"> </w:t>
      </w:r>
    </w:p>
    <w:p w:rsidR="006C1EA1" w:rsidRPr="00DC3374" w:rsidP="00E81188" w14:paraId="4CC432F7" w14:textId="23EC2170">
      <w:pPr>
        <w:pStyle w:val="a"/>
        <w:spacing w:line="269" w:lineRule="auto"/>
        <w:rPr>
          <w:rStyle w:val="5"/>
          <w:rFonts w:eastAsiaTheme="minorHAnsi"/>
          <w:bCs w:val="0"/>
          <w:spacing w:val="0"/>
        </w:rPr>
      </w:pPr>
      <w:r w:rsidRPr="00DC3374">
        <w:rPr>
          <w:rStyle w:val="5"/>
          <w:rFonts w:eastAsiaTheme="minorHAnsi"/>
          <w:bCs w:val="0"/>
          <w:spacing w:val="0"/>
          <w:rtl/>
        </w:rPr>
        <w:fldChar w:fldCharType="begin"/>
      </w:r>
      <w:r w:rsidRPr="00DC3374">
        <w:rPr>
          <w:rStyle w:val="5"/>
          <w:rFonts w:eastAsiaTheme="minorHAnsi"/>
          <w:bCs w:val="0"/>
          <w:spacing w:val="0"/>
          <w:rtl/>
        </w:rPr>
        <w:instrText xml:space="preserve"> </w:instrText>
      </w:r>
      <w:r w:rsidRPr="00DC3374">
        <w:rPr>
          <w:rStyle w:val="5"/>
          <w:rFonts w:eastAsiaTheme="minorHAnsi"/>
          <w:bCs w:val="0"/>
          <w:spacing w:val="0"/>
        </w:rPr>
        <w:instrText>AUTONUMLGL \e  \* MERGEFORMAT</w:instrText>
      </w:r>
      <w:r w:rsidRPr="00DC3374">
        <w:rPr>
          <w:rStyle w:val="5"/>
          <w:rFonts w:eastAsiaTheme="minorHAnsi"/>
          <w:bCs w:val="0"/>
          <w:spacing w:val="0"/>
          <w:rtl/>
        </w:rPr>
        <w:instrText xml:space="preserve"> </w:instrText>
      </w:r>
      <w:r w:rsidRPr="00DC3374">
        <w:rPr>
          <w:rStyle w:val="5"/>
          <w:rFonts w:eastAsiaTheme="minorHAnsi"/>
          <w:bCs w:val="0"/>
          <w:spacing w:val="0"/>
          <w:rtl/>
        </w:rPr>
        <w:fldChar w:fldCharType="end"/>
      </w:r>
    </w:p>
    <w:p w:rsidR="006C1EA1" w:rsidRPr="00DC3374" w:rsidP="00E81188" w14:paraId="1DE40F97" w14:textId="77777777">
      <w:pPr>
        <w:pStyle w:val="ListParagraph"/>
        <w:numPr>
          <w:ilvl w:val="0"/>
          <w:numId w:val="8"/>
        </w:numPr>
        <w:spacing w:line="269" w:lineRule="auto"/>
        <w:rPr>
          <w:rtl/>
        </w:rPr>
      </w:pPr>
      <w:r w:rsidRPr="00DC3374">
        <w:rPr>
          <w:rStyle w:val="7"/>
          <w:rFonts w:hint="eastAsia"/>
          <w:rtl/>
        </w:rPr>
        <w:t>החלטת</w:t>
      </w:r>
      <w:r w:rsidRPr="00DC3374">
        <w:rPr>
          <w:rStyle w:val="7"/>
          <w:rtl/>
        </w:rPr>
        <w:t xml:space="preserve"> הממשלה בעניין </w:t>
      </w:r>
      <w:r w:rsidRPr="00DC3374">
        <w:rPr>
          <w:rStyle w:val="7"/>
          <w:rFonts w:hint="cs"/>
          <w:rtl/>
        </w:rPr>
        <w:t>ה</w:t>
      </w:r>
      <w:r w:rsidRPr="00DC3374">
        <w:rPr>
          <w:rStyle w:val="7"/>
          <w:rFonts w:hint="eastAsia"/>
          <w:rtl/>
        </w:rPr>
        <w:t>היערכות</w:t>
      </w:r>
      <w:r w:rsidRPr="00DC3374">
        <w:rPr>
          <w:rStyle w:val="7"/>
          <w:rtl/>
        </w:rPr>
        <w:t xml:space="preserve"> לקראת התפרצות שפעת </w:t>
      </w:r>
      <w:r w:rsidRPr="00DC3374">
        <w:rPr>
          <w:rStyle w:val="7"/>
          <w:rFonts w:hint="eastAsia"/>
          <w:rtl/>
        </w:rPr>
        <w:t>פנדמית</w:t>
      </w:r>
      <w:r w:rsidRPr="00DC3374">
        <w:rPr>
          <w:rStyle w:val="7"/>
          <w:rtl/>
        </w:rPr>
        <w:t xml:space="preserve"> ותוכנית משרד הבריאות בעניין מוכנות מערכת הבריאות לשפעת </w:t>
      </w:r>
      <w:r w:rsidRPr="00DC3374">
        <w:rPr>
          <w:rStyle w:val="7"/>
          <w:rFonts w:hint="eastAsia"/>
          <w:rtl/>
        </w:rPr>
        <w:t>פנדמית</w:t>
      </w:r>
      <w:r w:rsidRPr="00DC3374">
        <w:rPr>
          <w:rStyle w:val="7"/>
          <w:rtl/>
        </w:rPr>
        <w:t>:</w:t>
      </w:r>
      <w:r w:rsidRPr="00DC3374">
        <w:rPr>
          <w:rFonts w:hint="cs"/>
          <w:rtl/>
        </w:rPr>
        <w:t xml:space="preserve"> בהחלטת הממשלה משנת 2005 בנושא "היערכות לקראת התפרצות שפעת פנדמית" נקבע כי משרד הביטחון יהיה אחראי לניהול משבר פנדמיה ברמה הלאומית בנושאי משק חיוני באמצעות "צוות ניהול משבר", ומשרד הבריאות יהיה אחראי לניהול ההיבטים המקצועיים והרפואיים של המשבר. במסגרת זו הוטלה על שני המשרדים האחריות להובלת ההיערכות הלאומית לפנדמיה</w:t>
      </w:r>
      <w:r>
        <w:rPr>
          <w:vertAlign w:val="superscript"/>
          <w:rtl/>
        </w:rPr>
        <w:footnoteReference w:id="36"/>
      </w:r>
      <w:r w:rsidRPr="00DC3374">
        <w:rPr>
          <w:rFonts w:hint="cs"/>
          <w:rtl/>
        </w:rPr>
        <w:t xml:space="preserve">. </w:t>
      </w:r>
    </w:p>
    <w:p w:rsidR="006C1EA1" w:rsidRPr="00DC3374" w:rsidP="00E81188" w14:paraId="5136CFDF" w14:textId="458B680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3ED18ACF" w14:textId="77777777">
      <w:pPr>
        <w:spacing w:line="269" w:lineRule="auto"/>
        <w:ind w:left="312"/>
        <w:rPr>
          <w:rStyle w:val="5"/>
          <w:rFonts w:eastAsiaTheme="minorHAnsi"/>
          <w:bCs w:val="0"/>
          <w:spacing w:val="0"/>
        </w:rPr>
      </w:pPr>
      <w:r w:rsidRPr="00DC3374">
        <w:rPr>
          <w:rFonts w:hint="cs"/>
          <w:rtl/>
        </w:rPr>
        <w:t>בהתאם להחלטת הממשלה, עסק משרד הבריאות, בתיאום עם משרד הביטחון, בהיערכות לאומית לפנדמיה באמצעות ועדות ייעודיות, ובכללן ועדה לצורך גיבוש תוכנית הסברה לציבור הרחב. באוקטובר 2005 גיבש משרד הבריאות תוכנית ראשונה בנושא מוכנות מערכת הבריאות לשפעת פנדמית, הכוללת התייחסות תמציתית לתחום ההסברה, וביוני 2007 גיבש תוכנית מעודכנת. על פי התוכנית, החל בשלב ההתראה לפני פנדמיה ובשלבי המשבר השונים יפעיל משרד הבריאות תוכנית הסברה ומוקדי מידע לציבור, תוך היעזרות במוקדי קופות החולים ובפקע"ר במידת הצורך. כן נקבע כי משרד הבריאות יהיה מתואם בנושאי ההסברה עם משרדי הממשלה הנוגעים בדבר.</w:t>
      </w:r>
    </w:p>
    <w:p w:rsidR="006C1EA1" w:rsidRPr="00DC3374" w:rsidP="00E81188" w14:paraId="07C6F727" w14:textId="101051F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77043F5F" w14:textId="020F3EE9">
      <w:pPr>
        <w:pStyle w:val="ListParagraph"/>
        <w:numPr>
          <w:ilvl w:val="0"/>
          <w:numId w:val="8"/>
        </w:numPr>
        <w:spacing w:line="269" w:lineRule="auto"/>
        <w:rPr>
          <w:rtl/>
        </w:rPr>
      </w:pPr>
      <w:r w:rsidRPr="00DC3374">
        <w:rPr>
          <w:rStyle w:val="7"/>
          <w:rFonts w:hint="cs"/>
          <w:rtl/>
        </w:rPr>
        <w:t>תוכנית "נחשול בריא"</w:t>
      </w:r>
      <w:r w:rsidRPr="00DC3374">
        <w:rPr>
          <w:rStyle w:val="7"/>
          <w:rtl/>
        </w:rPr>
        <w:t>:</w:t>
      </w:r>
      <w:r w:rsidRPr="00DC3374">
        <w:rPr>
          <w:rFonts w:hint="cs"/>
          <w:rtl/>
        </w:rPr>
        <w:t xml:space="preserve"> תוכנית "נחשול בריא" הופצה לראשונה בשנת 2008 ועודכנה בשנת 2018 בידי משרד הביטחון. </w:t>
      </w:r>
      <w:r w:rsidR="002273EF">
        <w:rPr>
          <w:rFonts w:hint="cs"/>
          <w:rtl/>
        </w:rPr>
        <w:t>נכון לתחילת משבר הקורונה, התוכנית היתה</w:t>
      </w:r>
      <w:r w:rsidRPr="00DC3374">
        <w:rPr>
          <w:rFonts w:hint="cs"/>
          <w:rtl/>
        </w:rPr>
        <w:t xml:space="preserve"> במעמד טיוטה. על אף מעמדה כטיוטה, בדצמבר 2018 התקיים בהתאם לתוכנית זו תרגיל היערכות לאומי לתרחיש פנדמיה, לרבות בתחום ההסברה. </w:t>
      </w:r>
    </w:p>
    <w:p w:rsidR="006C1EA1" w:rsidRPr="00DC3374" w:rsidP="00E81188" w14:paraId="79002628" w14:textId="489A2BC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15C4B61C" w14:textId="77777777">
      <w:pPr>
        <w:pStyle w:val="ListParagraph"/>
        <w:spacing w:line="269" w:lineRule="auto"/>
        <w:ind w:left="340"/>
      </w:pPr>
      <w:r w:rsidRPr="00DC3374">
        <w:rPr>
          <w:rFonts w:hint="cs"/>
          <w:rtl/>
        </w:rPr>
        <w:t xml:space="preserve">תוכנית "נחשול בריא" מפרטת עקרונות עדכניים להיערכות מוקדמת ולהתמודדות עם משבר פנדמיה. כמו כן היא מציגה מתווה כולל לחלוקת אחריות בין משרדי הממשלה והגופים השונים המטפלים במשבר. </w:t>
      </w:r>
    </w:p>
    <w:p w:rsidR="006C1EA1" w:rsidRPr="00DC3374" w:rsidP="00E81188" w14:paraId="368B011A" w14:textId="5A05AA05">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DB60D61" w14:textId="77777777">
      <w:pPr>
        <w:pStyle w:val="ListParagraph"/>
        <w:spacing w:line="269" w:lineRule="auto"/>
        <w:ind w:left="340"/>
        <w:rPr>
          <w:rtl/>
        </w:rPr>
      </w:pPr>
      <w:r w:rsidRPr="00DC3374">
        <w:rPr>
          <w:rFonts w:hint="eastAsia"/>
          <w:rtl/>
        </w:rPr>
        <w:t>במסגרת</w:t>
      </w:r>
      <w:r w:rsidRPr="00DC3374">
        <w:rPr>
          <w:rtl/>
        </w:rPr>
        <w:t xml:space="preserve"> </w:t>
      </w:r>
      <w:r w:rsidRPr="00DC3374">
        <w:rPr>
          <w:rFonts w:hint="cs"/>
          <w:rtl/>
        </w:rPr>
        <w:t xml:space="preserve">טיוטת </w:t>
      </w:r>
      <w:r w:rsidRPr="00DC3374">
        <w:rPr>
          <w:rFonts w:hint="eastAsia"/>
          <w:rtl/>
        </w:rPr>
        <w:t>התוכנית</w:t>
      </w:r>
      <w:r w:rsidRPr="00DC3374">
        <w:rPr>
          <w:rtl/>
        </w:rPr>
        <w:t xml:space="preserve"> </w:t>
      </w:r>
      <w:r w:rsidRPr="00DC3374">
        <w:rPr>
          <w:rFonts w:hint="eastAsia"/>
          <w:rtl/>
        </w:rPr>
        <w:t>הוגדרו</w:t>
      </w:r>
      <w:r w:rsidRPr="00DC3374">
        <w:rPr>
          <w:rtl/>
        </w:rPr>
        <w:t xml:space="preserve"> </w:t>
      </w:r>
      <w:r w:rsidRPr="00DC3374">
        <w:rPr>
          <w:rFonts w:hint="eastAsia"/>
          <w:rtl/>
        </w:rPr>
        <w:t>ארבעה</w:t>
      </w:r>
      <w:r w:rsidRPr="00DC3374">
        <w:rPr>
          <w:rtl/>
        </w:rPr>
        <w:t xml:space="preserve"> </w:t>
      </w:r>
      <w:r w:rsidRPr="00DC3374">
        <w:rPr>
          <w:rFonts w:hint="eastAsia"/>
          <w:rtl/>
        </w:rPr>
        <w:t>שלבי</w:t>
      </w:r>
      <w:r w:rsidRPr="00DC3374">
        <w:rPr>
          <w:rtl/>
        </w:rPr>
        <w:t xml:space="preserve"> </w:t>
      </w:r>
      <w:r w:rsidRPr="00DC3374">
        <w:rPr>
          <w:rFonts w:hint="eastAsia"/>
          <w:rtl/>
        </w:rPr>
        <w:t>היערכות</w:t>
      </w:r>
      <w:r w:rsidRPr="00DC3374">
        <w:rPr>
          <w:rtl/>
        </w:rPr>
        <w:t xml:space="preserve"> </w:t>
      </w:r>
      <w:r w:rsidRPr="00DC3374">
        <w:rPr>
          <w:rFonts w:hint="eastAsia"/>
          <w:rtl/>
        </w:rPr>
        <w:t>לאומיים</w:t>
      </w:r>
      <w:r w:rsidRPr="00DC3374">
        <w:rPr>
          <w:rtl/>
        </w:rPr>
        <w:t xml:space="preserve">, </w:t>
      </w:r>
      <w:r w:rsidRPr="00DC3374">
        <w:rPr>
          <w:rFonts w:hint="eastAsia"/>
          <w:rtl/>
        </w:rPr>
        <w:t>בהתאם</w:t>
      </w:r>
      <w:r w:rsidRPr="00DC3374">
        <w:rPr>
          <w:rtl/>
        </w:rPr>
        <w:t xml:space="preserve"> </w:t>
      </w:r>
      <w:r w:rsidRPr="00DC3374">
        <w:rPr>
          <w:rFonts w:hint="eastAsia"/>
          <w:rtl/>
        </w:rPr>
        <w:t>לשלבי</w:t>
      </w:r>
      <w:r w:rsidRPr="00DC3374">
        <w:rPr>
          <w:rtl/>
        </w:rPr>
        <w:t xml:space="preserve"> </w:t>
      </w:r>
      <w:r w:rsidRPr="00DC3374">
        <w:rPr>
          <w:rFonts w:hint="eastAsia"/>
          <w:rtl/>
        </w:rPr>
        <w:t>ההיערכות</w:t>
      </w:r>
      <w:r w:rsidRPr="00DC3374">
        <w:rPr>
          <w:rtl/>
        </w:rPr>
        <w:t xml:space="preserve"> </w:t>
      </w:r>
      <w:r w:rsidRPr="00DC3374">
        <w:rPr>
          <w:rFonts w:hint="eastAsia"/>
          <w:rtl/>
        </w:rPr>
        <w:t>שהגדיר</w:t>
      </w:r>
      <w:r w:rsidRPr="00DC3374">
        <w:rPr>
          <w:rtl/>
        </w:rPr>
        <w:t xml:space="preserve"> </w:t>
      </w:r>
      <w:r w:rsidRPr="00DC3374">
        <w:rPr>
          <w:rFonts w:hint="eastAsia"/>
          <w:rtl/>
        </w:rPr>
        <w:t>ארגון</w:t>
      </w:r>
      <w:r w:rsidRPr="00DC3374">
        <w:rPr>
          <w:rtl/>
        </w:rPr>
        <w:t xml:space="preserve"> </w:t>
      </w:r>
      <w:r w:rsidRPr="00DC3374">
        <w:rPr>
          <w:rFonts w:hint="eastAsia"/>
          <w:rtl/>
        </w:rPr>
        <w:t>הבריאות</w:t>
      </w:r>
      <w:r w:rsidRPr="00DC3374">
        <w:rPr>
          <w:rtl/>
        </w:rPr>
        <w:t xml:space="preserve"> </w:t>
      </w:r>
      <w:r w:rsidRPr="00DC3374">
        <w:rPr>
          <w:rFonts w:hint="eastAsia"/>
          <w:rtl/>
        </w:rPr>
        <w:t>העולמי</w:t>
      </w:r>
      <w:r w:rsidRPr="00DC3374">
        <w:rPr>
          <w:rtl/>
        </w:rPr>
        <w:t xml:space="preserve">, </w:t>
      </w:r>
      <w:r w:rsidRPr="00DC3374">
        <w:rPr>
          <w:rFonts w:hint="eastAsia"/>
          <w:rtl/>
        </w:rPr>
        <w:t>כדלקמן</w:t>
      </w:r>
      <w:r w:rsidRPr="00DC3374">
        <w:rPr>
          <w:rtl/>
        </w:rPr>
        <w:t xml:space="preserve">: </w:t>
      </w:r>
      <w:r w:rsidRPr="00DC3374">
        <w:rPr>
          <w:rFonts w:hint="eastAsia"/>
          <w:rtl/>
        </w:rPr>
        <w:t>שלב</w:t>
      </w:r>
      <w:r w:rsidRPr="00DC3374">
        <w:rPr>
          <w:rtl/>
        </w:rPr>
        <w:t xml:space="preserve"> 1: </w:t>
      </w:r>
      <w:r w:rsidRPr="00DC3374">
        <w:rPr>
          <w:rFonts w:hint="eastAsia"/>
          <w:rtl/>
        </w:rPr>
        <w:t>שגרה</w:t>
      </w:r>
      <w:r w:rsidRPr="00DC3374">
        <w:rPr>
          <w:rtl/>
        </w:rPr>
        <w:t xml:space="preserve"> - </w:t>
      </w:r>
      <w:r w:rsidRPr="00DC3374">
        <w:rPr>
          <w:rFonts w:hint="eastAsia"/>
          <w:rtl/>
        </w:rPr>
        <w:t>בשלב</w:t>
      </w:r>
      <w:r w:rsidRPr="00DC3374">
        <w:rPr>
          <w:rtl/>
        </w:rPr>
        <w:t xml:space="preserve"> </w:t>
      </w:r>
      <w:r w:rsidRPr="00DC3374">
        <w:rPr>
          <w:rFonts w:hint="eastAsia"/>
          <w:rtl/>
        </w:rPr>
        <w:t>זה</w:t>
      </w:r>
      <w:r w:rsidRPr="00DC3374">
        <w:rPr>
          <w:rtl/>
        </w:rPr>
        <w:t xml:space="preserve"> </w:t>
      </w:r>
      <w:r w:rsidRPr="00DC3374">
        <w:rPr>
          <w:rFonts w:hint="eastAsia"/>
          <w:rtl/>
        </w:rPr>
        <w:t>נבנית</w:t>
      </w:r>
      <w:r w:rsidRPr="00DC3374">
        <w:rPr>
          <w:rtl/>
        </w:rPr>
        <w:t xml:space="preserve"> </w:t>
      </w:r>
      <w:r w:rsidRPr="00DC3374">
        <w:rPr>
          <w:rFonts w:hint="eastAsia"/>
          <w:rtl/>
        </w:rPr>
        <w:t>מוכנות</w:t>
      </w:r>
      <w:r w:rsidRPr="00DC3374">
        <w:rPr>
          <w:rtl/>
        </w:rPr>
        <w:t xml:space="preserve"> </w:t>
      </w:r>
      <w:r w:rsidRPr="00DC3374">
        <w:rPr>
          <w:rFonts w:hint="eastAsia"/>
          <w:rtl/>
        </w:rPr>
        <w:t>ברמה</w:t>
      </w:r>
      <w:r w:rsidRPr="00DC3374">
        <w:rPr>
          <w:rtl/>
        </w:rPr>
        <w:t xml:space="preserve"> </w:t>
      </w:r>
      <w:r w:rsidRPr="00DC3374">
        <w:rPr>
          <w:rFonts w:hint="eastAsia"/>
          <w:rtl/>
        </w:rPr>
        <w:t>הלאומית</w:t>
      </w:r>
      <w:r w:rsidRPr="00DC3374">
        <w:rPr>
          <w:rtl/>
        </w:rPr>
        <w:t xml:space="preserve"> </w:t>
      </w:r>
      <w:r w:rsidRPr="00DC3374">
        <w:rPr>
          <w:rFonts w:hint="eastAsia"/>
          <w:rtl/>
        </w:rPr>
        <w:t>לאפשרות</w:t>
      </w:r>
      <w:r w:rsidRPr="00DC3374">
        <w:rPr>
          <w:rtl/>
        </w:rPr>
        <w:t xml:space="preserve"> </w:t>
      </w:r>
      <w:r w:rsidRPr="00DC3374">
        <w:rPr>
          <w:rFonts w:hint="eastAsia"/>
          <w:rtl/>
        </w:rPr>
        <w:t>התפרצות</w:t>
      </w:r>
      <w:r w:rsidRPr="00DC3374">
        <w:rPr>
          <w:rtl/>
        </w:rPr>
        <w:t xml:space="preserve"> </w:t>
      </w:r>
      <w:r w:rsidRPr="00DC3374">
        <w:rPr>
          <w:rFonts w:hint="eastAsia"/>
          <w:rtl/>
        </w:rPr>
        <w:t>פנדמיה</w:t>
      </w:r>
      <w:r w:rsidRPr="00DC3374">
        <w:rPr>
          <w:rFonts w:hint="cs"/>
          <w:rtl/>
        </w:rPr>
        <w:t>, לרבות הכנת תוכנית הסברה ודוברות לאומית, הדרכה והכנה של האוכלוסייה</w:t>
      </w:r>
      <w:r w:rsidRPr="00DC3374">
        <w:rPr>
          <w:rtl/>
        </w:rPr>
        <w:t xml:space="preserve">; </w:t>
      </w:r>
      <w:r w:rsidRPr="00DC3374">
        <w:rPr>
          <w:rFonts w:hint="eastAsia"/>
          <w:rtl/>
        </w:rPr>
        <w:t>שלב</w:t>
      </w:r>
      <w:r w:rsidRPr="00DC3374">
        <w:rPr>
          <w:rtl/>
        </w:rPr>
        <w:t xml:space="preserve"> 2: </w:t>
      </w:r>
      <w:r w:rsidRPr="00DC3374">
        <w:rPr>
          <w:rFonts w:hint="eastAsia"/>
          <w:rtl/>
        </w:rPr>
        <w:t>היערכות</w:t>
      </w:r>
      <w:r w:rsidRPr="00DC3374">
        <w:rPr>
          <w:rtl/>
        </w:rPr>
        <w:t xml:space="preserve"> </w:t>
      </w:r>
      <w:r w:rsidRPr="00DC3374">
        <w:rPr>
          <w:rFonts w:hint="eastAsia"/>
          <w:rtl/>
        </w:rPr>
        <w:t>מוגברת</w:t>
      </w:r>
      <w:r w:rsidRPr="00DC3374">
        <w:rPr>
          <w:rtl/>
        </w:rPr>
        <w:t xml:space="preserve"> - </w:t>
      </w:r>
      <w:r w:rsidRPr="00DC3374">
        <w:rPr>
          <w:rFonts w:hint="eastAsia"/>
          <w:rtl/>
        </w:rPr>
        <w:t>בשלב</w:t>
      </w:r>
      <w:r w:rsidRPr="00DC3374">
        <w:rPr>
          <w:rtl/>
        </w:rPr>
        <w:t xml:space="preserve"> </w:t>
      </w:r>
      <w:r w:rsidRPr="00DC3374">
        <w:rPr>
          <w:rFonts w:hint="eastAsia"/>
          <w:rtl/>
        </w:rPr>
        <w:t>זה</w:t>
      </w:r>
      <w:r w:rsidRPr="00DC3374">
        <w:rPr>
          <w:rtl/>
        </w:rPr>
        <w:t xml:space="preserve"> </w:t>
      </w:r>
      <w:r w:rsidRPr="00DC3374">
        <w:rPr>
          <w:rFonts w:hint="eastAsia"/>
          <w:rtl/>
        </w:rPr>
        <w:t>זן</w:t>
      </w:r>
      <w:r w:rsidRPr="00DC3374">
        <w:rPr>
          <w:rtl/>
        </w:rPr>
        <w:t xml:space="preserve"> </w:t>
      </w:r>
      <w:r w:rsidRPr="00DC3374">
        <w:rPr>
          <w:rFonts w:hint="eastAsia"/>
          <w:rtl/>
        </w:rPr>
        <w:t>בעל</w:t>
      </w:r>
      <w:r w:rsidRPr="00DC3374">
        <w:rPr>
          <w:rtl/>
        </w:rPr>
        <w:t xml:space="preserve"> </w:t>
      </w:r>
      <w:r w:rsidRPr="00DC3374">
        <w:rPr>
          <w:rFonts w:hint="eastAsia"/>
          <w:rtl/>
        </w:rPr>
        <w:t>פוטנציאל</w:t>
      </w:r>
      <w:r w:rsidRPr="00DC3374">
        <w:rPr>
          <w:rtl/>
        </w:rPr>
        <w:t xml:space="preserve"> </w:t>
      </w:r>
      <w:r w:rsidRPr="00DC3374">
        <w:rPr>
          <w:rFonts w:hint="eastAsia"/>
          <w:rtl/>
        </w:rPr>
        <w:t>פנדמי</w:t>
      </w:r>
      <w:r w:rsidRPr="00DC3374">
        <w:rPr>
          <w:rtl/>
        </w:rPr>
        <w:t xml:space="preserve"> </w:t>
      </w:r>
      <w:r w:rsidRPr="00DC3374">
        <w:rPr>
          <w:rFonts w:hint="eastAsia"/>
          <w:rtl/>
        </w:rPr>
        <w:t>מתפשט</w:t>
      </w:r>
      <w:r w:rsidRPr="00DC3374">
        <w:rPr>
          <w:rtl/>
        </w:rPr>
        <w:t xml:space="preserve"> </w:t>
      </w:r>
      <w:r w:rsidRPr="00DC3374">
        <w:rPr>
          <w:rFonts w:hint="eastAsia"/>
          <w:rtl/>
        </w:rPr>
        <w:t>מחוץ</w:t>
      </w:r>
      <w:r w:rsidRPr="00DC3374">
        <w:rPr>
          <w:rtl/>
        </w:rPr>
        <w:t xml:space="preserve"> </w:t>
      </w:r>
      <w:r w:rsidRPr="00DC3374">
        <w:rPr>
          <w:rFonts w:hint="eastAsia"/>
          <w:rtl/>
        </w:rPr>
        <w:t>לישראל</w:t>
      </w:r>
      <w:r w:rsidRPr="00DC3374">
        <w:rPr>
          <w:rtl/>
        </w:rPr>
        <w:t xml:space="preserve">, </w:t>
      </w:r>
      <w:r w:rsidRPr="00DC3374">
        <w:rPr>
          <w:rFonts w:hint="eastAsia"/>
          <w:rtl/>
        </w:rPr>
        <w:t>ונדרשת</w:t>
      </w:r>
      <w:r w:rsidRPr="00DC3374">
        <w:rPr>
          <w:rtl/>
        </w:rPr>
        <w:t xml:space="preserve"> </w:t>
      </w:r>
      <w:r w:rsidRPr="00DC3374">
        <w:rPr>
          <w:rFonts w:hint="eastAsia"/>
          <w:rtl/>
        </w:rPr>
        <w:t>היערכות</w:t>
      </w:r>
      <w:r w:rsidRPr="00DC3374">
        <w:rPr>
          <w:rtl/>
        </w:rPr>
        <w:t xml:space="preserve"> </w:t>
      </w:r>
      <w:r w:rsidRPr="00DC3374">
        <w:rPr>
          <w:rFonts w:hint="eastAsia"/>
          <w:rtl/>
        </w:rPr>
        <w:t>מהירה</w:t>
      </w:r>
      <w:r w:rsidRPr="00DC3374">
        <w:rPr>
          <w:rtl/>
        </w:rPr>
        <w:t xml:space="preserve"> </w:t>
      </w:r>
      <w:r w:rsidRPr="00DC3374">
        <w:rPr>
          <w:rFonts w:hint="eastAsia"/>
          <w:rtl/>
        </w:rPr>
        <w:t>לשלבים</w:t>
      </w:r>
      <w:r w:rsidRPr="00DC3374">
        <w:rPr>
          <w:rtl/>
        </w:rPr>
        <w:t xml:space="preserve"> </w:t>
      </w:r>
      <w:r w:rsidRPr="00DC3374">
        <w:rPr>
          <w:rFonts w:hint="eastAsia"/>
          <w:rtl/>
        </w:rPr>
        <w:t>הבאים</w:t>
      </w:r>
      <w:r w:rsidRPr="00DC3374">
        <w:rPr>
          <w:rtl/>
        </w:rPr>
        <w:t xml:space="preserve">, </w:t>
      </w:r>
      <w:r w:rsidRPr="00DC3374">
        <w:rPr>
          <w:rFonts w:hint="eastAsia"/>
          <w:rtl/>
        </w:rPr>
        <w:t>בהתאם</w:t>
      </w:r>
      <w:r w:rsidRPr="00DC3374">
        <w:rPr>
          <w:rtl/>
        </w:rPr>
        <w:t xml:space="preserve"> </w:t>
      </w:r>
      <w:r w:rsidRPr="00DC3374">
        <w:rPr>
          <w:rFonts w:hint="eastAsia"/>
          <w:rtl/>
        </w:rPr>
        <w:t>להערכת</w:t>
      </w:r>
      <w:r w:rsidRPr="00DC3374">
        <w:rPr>
          <w:rtl/>
        </w:rPr>
        <w:t xml:space="preserve"> </w:t>
      </w:r>
      <w:r w:rsidRPr="00DC3374">
        <w:rPr>
          <w:rFonts w:hint="eastAsia"/>
          <w:rtl/>
        </w:rPr>
        <w:t>הסיכון</w:t>
      </w:r>
      <w:r w:rsidRPr="00DC3374">
        <w:rPr>
          <w:rFonts w:hint="cs"/>
          <w:rtl/>
        </w:rPr>
        <w:t>, ובכלל זאת איסוף המידע והעברתו למקבלי ההחלטות</w:t>
      </w:r>
      <w:r w:rsidRPr="00DC3374">
        <w:rPr>
          <w:rtl/>
        </w:rPr>
        <w:t xml:space="preserve">; </w:t>
      </w:r>
      <w:r w:rsidRPr="00DC3374">
        <w:rPr>
          <w:rFonts w:hint="eastAsia"/>
          <w:rtl/>
        </w:rPr>
        <w:t>שלב</w:t>
      </w:r>
      <w:r w:rsidRPr="00DC3374">
        <w:rPr>
          <w:rtl/>
        </w:rPr>
        <w:t xml:space="preserve"> 3: </w:t>
      </w:r>
      <w:r w:rsidRPr="00DC3374">
        <w:rPr>
          <w:rFonts w:hint="eastAsia"/>
          <w:rtl/>
        </w:rPr>
        <w:t>ארגון</w:t>
      </w:r>
      <w:r w:rsidRPr="00DC3374">
        <w:rPr>
          <w:rtl/>
        </w:rPr>
        <w:t xml:space="preserve"> </w:t>
      </w:r>
      <w:r w:rsidRPr="00DC3374">
        <w:rPr>
          <w:rFonts w:hint="eastAsia"/>
          <w:rtl/>
        </w:rPr>
        <w:t>הבריאות</w:t>
      </w:r>
      <w:r w:rsidRPr="00DC3374">
        <w:rPr>
          <w:rtl/>
        </w:rPr>
        <w:t xml:space="preserve"> </w:t>
      </w:r>
      <w:r w:rsidRPr="00DC3374">
        <w:rPr>
          <w:rFonts w:hint="eastAsia"/>
          <w:rtl/>
        </w:rPr>
        <w:t>העולמי</w:t>
      </w:r>
      <w:r w:rsidRPr="00DC3374">
        <w:rPr>
          <w:rFonts w:hint="cs"/>
          <w:rtl/>
        </w:rPr>
        <w:t xml:space="preserve"> מכריז על פנדמיה</w:t>
      </w:r>
      <w:r w:rsidRPr="00DC3374">
        <w:rPr>
          <w:rtl/>
        </w:rPr>
        <w:t xml:space="preserve">. </w:t>
      </w:r>
      <w:r w:rsidRPr="00DC3374">
        <w:rPr>
          <w:rFonts w:hint="eastAsia"/>
          <w:rtl/>
        </w:rPr>
        <w:t>בשלב</w:t>
      </w:r>
      <w:r w:rsidRPr="00DC3374">
        <w:rPr>
          <w:rtl/>
        </w:rPr>
        <w:t xml:space="preserve"> </w:t>
      </w:r>
      <w:r w:rsidRPr="00DC3374">
        <w:rPr>
          <w:rFonts w:hint="eastAsia"/>
          <w:rtl/>
        </w:rPr>
        <w:t>זה</w:t>
      </w:r>
      <w:r w:rsidRPr="00DC3374">
        <w:rPr>
          <w:rtl/>
        </w:rPr>
        <w:t xml:space="preserve"> </w:t>
      </w:r>
      <w:r w:rsidRPr="00DC3374">
        <w:rPr>
          <w:rFonts w:hint="cs"/>
          <w:rtl/>
        </w:rPr>
        <w:t xml:space="preserve">שר הבריאות </w:t>
      </w:r>
      <w:r w:rsidRPr="00DC3374">
        <w:rPr>
          <w:rFonts w:hint="eastAsia"/>
          <w:rtl/>
        </w:rPr>
        <w:t>בתיאום</w:t>
      </w:r>
      <w:r w:rsidRPr="00DC3374">
        <w:rPr>
          <w:rtl/>
        </w:rPr>
        <w:t xml:space="preserve"> </w:t>
      </w:r>
      <w:r w:rsidRPr="00DC3374">
        <w:rPr>
          <w:rFonts w:hint="eastAsia"/>
          <w:rtl/>
        </w:rPr>
        <w:t>עם</w:t>
      </w:r>
      <w:r w:rsidRPr="00DC3374">
        <w:rPr>
          <w:rtl/>
        </w:rPr>
        <w:t xml:space="preserve"> </w:t>
      </w:r>
      <w:r w:rsidRPr="00DC3374">
        <w:rPr>
          <w:rFonts w:hint="eastAsia"/>
          <w:rtl/>
        </w:rPr>
        <w:t>שר</w:t>
      </w:r>
      <w:r w:rsidRPr="00DC3374">
        <w:rPr>
          <w:rtl/>
        </w:rPr>
        <w:t xml:space="preserve"> </w:t>
      </w:r>
      <w:r w:rsidRPr="00DC3374">
        <w:rPr>
          <w:rFonts w:hint="eastAsia"/>
          <w:rtl/>
        </w:rPr>
        <w:t>הביטחון מכר</w:t>
      </w:r>
      <w:r w:rsidRPr="00DC3374">
        <w:rPr>
          <w:rFonts w:hint="cs"/>
          <w:rtl/>
        </w:rPr>
        <w:t>י</w:t>
      </w:r>
      <w:r w:rsidRPr="00DC3374">
        <w:rPr>
          <w:rFonts w:hint="eastAsia"/>
          <w:rtl/>
        </w:rPr>
        <w:t>ז</w:t>
      </w:r>
      <w:r w:rsidRPr="00DC3374">
        <w:rPr>
          <w:rtl/>
        </w:rPr>
        <w:t xml:space="preserve"> </w:t>
      </w:r>
      <w:r w:rsidRPr="00DC3374">
        <w:rPr>
          <w:rFonts w:hint="eastAsia"/>
          <w:rtl/>
        </w:rPr>
        <w:t>רשמית</w:t>
      </w:r>
      <w:r w:rsidRPr="00DC3374">
        <w:rPr>
          <w:rtl/>
        </w:rPr>
        <w:t xml:space="preserve"> </w:t>
      </w:r>
      <w:r w:rsidRPr="00DC3374">
        <w:rPr>
          <w:rFonts w:hint="eastAsia"/>
          <w:rtl/>
        </w:rPr>
        <w:t>על</w:t>
      </w:r>
      <w:r w:rsidRPr="00DC3374">
        <w:rPr>
          <w:rtl/>
        </w:rPr>
        <w:t xml:space="preserve"> </w:t>
      </w:r>
      <w:r w:rsidRPr="00DC3374">
        <w:rPr>
          <w:rFonts w:hint="eastAsia"/>
          <w:rtl/>
        </w:rPr>
        <w:t>מצב</w:t>
      </w:r>
      <w:r w:rsidRPr="00DC3374">
        <w:rPr>
          <w:rtl/>
        </w:rPr>
        <w:t xml:space="preserve"> </w:t>
      </w:r>
      <w:r w:rsidRPr="00DC3374">
        <w:rPr>
          <w:rFonts w:hint="eastAsia"/>
          <w:rtl/>
        </w:rPr>
        <w:t>פנדמיה</w:t>
      </w:r>
      <w:r w:rsidRPr="00DC3374">
        <w:rPr>
          <w:rtl/>
        </w:rPr>
        <w:t xml:space="preserve"> </w:t>
      </w:r>
      <w:r w:rsidRPr="00DC3374">
        <w:rPr>
          <w:rFonts w:hint="eastAsia"/>
          <w:rtl/>
        </w:rPr>
        <w:t>בישראל</w:t>
      </w:r>
      <w:r w:rsidRPr="00DC3374">
        <w:rPr>
          <w:rtl/>
        </w:rPr>
        <w:t xml:space="preserve">, </w:t>
      </w:r>
      <w:r w:rsidRPr="00DC3374">
        <w:rPr>
          <w:rFonts w:hint="cs"/>
          <w:rtl/>
        </w:rPr>
        <w:t xml:space="preserve">לרבות הפעלת תוכנית ההסברה הלאומית ותוכנית חוסן לאומית; </w:t>
      </w:r>
      <w:r w:rsidRPr="00DC3374">
        <w:rPr>
          <w:rtl/>
        </w:rPr>
        <w:t>שלב 4: תהליך חזרה לכשירות והיערכות לגל פנדמי נוסף</w:t>
      </w:r>
      <w:r w:rsidRPr="00DC3374">
        <w:rPr>
          <w:rFonts w:hint="cs"/>
          <w:rtl/>
        </w:rPr>
        <w:t>, לרבות תחקור פנים-ארגוני</w:t>
      </w:r>
      <w:r w:rsidRPr="00DC3374">
        <w:rPr>
          <w:rtl/>
        </w:rPr>
        <w:t xml:space="preserve">. </w:t>
      </w:r>
    </w:p>
    <w:p w:rsidR="006C1EA1" w:rsidRPr="00DC3374" w:rsidP="00E81188" w14:paraId="1C2BE7EE" w14:textId="52E4C85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B6D56F2" w14:textId="77777777">
      <w:pPr>
        <w:spacing w:line="269" w:lineRule="auto"/>
        <w:rPr>
          <w:rtl/>
        </w:rPr>
      </w:pPr>
      <w:r w:rsidRPr="00DC3374">
        <w:rPr>
          <w:rFonts w:hint="eastAsia"/>
          <w:rtl/>
        </w:rPr>
        <w:t>ב</w:t>
      </w:r>
      <w:r w:rsidRPr="00DC3374">
        <w:rPr>
          <w:rtl/>
        </w:rPr>
        <w:t xml:space="preserve">-2.2.20, בתחילתו של משבר הקורונה, בדיון בראשות ראש הממשלה, שרים וגורמי ביצוע, הוחלט כי </w:t>
      </w:r>
      <w:r w:rsidRPr="00DC3374">
        <w:rPr>
          <w:rFonts w:hint="eastAsia"/>
          <w:rtl/>
        </w:rPr>
        <w:t>המל</w:t>
      </w:r>
      <w:r w:rsidRPr="00DC3374">
        <w:rPr>
          <w:rtl/>
        </w:rPr>
        <w:t xml:space="preserve">"ל יהיה אחראי </w:t>
      </w:r>
      <w:r w:rsidRPr="00DC3374">
        <w:rPr>
          <w:rFonts w:hint="eastAsia"/>
          <w:rtl/>
        </w:rPr>
        <w:t>לתכלל</w:t>
      </w:r>
      <w:r w:rsidRPr="00DC3374">
        <w:rPr>
          <w:rtl/>
        </w:rPr>
        <w:t xml:space="preserve"> את הטיפול הממשלתי במשבר. </w:t>
      </w:r>
      <w:r w:rsidRPr="00DC3374">
        <w:rPr>
          <w:rFonts w:hint="eastAsia"/>
          <w:rtl/>
        </w:rPr>
        <w:t>עוד</w:t>
      </w:r>
      <w:r w:rsidRPr="00DC3374">
        <w:rPr>
          <w:rtl/>
        </w:rPr>
        <w:t xml:space="preserve"> </w:t>
      </w:r>
      <w:r w:rsidRPr="00DC3374">
        <w:rPr>
          <w:rFonts w:hint="eastAsia"/>
          <w:rtl/>
        </w:rPr>
        <w:t>הוחלט</w:t>
      </w:r>
      <w:r w:rsidRPr="00DC3374">
        <w:rPr>
          <w:rtl/>
        </w:rPr>
        <w:t xml:space="preserve"> </w:t>
      </w:r>
      <w:r w:rsidRPr="00DC3374">
        <w:rPr>
          <w:rFonts w:hint="eastAsia"/>
          <w:rtl/>
        </w:rPr>
        <w:t>בדיון</w:t>
      </w:r>
      <w:r w:rsidRPr="00DC3374">
        <w:rPr>
          <w:rtl/>
        </w:rPr>
        <w:t xml:space="preserve"> </w:t>
      </w:r>
      <w:r w:rsidRPr="00DC3374">
        <w:rPr>
          <w:rFonts w:hint="eastAsia"/>
          <w:rtl/>
        </w:rPr>
        <w:t>זה</w:t>
      </w:r>
      <w:r w:rsidRPr="00DC3374">
        <w:rPr>
          <w:rtl/>
        </w:rPr>
        <w:t xml:space="preserve"> </w:t>
      </w:r>
      <w:r w:rsidRPr="00DC3374">
        <w:rPr>
          <w:rFonts w:hint="eastAsia"/>
          <w:rtl/>
        </w:rPr>
        <w:t>להטיל</w:t>
      </w:r>
      <w:r w:rsidRPr="00DC3374">
        <w:rPr>
          <w:rtl/>
        </w:rPr>
        <w:t xml:space="preserve"> </w:t>
      </w:r>
      <w:r w:rsidRPr="00DC3374">
        <w:rPr>
          <w:rFonts w:hint="eastAsia"/>
          <w:rtl/>
        </w:rPr>
        <w:t>על</w:t>
      </w:r>
      <w:r w:rsidRPr="00DC3374">
        <w:rPr>
          <w:rtl/>
        </w:rPr>
        <w:t xml:space="preserve"> </w:t>
      </w:r>
      <w:r w:rsidRPr="00DC3374">
        <w:rPr>
          <w:rFonts w:hint="eastAsia"/>
          <w:rtl/>
        </w:rPr>
        <w:t>משרד</w:t>
      </w:r>
      <w:r w:rsidRPr="00DC3374">
        <w:rPr>
          <w:rtl/>
        </w:rPr>
        <w:t xml:space="preserve"> </w:t>
      </w:r>
      <w:r w:rsidRPr="00DC3374">
        <w:rPr>
          <w:rFonts w:hint="eastAsia"/>
          <w:rtl/>
        </w:rPr>
        <w:t>הבריאות</w:t>
      </w:r>
      <w:r w:rsidRPr="00DC3374">
        <w:rPr>
          <w:rtl/>
        </w:rPr>
        <w:t xml:space="preserve"> </w:t>
      </w:r>
      <w:r w:rsidRPr="00DC3374">
        <w:rPr>
          <w:rFonts w:hint="eastAsia"/>
          <w:rtl/>
        </w:rPr>
        <w:t>את</w:t>
      </w:r>
      <w:r w:rsidRPr="00DC3374">
        <w:rPr>
          <w:rtl/>
        </w:rPr>
        <w:t xml:space="preserve"> </w:t>
      </w:r>
      <w:r w:rsidRPr="00DC3374">
        <w:rPr>
          <w:rFonts w:hint="eastAsia"/>
          <w:rtl/>
        </w:rPr>
        <w:t>האחריות</w:t>
      </w:r>
      <w:r w:rsidRPr="00DC3374">
        <w:rPr>
          <w:rtl/>
        </w:rPr>
        <w:t xml:space="preserve"> </w:t>
      </w:r>
      <w:r w:rsidRPr="00DC3374">
        <w:rPr>
          <w:rFonts w:hint="eastAsia"/>
          <w:rtl/>
        </w:rPr>
        <w:t>להובלת</w:t>
      </w:r>
      <w:r w:rsidRPr="00DC3374">
        <w:rPr>
          <w:rtl/>
        </w:rPr>
        <w:t xml:space="preserve"> </w:t>
      </w:r>
      <w:r w:rsidRPr="00DC3374">
        <w:rPr>
          <w:rFonts w:hint="eastAsia"/>
          <w:rtl/>
        </w:rPr>
        <w:t>המשבר</w:t>
      </w:r>
      <w:r w:rsidRPr="00DC3374">
        <w:rPr>
          <w:rtl/>
        </w:rPr>
        <w:t xml:space="preserve"> </w:t>
      </w:r>
      <w:r w:rsidRPr="00DC3374">
        <w:rPr>
          <w:rFonts w:hint="eastAsia"/>
          <w:rtl/>
        </w:rPr>
        <w:t>בהיבט</w:t>
      </w:r>
      <w:r w:rsidRPr="00DC3374">
        <w:rPr>
          <w:rtl/>
        </w:rPr>
        <w:t xml:space="preserve"> </w:t>
      </w:r>
      <w:r w:rsidRPr="00DC3374">
        <w:rPr>
          <w:rFonts w:hint="eastAsia"/>
          <w:rtl/>
        </w:rPr>
        <w:t>המקצועי</w:t>
      </w:r>
      <w:r w:rsidRPr="00DC3374">
        <w:rPr>
          <w:rtl/>
        </w:rPr>
        <w:t xml:space="preserve"> </w:t>
      </w:r>
      <w:r w:rsidRPr="00DC3374">
        <w:rPr>
          <w:rFonts w:hint="eastAsia"/>
          <w:rtl/>
        </w:rPr>
        <w:t>ואת</w:t>
      </w:r>
      <w:r w:rsidRPr="00DC3374">
        <w:rPr>
          <w:rtl/>
        </w:rPr>
        <w:t xml:space="preserve"> </w:t>
      </w:r>
      <w:r w:rsidRPr="00DC3374">
        <w:rPr>
          <w:rFonts w:hint="eastAsia"/>
          <w:rtl/>
        </w:rPr>
        <w:t>האחריות</w:t>
      </w:r>
      <w:r w:rsidRPr="00DC3374">
        <w:rPr>
          <w:rtl/>
        </w:rPr>
        <w:t xml:space="preserve"> </w:t>
      </w:r>
      <w:r w:rsidRPr="00DC3374">
        <w:rPr>
          <w:rFonts w:hint="eastAsia"/>
          <w:rtl/>
        </w:rPr>
        <w:t>להובלת</w:t>
      </w:r>
      <w:r w:rsidRPr="00DC3374">
        <w:rPr>
          <w:rtl/>
        </w:rPr>
        <w:t xml:space="preserve"> </w:t>
      </w:r>
      <w:r w:rsidRPr="00DC3374">
        <w:rPr>
          <w:rFonts w:hint="eastAsia"/>
          <w:rtl/>
        </w:rPr>
        <w:t>ההסברה</w:t>
      </w:r>
      <w:r w:rsidRPr="00DC3374">
        <w:rPr>
          <w:rtl/>
        </w:rPr>
        <w:t xml:space="preserve"> </w:t>
      </w:r>
      <w:r w:rsidRPr="00DC3374">
        <w:rPr>
          <w:rFonts w:hint="eastAsia"/>
          <w:rtl/>
        </w:rPr>
        <w:t>לציבור</w:t>
      </w:r>
      <w:r w:rsidRPr="00DC3374">
        <w:rPr>
          <w:rtl/>
        </w:rPr>
        <w:t xml:space="preserve">, </w:t>
      </w:r>
      <w:r w:rsidRPr="00DC3374">
        <w:rPr>
          <w:rFonts w:hint="eastAsia"/>
          <w:rtl/>
        </w:rPr>
        <w:t>בסיוע</w:t>
      </w:r>
      <w:r w:rsidRPr="00DC3374">
        <w:rPr>
          <w:rtl/>
        </w:rPr>
        <w:t xml:space="preserve"> </w:t>
      </w:r>
      <w:r w:rsidRPr="00DC3374">
        <w:rPr>
          <w:rFonts w:hint="eastAsia"/>
          <w:rtl/>
        </w:rPr>
        <w:t>מטה</w:t>
      </w:r>
      <w:r w:rsidRPr="00DC3374">
        <w:rPr>
          <w:rtl/>
        </w:rPr>
        <w:t xml:space="preserve"> </w:t>
      </w:r>
      <w:r w:rsidRPr="00DC3374">
        <w:rPr>
          <w:rFonts w:hint="eastAsia"/>
          <w:rtl/>
        </w:rPr>
        <w:t>ההסברה</w:t>
      </w:r>
      <w:r w:rsidRPr="00DC3374">
        <w:rPr>
          <w:rtl/>
        </w:rPr>
        <w:t xml:space="preserve"> </w:t>
      </w:r>
      <w:r w:rsidRPr="00DC3374">
        <w:rPr>
          <w:rFonts w:hint="eastAsia"/>
          <w:rtl/>
        </w:rPr>
        <w:t>הלאומי</w:t>
      </w:r>
      <w:r w:rsidRPr="00DC3374">
        <w:rPr>
          <w:rtl/>
        </w:rPr>
        <w:t xml:space="preserve"> </w:t>
      </w:r>
      <w:r w:rsidRPr="00DC3374">
        <w:rPr>
          <w:rFonts w:hint="eastAsia"/>
          <w:rtl/>
        </w:rPr>
        <w:t>ומפקדת</w:t>
      </w:r>
      <w:r w:rsidRPr="00DC3374">
        <w:rPr>
          <w:rtl/>
        </w:rPr>
        <w:t xml:space="preserve"> </w:t>
      </w:r>
      <w:r w:rsidRPr="00DC3374">
        <w:rPr>
          <w:rFonts w:hint="eastAsia"/>
          <w:rtl/>
        </w:rPr>
        <w:t>קצין</w:t>
      </w:r>
      <w:r w:rsidRPr="00DC3374">
        <w:rPr>
          <w:rtl/>
        </w:rPr>
        <w:t xml:space="preserve"> </w:t>
      </w:r>
      <w:r w:rsidRPr="00DC3374">
        <w:rPr>
          <w:rFonts w:hint="eastAsia"/>
          <w:rtl/>
        </w:rPr>
        <w:t>רפואה</w:t>
      </w:r>
      <w:r w:rsidRPr="00DC3374">
        <w:rPr>
          <w:rtl/>
        </w:rPr>
        <w:t xml:space="preserve"> </w:t>
      </w:r>
      <w:r w:rsidRPr="00DC3374">
        <w:rPr>
          <w:rFonts w:hint="eastAsia"/>
          <w:rtl/>
        </w:rPr>
        <w:t>ראשי</w:t>
      </w:r>
      <w:r w:rsidRPr="00DC3374">
        <w:rPr>
          <w:rtl/>
        </w:rPr>
        <w:t xml:space="preserve"> </w:t>
      </w:r>
      <w:r w:rsidRPr="00DC3374">
        <w:rPr>
          <w:rFonts w:hint="eastAsia"/>
          <w:rtl/>
        </w:rPr>
        <w:t>בצה</w:t>
      </w:r>
      <w:r w:rsidRPr="00DC3374">
        <w:rPr>
          <w:rtl/>
        </w:rPr>
        <w:t xml:space="preserve">"ל (להלן - </w:t>
      </w:r>
      <w:r w:rsidRPr="00DC3374">
        <w:rPr>
          <w:rFonts w:hint="eastAsia"/>
          <w:rtl/>
        </w:rPr>
        <w:t>ההחלטה</w:t>
      </w:r>
      <w:r w:rsidRPr="00DC3374">
        <w:rPr>
          <w:rtl/>
        </w:rPr>
        <w:t xml:space="preserve"> </w:t>
      </w:r>
      <w:r w:rsidRPr="00DC3374">
        <w:rPr>
          <w:rFonts w:hint="eastAsia"/>
          <w:rtl/>
        </w:rPr>
        <w:t>בעניין</w:t>
      </w:r>
      <w:r w:rsidRPr="00DC3374">
        <w:rPr>
          <w:rtl/>
        </w:rPr>
        <w:t xml:space="preserve"> </w:t>
      </w:r>
      <w:r w:rsidRPr="00DC3374">
        <w:rPr>
          <w:rFonts w:hint="eastAsia"/>
          <w:rtl/>
        </w:rPr>
        <w:t>הובלת</w:t>
      </w:r>
      <w:r w:rsidRPr="00DC3374">
        <w:rPr>
          <w:rtl/>
        </w:rPr>
        <w:t xml:space="preserve"> </w:t>
      </w:r>
      <w:r w:rsidRPr="00DC3374">
        <w:rPr>
          <w:rFonts w:hint="eastAsia"/>
          <w:rtl/>
        </w:rPr>
        <w:t>ההסברה</w:t>
      </w:r>
      <w:r w:rsidRPr="00DC3374">
        <w:rPr>
          <w:rtl/>
        </w:rPr>
        <w:t xml:space="preserve">). במסגרת החלטה זו, לא הוטלה אחריות רשמית להסברה על </w:t>
      </w:r>
      <w:r w:rsidRPr="00DC3374">
        <w:rPr>
          <w:rFonts w:hint="eastAsia"/>
          <w:rtl/>
        </w:rPr>
        <w:t>פקע</w:t>
      </w:r>
      <w:r w:rsidRPr="00DC3374">
        <w:rPr>
          <w:rtl/>
        </w:rPr>
        <w:t>"ר,</w:t>
      </w:r>
      <w:r w:rsidRPr="00DC3374">
        <w:rPr>
          <w:rFonts w:hint="cs"/>
          <w:rtl/>
        </w:rPr>
        <w:t xml:space="preserve"> </w:t>
      </w:r>
      <w:r w:rsidRPr="00DC3374">
        <w:rPr>
          <w:rFonts w:hint="eastAsia"/>
          <w:rtl/>
        </w:rPr>
        <w:t>ו</w:t>
      </w:r>
      <w:r w:rsidRPr="00DC3374">
        <w:rPr>
          <w:rFonts w:hint="cs"/>
          <w:rtl/>
        </w:rPr>
        <w:t>ב</w:t>
      </w:r>
      <w:r w:rsidRPr="00DC3374">
        <w:rPr>
          <w:rtl/>
        </w:rPr>
        <w:t xml:space="preserve">מרץ 2020 </w:t>
      </w:r>
      <w:r w:rsidRPr="00DC3374">
        <w:rPr>
          <w:rFonts w:hint="cs"/>
          <w:rtl/>
        </w:rPr>
        <w:t>אישר</w:t>
      </w:r>
      <w:r w:rsidRPr="00DC3374">
        <w:rPr>
          <w:rtl/>
        </w:rPr>
        <w:t xml:space="preserve"> </w:t>
      </w:r>
      <w:r w:rsidRPr="00DC3374">
        <w:rPr>
          <w:rFonts w:hint="eastAsia"/>
          <w:rtl/>
        </w:rPr>
        <w:t>שר</w:t>
      </w:r>
      <w:r w:rsidRPr="00DC3374">
        <w:rPr>
          <w:rtl/>
        </w:rPr>
        <w:t xml:space="preserve"> הביטחון </w:t>
      </w:r>
      <w:r w:rsidRPr="00DC3374">
        <w:rPr>
          <w:rFonts w:hint="eastAsia"/>
          <w:rtl/>
        </w:rPr>
        <w:t>כי</w:t>
      </w:r>
      <w:r w:rsidRPr="00DC3374">
        <w:rPr>
          <w:rtl/>
        </w:rPr>
        <w:t xml:space="preserve"> </w:t>
      </w:r>
      <w:r w:rsidRPr="00DC3374">
        <w:rPr>
          <w:rFonts w:hint="eastAsia"/>
          <w:rtl/>
        </w:rPr>
        <w:t>פקע</w:t>
      </w:r>
      <w:r w:rsidRPr="00DC3374">
        <w:rPr>
          <w:rtl/>
        </w:rPr>
        <w:t xml:space="preserve">"ר </w:t>
      </w:r>
      <w:r w:rsidRPr="00DC3374">
        <w:rPr>
          <w:rFonts w:hint="eastAsia"/>
          <w:rtl/>
        </w:rPr>
        <w:t>יפעל</w:t>
      </w:r>
      <w:r w:rsidRPr="00DC3374">
        <w:rPr>
          <w:rtl/>
        </w:rPr>
        <w:t xml:space="preserve"> </w:t>
      </w:r>
      <w:r w:rsidRPr="00DC3374">
        <w:rPr>
          <w:rFonts w:hint="cs"/>
          <w:rtl/>
        </w:rPr>
        <w:t>כ</w:t>
      </w:r>
      <w:r w:rsidRPr="00DC3374">
        <w:rPr>
          <w:rFonts w:hint="eastAsia"/>
          <w:rtl/>
        </w:rPr>
        <w:t>גורם</w:t>
      </w:r>
      <w:r w:rsidRPr="00DC3374">
        <w:rPr>
          <w:rtl/>
        </w:rPr>
        <w:t xml:space="preserve"> </w:t>
      </w:r>
      <w:r w:rsidRPr="00DC3374">
        <w:rPr>
          <w:rFonts w:hint="eastAsia"/>
          <w:rtl/>
        </w:rPr>
        <w:t>מסייע</w:t>
      </w:r>
      <w:r w:rsidRPr="00DC3374">
        <w:rPr>
          <w:rtl/>
        </w:rPr>
        <w:t xml:space="preserve"> למערכת הבריאות</w:t>
      </w:r>
      <w:r>
        <w:rPr>
          <w:rStyle w:val="FootnoteReference1"/>
          <w:rtl/>
        </w:rPr>
        <w:footnoteReference w:id="37"/>
      </w:r>
      <w:r w:rsidRPr="00DC3374">
        <w:rPr>
          <w:rtl/>
        </w:rPr>
        <w:t xml:space="preserve">. </w:t>
      </w:r>
    </w:p>
    <w:p w:rsidR="006C1EA1" w:rsidRPr="00DC3374" w:rsidP="00E81188" w14:paraId="0CAD78AE" w14:textId="4A7A3C5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75FB5ADD" w14:textId="77777777">
      <w:pPr>
        <w:spacing w:line="269" w:lineRule="auto"/>
        <w:rPr>
          <w:rtl/>
        </w:rPr>
      </w:pPr>
      <w:r w:rsidRPr="00DC3374">
        <w:rPr>
          <w:rFonts w:hint="cs"/>
          <w:rtl/>
        </w:rPr>
        <w:t>ב-11 במרץ 2020 הכריז ארגון הבריאות העולמי על מגפה עולמית. לאחר מכן לא הוכרז בישראל על מעבר לשלב 3 של המשבר, וסמכויות הובלת המשבר בהיבט המקצועי, לרבות הובלת ההסברה, נותרו בידי משרד הבריאות ולא עברו למשרד הביטחון.</w:t>
      </w:r>
    </w:p>
    <w:p w:rsidR="006C1EA1" w:rsidRPr="00DC3374" w:rsidP="00E81188" w14:paraId="46D9BE34" w14:textId="188BB4E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2A62BCB7" w14:textId="77777777">
      <w:pPr>
        <w:spacing w:line="269" w:lineRule="auto"/>
        <w:rPr>
          <w:b/>
          <w:bCs/>
          <w:u w:val="single"/>
          <w:rtl/>
        </w:rPr>
      </w:pPr>
      <w:r w:rsidRPr="00DC3374">
        <w:rPr>
          <w:rFonts w:hint="cs"/>
          <w:rtl/>
        </w:rPr>
        <w:t>להלן תרשים המציג את המבנה הארגוני של ההסברה במשבר הקורונה בעקבות ההחלטות שהתקבלו כאמור בתחילת משבר הקורונה:</w:t>
      </w:r>
    </w:p>
    <w:p w:rsidR="00E81188" w14:paraId="5D1D3A0A" w14:textId="77777777">
      <w:pPr>
        <w:spacing w:line="240" w:lineRule="auto"/>
        <w:ind w:left="720" w:hanging="720"/>
        <w:rPr>
          <w:szCs w:val="20"/>
          <w:rtl/>
        </w:rPr>
      </w:pPr>
      <w:r>
        <w:rPr>
          <w:rtl/>
        </w:rPr>
        <w:br w:type="page"/>
      </w:r>
    </w:p>
    <w:p w:rsidR="006C1EA1" w:rsidRPr="00DC3374" w:rsidP="00E81188" w14:paraId="5FE0EE75" w14:textId="1413F7F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328D9EA" w14:textId="77777777">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29</w:t>
      </w:r>
      <w:r w:rsidRPr="00DC3374">
        <w:rPr>
          <w:b/>
          <w:bCs/>
          <w:rtl/>
        </w:rPr>
        <w:t xml:space="preserve">: ההסברה במשבר הקורונה - </w:t>
      </w:r>
      <w:r w:rsidRPr="00DC3374">
        <w:rPr>
          <w:rFonts w:hint="cs"/>
          <w:b/>
          <w:bCs/>
          <w:rtl/>
        </w:rPr>
        <w:t>ה</w:t>
      </w:r>
      <w:r w:rsidRPr="00DC3374">
        <w:rPr>
          <w:b/>
          <w:bCs/>
          <w:rtl/>
        </w:rPr>
        <w:t xml:space="preserve">מבנה </w:t>
      </w:r>
      <w:r w:rsidRPr="00DC3374">
        <w:rPr>
          <w:rFonts w:hint="cs"/>
          <w:b/>
          <w:bCs/>
          <w:rtl/>
        </w:rPr>
        <w:t>ה</w:t>
      </w:r>
      <w:r w:rsidRPr="00DC3374">
        <w:rPr>
          <w:b/>
          <w:bCs/>
          <w:rtl/>
        </w:rPr>
        <w:t xml:space="preserve">ארגוני </w:t>
      </w:r>
    </w:p>
    <w:p w:rsidR="006C1EA1" w:rsidRPr="00DC3374" w:rsidP="00E81188" w14:paraId="613CD6EC" w14:textId="77777777">
      <w:pPr>
        <w:spacing w:line="269" w:lineRule="auto"/>
        <w:jc w:val="center"/>
        <w:rPr>
          <w:b/>
          <w:bCs/>
          <w:rtl/>
        </w:rPr>
      </w:pPr>
    </w:p>
    <w:p w:rsidR="006C1EA1" w:rsidRPr="00DC3374" w:rsidP="00E81188" w14:paraId="760E11AB" w14:textId="77777777">
      <w:pPr>
        <w:spacing w:line="269" w:lineRule="auto"/>
        <w:jc w:val="center"/>
        <w:rPr>
          <w:b/>
          <w:bCs/>
          <w:rtl/>
        </w:rPr>
      </w:pPr>
      <w:r w:rsidRPr="00DC3374">
        <w:rPr>
          <w:noProof/>
        </w:rPr>
        <w:drawing>
          <wp:inline distT="0" distB="0" distL="0" distR="0">
            <wp:extent cx="3466911" cy="5305425"/>
            <wp:effectExtent l="0" t="0" r="635" b="0"/>
            <wp:docPr id="1743882411" name="תמונה 1743882411" descr="C:\Users\michal_re\AppData\Local\Microsoft\Windows\INetCache\Content.Word\MR-Tarshim-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7689" name="Picture 11" descr="C:\Users\michal_re\AppData\Local\Microsoft\Windows\INetCache\Content.Word\MR-Tarshim-29.jpg"/>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77773" cy="5322048"/>
                    </a:xfrm>
                    <a:prstGeom prst="rect">
                      <a:avLst/>
                    </a:prstGeom>
                    <a:noFill/>
                    <a:ln>
                      <a:noFill/>
                    </a:ln>
                  </pic:spPr>
                </pic:pic>
              </a:graphicData>
            </a:graphic>
          </wp:inline>
        </w:drawing>
      </w:r>
    </w:p>
    <w:p w:rsidR="006C1EA1" w:rsidRPr="00DC3374" w:rsidP="00E81188" w14:paraId="14C8C994" w14:textId="77777777">
      <w:pPr>
        <w:spacing w:line="269" w:lineRule="auto"/>
        <w:jc w:val="center"/>
        <w:rPr>
          <w:b/>
          <w:bCs/>
          <w:u w:val="single"/>
          <w:rtl/>
        </w:rPr>
      </w:pPr>
    </w:p>
    <w:p w:rsidR="006C1EA1" w:rsidRPr="00DC3374" w:rsidP="00E81188" w14:paraId="75EA015D" w14:textId="77777777">
      <w:pPr>
        <w:spacing w:line="269" w:lineRule="auto"/>
        <w:rPr>
          <w:szCs w:val="20"/>
          <w:rtl/>
        </w:rPr>
      </w:pPr>
      <w:r w:rsidRPr="00DC3374">
        <w:rPr>
          <w:rFonts w:hint="cs"/>
          <w:szCs w:val="20"/>
          <w:rtl/>
        </w:rPr>
        <w:t>על פי נתוני מזכירות הממשלה, בעיבוד משרד מבקר המדינה.</w:t>
      </w:r>
    </w:p>
    <w:p w:rsidR="006C1EA1" w:rsidRPr="00DC3374" w:rsidP="00E81188" w14:paraId="2D433B61" w14:textId="13FC15B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749D5FA" w14:textId="77777777">
      <w:pPr>
        <w:spacing w:line="269" w:lineRule="auto"/>
        <w:rPr>
          <w:b/>
          <w:bCs/>
          <w:rtl/>
        </w:rPr>
      </w:pPr>
      <w:r w:rsidRPr="00DC3374">
        <w:rPr>
          <w:rFonts w:hint="cs"/>
          <w:b/>
          <w:bCs/>
          <w:rtl/>
        </w:rPr>
        <w:t xml:space="preserve">בהמשך להחלטת שר הביטחון ממרץ 2020, שלפיה פקע"ר יסייע למשרד הבריאות בהסברה לציבור במשבר הקורונה, פנה פקע"ר פעמים מספר למל"ל ולמשרד הבריאות בבקשה להסדיר את אחריותו בתחום ההסברה, אולם הללו לא הגדירו את התפקידים שיוטלו עליו בהיותו גורם מסייע. </w:t>
      </w:r>
    </w:p>
    <w:p w:rsidR="006C1EA1" w:rsidRPr="00DC3374" w:rsidP="00E81188" w14:paraId="36A29437" w14:textId="68D83EF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P="00E81188" w14:paraId="161CC4E5" w14:textId="09842588">
      <w:pPr>
        <w:spacing w:line="269" w:lineRule="auto"/>
        <w:rPr>
          <w:rtl/>
        </w:rPr>
      </w:pPr>
      <w:r w:rsidRPr="00DC3374">
        <w:rPr>
          <w:rFonts w:hint="cs"/>
          <w:b/>
          <w:bCs/>
          <w:rtl/>
        </w:rPr>
        <w:t xml:space="preserve">עלה כי רק בסוף ספטמבר 2020, בעיצומו של הסגר השני וכשמונה חודשים לאחר תחילתו של המשבר, משהנחתה </w:t>
      </w:r>
      <w:r w:rsidRPr="00DC3374">
        <w:rPr>
          <w:b/>
          <w:bCs/>
          <w:rtl/>
        </w:rPr>
        <w:t>ועדת השרים לעניין ההתמודדות עם משבר הקורונה</w:t>
      </w:r>
      <w:r w:rsidRPr="00DC3374">
        <w:rPr>
          <w:rFonts w:hint="cs"/>
          <w:b/>
          <w:bCs/>
          <w:rtl/>
        </w:rPr>
        <w:t xml:space="preserve"> </w:t>
      </w:r>
      <w:r w:rsidRPr="00DC3374">
        <w:rPr>
          <w:b/>
          <w:bCs/>
          <w:rtl/>
        </w:rPr>
        <w:t>והש</w:t>
      </w:r>
      <w:r w:rsidRPr="00DC3374">
        <w:rPr>
          <w:rFonts w:hint="cs"/>
          <w:b/>
          <w:bCs/>
          <w:rtl/>
        </w:rPr>
        <w:t>פע</w:t>
      </w:r>
      <w:r w:rsidRPr="00DC3374">
        <w:rPr>
          <w:b/>
          <w:bCs/>
          <w:rtl/>
        </w:rPr>
        <w:t>ותיו</w:t>
      </w:r>
      <w:r w:rsidRPr="00DC3374">
        <w:rPr>
          <w:rFonts w:hint="cs"/>
          <w:b/>
          <w:bCs/>
          <w:rtl/>
        </w:rPr>
        <w:t xml:space="preserve"> (להלן - קבינט הקורונה) את משרד רה"ם, משרד הבריאות ופקע"ר לבחון את הסדרת חלוקת האחריות בין הגופים העוסקים בהסברה במשבר הקורונה, היא הוסדרה</w:t>
      </w:r>
      <w:r w:rsidRPr="00DC3374">
        <w:rPr>
          <w:rFonts w:hint="cs"/>
          <w:rtl/>
        </w:rPr>
        <w:t xml:space="preserve">. </w:t>
      </w:r>
    </w:p>
    <w:p w:rsidR="00E81188" w:rsidP="00E81188" w14:paraId="2DA09013" w14:textId="74002455">
      <w:pPr>
        <w:spacing w:line="269" w:lineRule="auto"/>
        <w:rPr>
          <w:rtl/>
        </w:rPr>
      </w:pPr>
    </w:p>
    <w:p w:rsidR="00E81188" w:rsidP="00E81188" w14:paraId="447EBD9A" w14:textId="4F4CC848">
      <w:pPr>
        <w:spacing w:line="269" w:lineRule="auto"/>
        <w:rPr>
          <w:rtl/>
        </w:rPr>
      </w:pPr>
    </w:p>
    <w:p w:rsidR="00E81188" w:rsidP="00E81188" w14:paraId="4FAC495F" w14:textId="799A8ED9">
      <w:pPr>
        <w:spacing w:line="269" w:lineRule="auto"/>
        <w:rPr>
          <w:rtl/>
        </w:rPr>
      </w:pPr>
    </w:p>
    <w:p w:rsidR="00E81188" w:rsidP="00E81188" w14:paraId="39672513" w14:textId="7DBCE923">
      <w:pPr>
        <w:spacing w:line="269" w:lineRule="auto"/>
        <w:rPr>
          <w:rtl/>
        </w:rPr>
      </w:pPr>
    </w:p>
    <w:p w:rsidR="00E81188" w:rsidP="00E81188" w14:paraId="5B4F9BD2" w14:textId="77777777">
      <w:pPr>
        <w:pStyle w:val="a"/>
        <w:spacing w:line="269" w:lineRule="auto"/>
        <w:rPr>
          <w:rtl/>
        </w:rPr>
      </w:pPr>
    </w:p>
    <w:p w:rsidR="006C1EA1" w:rsidRPr="00DC3374" w:rsidP="00E81188" w14:paraId="68BA4088" w14:textId="75A5237E">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6C1EA1" w:rsidRPr="00DC3374" w:rsidP="00E81188" w14:paraId="4C4A9C37" w14:textId="0DB112A6">
      <w:pPr>
        <w:spacing w:line="269" w:lineRule="auto"/>
        <w:rPr>
          <w:rtl/>
        </w:rPr>
      </w:pPr>
      <w:r w:rsidRPr="00DC3374">
        <w:rPr>
          <w:rFonts w:hint="cs"/>
          <w:rtl/>
        </w:rPr>
        <w:t>בעקבות הנחיית קבינט הקורונה, באוקטובר 2020, גיבשו שלושת הגופים האמורים מסמך שנועד להסדיר את חלוקת האחריות ביניהם</w:t>
      </w:r>
      <w:r>
        <w:rPr>
          <w:rStyle w:val="FootnoteReference1"/>
          <w:rtl/>
        </w:rPr>
        <w:footnoteReference w:id="38"/>
      </w:r>
      <w:r w:rsidRPr="00DC3374">
        <w:rPr>
          <w:rFonts w:hint="cs"/>
          <w:rtl/>
        </w:rPr>
        <w:t>. במסגרת חלוקת האחריות במסמך ההסדרה נקבע בין השאר:</w:t>
      </w:r>
      <w:r w:rsidR="009A11FC">
        <w:rPr>
          <w:rFonts w:hint="cs"/>
          <w:rtl/>
        </w:rPr>
        <w:t xml:space="preserve"> </w:t>
      </w:r>
      <w:r w:rsidRPr="00DC3374">
        <w:rPr>
          <w:rFonts w:hint="cs"/>
          <w:rtl/>
        </w:rPr>
        <w:t>(א) מטה ההסברה הלאומי יציג את היבטי ההסברה הלאומית בפני הממשלה והקבינט; יתאם ויתכלל את מאמץ ההסברה בין משרדי הממשלה וגופי הביצוע, עם משרד הבריאות, המל"ל ופקע"ר; ויגבש ויפיץ את המסרים הלאומיים לכל הגורמים הרלוונטיים.</w:t>
      </w:r>
      <w:r w:rsidR="009A11FC">
        <w:rPr>
          <w:rFonts w:hint="cs"/>
          <w:rtl/>
        </w:rPr>
        <w:t xml:space="preserve"> </w:t>
      </w:r>
      <w:r w:rsidRPr="00DC3374">
        <w:rPr>
          <w:rFonts w:hint="cs"/>
          <w:rtl/>
        </w:rPr>
        <w:t>(ב) מערך ההסברה של משרד הבריאות יוביל את המאמץ ההסברתי וההנחיות לציבור ברמה הלאומית בתחומי הבריאות ויפעיל מוקד מענה לפניות הציבור בתחומי בריאות מקצועיים.</w:t>
      </w:r>
      <w:r w:rsidR="009A11FC">
        <w:rPr>
          <w:rFonts w:hint="cs"/>
          <w:rtl/>
        </w:rPr>
        <w:t xml:space="preserve"> </w:t>
      </w:r>
      <w:r w:rsidRPr="00DC3374">
        <w:rPr>
          <w:rFonts w:hint="cs"/>
          <w:rtl/>
        </w:rPr>
        <w:t>(ג) מערך ההסברה של פקע"ר יוביל את מאמץ ההסברה ברמת השלטון המקומי ויפעיל פורטל חירום לאומי ומוקד טלפוני לפניות הציבור על אופן ניהול שגרת החיים בזמן הקורונה.</w:t>
      </w:r>
    </w:p>
    <w:p w:rsidR="006C1EA1" w:rsidRPr="00DC3374" w:rsidP="00E81188" w14:paraId="6557B8A7" w14:textId="5990E31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7153D43A" w14:textId="77777777">
      <w:pPr>
        <w:spacing w:line="269" w:lineRule="auto"/>
        <w:rPr>
          <w:rtl/>
        </w:rPr>
      </w:pPr>
      <w:r w:rsidRPr="00DC3374">
        <w:rPr>
          <w:rFonts w:hint="cs"/>
          <w:rtl/>
        </w:rPr>
        <w:t>להלן תרשים המציג נקודות ציון עיקריות במשבר הקורונה, ובהן מועדי ההחלטות בדבר חלוקת האחריות בתחום ההסברה מינואר עד אוקטובר 2020.</w:t>
      </w:r>
    </w:p>
    <w:p w:rsidR="006C1EA1" w:rsidRPr="00DC3374" w:rsidP="00E81188" w14:paraId="3801B50C" w14:textId="77777777">
      <w:pPr>
        <w:bidi w:val="0"/>
        <w:spacing w:line="269" w:lineRule="auto"/>
        <w:rPr>
          <w:szCs w:val="20"/>
        </w:rPr>
      </w:pPr>
      <w:r w:rsidRPr="00DC3374">
        <w:rPr>
          <w:rtl/>
        </w:rPr>
        <w:br w:type="page"/>
      </w:r>
    </w:p>
    <w:p w:rsidR="006C1EA1" w:rsidRPr="00DC3374" w:rsidP="00E81188" w14:paraId="348B707E" w14:textId="1ACAE37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64675129" w14:textId="77777777">
      <w:pPr>
        <w:spacing w:line="269" w:lineRule="auto"/>
        <w:ind w:left="312"/>
        <w:jc w:val="center"/>
        <w:rPr>
          <w:b/>
          <w:bCs/>
          <w:rtl/>
        </w:rPr>
      </w:pPr>
      <w:r w:rsidRPr="00DC3374">
        <w:rPr>
          <w:rFonts w:hint="eastAsia"/>
          <w:b/>
          <w:bCs/>
          <w:rtl/>
        </w:rPr>
        <w:t>תרשים</w:t>
      </w:r>
      <w:r w:rsidRPr="00DC3374">
        <w:rPr>
          <w:b/>
          <w:bCs/>
          <w:rtl/>
        </w:rPr>
        <w:t xml:space="preserve"> </w:t>
      </w:r>
      <w:r w:rsidRPr="00DC3374">
        <w:rPr>
          <w:rFonts w:hint="cs"/>
          <w:b/>
          <w:bCs/>
          <w:rtl/>
        </w:rPr>
        <w:t>30</w:t>
      </w:r>
      <w:r w:rsidRPr="00DC3374">
        <w:rPr>
          <w:b/>
          <w:bCs/>
          <w:rtl/>
        </w:rPr>
        <w:t xml:space="preserve">: </w:t>
      </w:r>
      <w:r w:rsidRPr="00DC3374">
        <w:rPr>
          <w:rFonts w:hint="eastAsia"/>
          <w:b/>
          <w:bCs/>
          <w:rtl/>
        </w:rPr>
        <w:t>חלוקת</w:t>
      </w:r>
      <w:r w:rsidRPr="00DC3374">
        <w:rPr>
          <w:b/>
          <w:bCs/>
          <w:rtl/>
        </w:rPr>
        <w:t xml:space="preserve"> </w:t>
      </w:r>
      <w:r w:rsidRPr="00DC3374">
        <w:rPr>
          <w:rFonts w:hint="eastAsia"/>
          <w:b/>
          <w:bCs/>
          <w:rtl/>
        </w:rPr>
        <w:t>האחריות</w:t>
      </w:r>
      <w:r w:rsidRPr="00DC3374">
        <w:rPr>
          <w:b/>
          <w:bCs/>
          <w:rtl/>
        </w:rPr>
        <w:t xml:space="preserve"> </w:t>
      </w:r>
      <w:r w:rsidRPr="00DC3374">
        <w:rPr>
          <w:rFonts w:hint="eastAsia"/>
          <w:b/>
          <w:bCs/>
          <w:rtl/>
        </w:rPr>
        <w:t>בתחום</w:t>
      </w:r>
      <w:r w:rsidRPr="00DC3374">
        <w:rPr>
          <w:b/>
          <w:bCs/>
          <w:rtl/>
        </w:rPr>
        <w:t xml:space="preserve"> </w:t>
      </w:r>
      <w:r w:rsidRPr="00DC3374">
        <w:rPr>
          <w:rFonts w:hint="eastAsia"/>
          <w:b/>
          <w:bCs/>
          <w:rtl/>
        </w:rPr>
        <w:t>ההסברה</w:t>
      </w:r>
      <w:r w:rsidRPr="00DC3374">
        <w:rPr>
          <w:b/>
          <w:bCs/>
          <w:rtl/>
        </w:rPr>
        <w:t xml:space="preserve"> </w:t>
      </w:r>
      <w:r w:rsidRPr="00DC3374">
        <w:rPr>
          <w:rFonts w:hint="eastAsia"/>
          <w:b/>
          <w:bCs/>
          <w:rtl/>
        </w:rPr>
        <w:t>במשבר</w:t>
      </w:r>
      <w:r w:rsidRPr="00DC3374">
        <w:rPr>
          <w:b/>
          <w:bCs/>
          <w:rtl/>
        </w:rPr>
        <w:t xml:space="preserve"> </w:t>
      </w:r>
      <w:r w:rsidRPr="00DC3374">
        <w:rPr>
          <w:rFonts w:hint="eastAsia"/>
          <w:b/>
          <w:bCs/>
          <w:rtl/>
        </w:rPr>
        <w:t>הקורונה</w:t>
      </w:r>
      <w:r w:rsidRPr="00DC3374">
        <w:rPr>
          <w:b/>
          <w:bCs/>
          <w:rtl/>
        </w:rPr>
        <w:t xml:space="preserve"> - </w:t>
      </w:r>
      <w:r w:rsidRPr="00DC3374">
        <w:rPr>
          <w:rFonts w:hint="eastAsia"/>
          <w:b/>
          <w:bCs/>
          <w:rtl/>
        </w:rPr>
        <w:t>נקודות</w:t>
      </w:r>
      <w:r w:rsidRPr="00DC3374">
        <w:rPr>
          <w:b/>
          <w:bCs/>
          <w:rtl/>
        </w:rPr>
        <w:t xml:space="preserve"> </w:t>
      </w:r>
      <w:r w:rsidRPr="00DC3374">
        <w:rPr>
          <w:rFonts w:hint="eastAsia"/>
          <w:b/>
          <w:bCs/>
          <w:rtl/>
        </w:rPr>
        <w:t>ציון</w:t>
      </w:r>
    </w:p>
    <w:p w:rsidR="006C1EA1" w:rsidRPr="00DC3374" w:rsidP="00E81188" w14:paraId="6AA1855B" w14:textId="77777777">
      <w:pPr>
        <w:spacing w:line="269" w:lineRule="auto"/>
        <w:ind w:left="312"/>
        <w:jc w:val="center"/>
        <w:rPr>
          <w:b/>
          <w:bCs/>
          <w:u w:val="single"/>
          <w:rtl/>
        </w:rPr>
      </w:pPr>
      <w:r w:rsidRPr="00DC3374">
        <w:rPr>
          <w:noProof/>
        </w:rPr>
        <w:drawing>
          <wp:inline distT="0" distB="0" distL="0" distR="0">
            <wp:extent cx="4276725" cy="5762625"/>
            <wp:effectExtent l="0" t="0" r="9525" b="9525"/>
            <wp:docPr id="1743882412" name="תמונה 1743882412" descr="C:\Users\michal_re\AppData\Local\Microsoft\Windows\INetCache\Content.Word\MR-Tarshim-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46207" name="Picture 13" descr="C:\Users\michal_re\AppData\Local\Microsoft\Windows\INetCache\Content.Word\MR-Tarshim-30.jpg"/>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6725" cy="5762625"/>
                    </a:xfrm>
                    <a:prstGeom prst="rect">
                      <a:avLst/>
                    </a:prstGeom>
                    <a:noFill/>
                    <a:ln>
                      <a:noFill/>
                    </a:ln>
                  </pic:spPr>
                </pic:pic>
              </a:graphicData>
            </a:graphic>
          </wp:inline>
        </w:drawing>
      </w:r>
    </w:p>
    <w:p w:rsidR="006C1EA1" w:rsidRPr="00DC3374" w:rsidP="00E81188" w14:paraId="5185F0BD" w14:textId="77777777">
      <w:pPr>
        <w:spacing w:line="269" w:lineRule="auto"/>
        <w:ind w:left="312"/>
        <w:rPr>
          <w:szCs w:val="20"/>
          <w:rtl/>
        </w:rPr>
      </w:pPr>
      <w:r w:rsidRPr="00DC3374">
        <w:rPr>
          <w:rFonts w:hint="cs"/>
          <w:szCs w:val="20"/>
          <w:rtl/>
        </w:rPr>
        <w:t>על פי נתוני משרד רה"ם, פקע"ר ומשרד הבריאות, בעיבוד משרד מבקר המדינה.</w:t>
      </w:r>
    </w:p>
    <w:p w:rsidR="006C1EA1" w:rsidRPr="00DC3374" w:rsidP="00E81188" w14:paraId="1A716618" w14:textId="4676F48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B665B9F" w14:textId="05E21333">
      <w:pPr>
        <w:spacing w:line="269" w:lineRule="auto"/>
        <w:rPr>
          <w:b/>
          <w:bCs/>
          <w:rtl/>
        </w:rPr>
      </w:pPr>
      <w:r w:rsidRPr="00DC3374">
        <w:rPr>
          <w:rFonts w:hint="cs"/>
          <w:b/>
          <w:bCs/>
          <w:rtl/>
        </w:rPr>
        <w:t>מן האמור עולה כי אף שקיים מתווה פעולה מפורט המסדיר את "גבולות הגזרה" בין גופי ההסברה השונים באירוע חירום אזרחי, ובמרכזו החלטת הממשלה בנושא הקמת מערך ההסברה הלאומי מ-2007 ובהתאם גם תוכנית "נחשול בריא", אשר גובשה במשך שנים על ידי כלל הגורמים המקצועיים ואף תורגלה - מתווה זה בא לידי ביטוי באופן חלקי במשבר הקורונה. על פי ההחלטה מפברואר 2020 בעניין הובלת ההסברה, אחריות משרד הבריאות להסברה הורחבה בהשוואה למתווה הפעולה האמור, והוא נדרש להוביל ולבצע את פעילות ההסברה; אחריות מטה ההסברה הלאומי צומצמה, והוא הוגדר כמסייע למשרד הבריאות - ולא כפי שהוגדר בהחלטת הממשלה</w:t>
      </w:r>
      <w:r w:rsidRPr="00DC3374" w:rsidR="00E72A8D">
        <w:rPr>
          <w:rFonts w:hint="cs"/>
          <w:b/>
          <w:bCs/>
          <w:rtl/>
        </w:rPr>
        <w:t xml:space="preserve"> מ-2007</w:t>
      </w:r>
      <w:r w:rsidRPr="00DC3374" w:rsidR="003E7E61">
        <w:rPr>
          <w:rFonts w:hint="cs"/>
          <w:b/>
          <w:bCs/>
          <w:rtl/>
        </w:rPr>
        <w:t xml:space="preserve"> על הקמתו </w:t>
      </w:r>
      <w:r w:rsidRPr="00DC3374">
        <w:rPr>
          <w:rFonts w:hint="cs"/>
          <w:b/>
          <w:bCs/>
          <w:rtl/>
        </w:rPr>
        <w:t xml:space="preserve">(מנחה את גורמי ההסברה, לרבות במשרד הבריאות, ועומד בראש פורום ההסברה הלאומי בעת חירום, המשמש האחראי העליון לכלל המידע המועבר לציבור); ואחריות פקע"ר לא הוגדרה באופן רשמי עד אוקטובר 2020, לאחר קבלת החלטה בעניין בקבינט הקורונה בסוף ספטמבר 2020. הסדרה זו של חלוקת התפקידים בין גופי ההסברה, שלא על פי תכנון מוקדם, יצרה צורך בהתארגנות נוספת שדרשה זמן </w:t>
      </w:r>
      <w:r w:rsidRPr="00DC3374">
        <w:rPr>
          <w:rFonts w:hint="cs"/>
          <w:b/>
          <w:bCs/>
          <w:rtl/>
        </w:rPr>
        <w:t xml:space="preserve">ומשאבים. כמו כן חוסר הבהירות בחלוקת האחריות גרם לקשיי תיאום בין גופי ההסברה השונים, כפי שיפורט להלן. </w:t>
      </w:r>
    </w:p>
    <w:p w:rsidR="006C1EA1" w:rsidRPr="00DC3374" w:rsidP="00E81188" w14:paraId="70D59F60" w14:textId="09DDCBB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4E50240E" w14:textId="5587F3C0">
      <w:pPr>
        <w:spacing w:line="269" w:lineRule="auto"/>
        <w:rPr>
          <w:rtl/>
        </w:rPr>
      </w:pPr>
      <w:r w:rsidRPr="00DC3374">
        <w:rPr>
          <w:rFonts w:hint="cs"/>
          <w:rtl/>
        </w:rPr>
        <w:t xml:space="preserve">משרד רה"ם מסר בתשובתו כי </w:t>
      </w:r>
      <w:r w:rsidRPr="00DC3374" w:rsidR="0053235A">
        <w:rPr>
          <w:rFonts w:hint="cs"/>
          <w:rtl/>
        </w:rPr>
        <w:t xml:space="preserve">בהחלטה </w:t>
      </w:r>
      <w:r w:rsidRPr="00DC3374" w:rsidR="00134F3D">
        <w:rPr>
          <w:rFonts w:hint="cs"/>
          <w:rtl/>
        </w:rPr>
        <w:t xml:space="preserve">שמערך ההסברה הלאומי יסייע למשרד הבריאות אין כדי לגרוע </w:t>
      </w:r>
      <w:r w:rsidRPr="00DC3374" w:rsidR="00E72A8D">
        <w:rPr>
          <w:rFonts w:hint="cs"/>
          <w:rtl/>
        </w:rPr>
        <w:t>מ</w:t>
      </w:r>
      <w:r w:rsidRPr="00DC3374" w:rsidR="00134F3D">
        <w:rPr>
          <w:rFonts w:hint="cs"/>
          <w:rtl/>
        </w:rPr>
        <w:t xml:space="preserve">תפקידו של מערך ההסברה הלאומי </w:t>
      </w:r>
      <w:r w:rsidRPr="00DC3374" w:rsidR="00E72A8D">
        <w:rPr>
          <w:rFonts w:hint="cs"/>
          <w:rtl/>
        </w:rPr>
        <w:t xml:space="preserve">או </w:t>
      </w:r>
      <w:r w:rsidRPr="00DC3374" w:rsidR="00B65A0B">
        <w:rPr>
          <w:rFonts w:hint="cs"/>
          <w:rtl/>
        </w:rPr>
        <w:t>לצמצמו</w:t>
      </w:r>
      <w:r w:rsidRPr="00DC3374" w:rsidR="00E72A8D">
        <w:rPr>
          <w:rFonts w:hint="cs"/>
          <w:rtl/>
        </w:rPr>
        <w:t xml:space="preserve"> </w:t>
      </w:r>
      <w:r w:rsidRPr="00DC3374" w:rsidR="00134F3D">
        <w:rPr>
          <w:rFonts w:hint="cs"/>
          <w:rtl/>
        </w:rPr>
        <w:t>כמי שאחראי להנחיה ו</w:t>
      </w:r>
      <w:r w:rsidRPr="00DC3374" w:rsidR="00F96C29">
        <w:rPr>
          <w:rFonts w:hint="cs"/>
          <w:rtl/>
        </w:rPr>
        <w:t>ל</w:t>
      </w:r>
      <w:r w:rsidRPr="00DC3374" w:rsidR="00134F3D">
        <w:rPr>
          <w:rFonts w:hint="cs"/>
          <w:rtl/>
        </w:rPr>
        <w:t xml:space="preserve">תיאום בענייני ההסברה, וכי לאורך תקופת המשבר </w:t>
      </w:r>
      <w:r w:rsidRPr="00DC3374" w:rsidR="00F96C29">
        <w:rPr>
          <w:rFonts w:hint="cs"/>
          <w:rtl/>
        </w:rPr>
        <w:t xml:space="preserve">עבד </w:t>
      </w:r>
      <w:r w:rsidRPr="00DC3374" w:rsidR="00134F3D">
        <w:rPr>
          <w:rFonts w:hint="cs"/>
          <w:rtl/>
        </w:rPr>
        <w:t xml:space="preserve">מטה ההסברה הלאומי בשיתוף פעולה מלא עם משרד הבריאות. משרד רה"ם הוסיף כי בכוונתו לפעול למינוי ראש מערך ההסברה הלאומי וראש מטה ההסברה, אשר יפעלו להתוות את ייעוד מטה ההסברה, </w:t>
      </w:r>
      <w:r w:rsidRPr="00DC3374" w:rsidR="001933A4">
        <w:rPr>
          <w:rFonts w:hint="cs"/>
          <w:rtl/>
        </w:rPr>
        <w:t xml:space="preserve">את </w:t>
      </w:r>
      <w:r w:rsidRPr="00DC3374" w:rsidR="00134F3D">
        <w:rPr>
          <w:rFonts w:hint="cs"/>
          <w:rtl/>
        </w:rPr>
        <w:t>תחומי אחריותו ו</w:t>
      </w:r>
      <w:r w:rsidRPr="00DC3374" w:rsidR="001933A4">
        <w:rPr>
          <w:rFonts w:hint="cs"/>
          <w:rtl/>
        </w:rPr>
        <w:t xml:space="preserve">את </w:t>
      </w:r>
      <w:r w:rsidRPr="00DC3374" w:rsidR="00134F3D">
        <w:rPr>
          <w:rFonts w:hint="cs"/>
          <w:rtl/>
        </w:rPr>
        <w:t xml:space="preserve">דרכי פעולתו בעיתות שגרה </w:t>
      </w:r>
      <w:r w:rsidRPr="00DC3374" w:rsidR="00F96C29">
        <w:rPr>
          <w:rFonts w:hint="cs"/>
          <w:rtl/>
        </w:rPr>
        <w:t>ו</w:t>
      </w:r>
      <w:r w:rsidRPr="00DC3374" w:rsidR="00134F3D">
        <w:rPr>
          <w:rFonts w:hint="cs"/>
          <w:rtl/>
        </w:rPr>
        <w:t>חירום, גם בשים לב לממצאי הביקורת</w:t>
      </w:r>
      <w:r w:rsidRPr="00DC3374" w:rsidR="00C61AE3">
        <w:rPr>
          <w:rFonts w:hint="cs"/>
          <w:rtl/>
        </w:rPr>
        <w:t>.</w:t>
      </w:r>
      <w:r w:rsidRPr="00DC3374" w:rsidR="00134F3D">
        <w:rPr>
          <w:rFonts w:hint="cs"/>
          <w:rtl/>
        </w:rPr>
        <w:t xml:space="preserve"> </w:t>
      </w:r>
    </w:p>
    <w:p w:rsidR="006C1EA1" w:rsidRPr="00DC3374" w:rsidP="00E81188" w14:paraId="74ED24AA" w14:textId="43E7295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48A479CE" w14:textId="2E747B68">
      <w:pPr>
        <w:spacing w:line="269" w:lineRule="auto"/>
        <w:rPr>
          <w:b/>
          <w:bCs/>
          <w:rtl/>
        </w:rPr>
      </w:pPr>
      <w:r w:rsidRPr="00DC3374">
        <w:rPr>
          <w:rFonts w:hint="cs"/>
          <w:b/>
          <w:bCs/>
          <w:rtl/>
        </w:rPr>
        <w:t>מומלץ כי משרד רה"ם, שבמסגרתו הוקם מערך ההסברה הלאומי, יוודא כי המתווה המגדיר את "גבולות הגזרה" בין הגופים האחראים להסברה הלאומית יהיה מחייב, ברור ומותאם ליישום מיידי ומלא בשעת חירום, לרבות במשבר אזרחי מתמשך, דוגמת משבר הקורונה. זאת, באופן שיצמצם ככל האפשר את אי-הוודאות בנוגע לאופן ההיערכות והפעולה בחירום של כל אחד מגופי ההסברה, יחסוך משאבי התארגנות בשעת חירום ויאפשר מתן מענה הסברתי מהיר, יעיל ומתואם.</w:t>
      </w:r>
    </w:p>
    <w:p w:rsidR="002A6E03" w:rsidP="00E81188" w14:paraId="6579A6A1" w14:textId="77777777">
      <w:pPr>
        <w:spacing w:line="269" w:lineRule="auto"/>
        <w:rPr>
          <w:rtl/>
        </w:rPr>
      </w:pPr>
    </w:p>
    <w:p w:rsidR="006C1EA1" w:rsidRPr="00DC3374" w:rsidP="00E81188" w14:paraId="34691C2D" w14:textId="0FD47ADA">
      <w:pPr>
        <w:pStyle w:val="Heading3"/>
        <w:spacing w:before="0" w:line="269" w:lineRule="auto"/>
        <w:rPr>
          <w:rtl/>
        </w:rPr>
      </w:pPr>
      <w:r w:rsidRPr="00DC3374">
        <w:rPr>
          <w:rFonts w:hint="cs"/>
          <w:rtl/>
        </w:rPr>
        <w:t xml:space="preserve">היערכות אסטרטגית ואופרטיבית </w:t>
      </w:r>
    </w:p>
    <w:p w:rsidR="006C1EA1" w:rsidRPr="00DC3374" w:rsidP="00E81188" w14:paraId="3F6ABEA4" w14:textId="3985E6C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7D2080AD" w14:textId="77777777">
      <w:pPr>
        <w:spacing w:line="269" w:lineRule="auto"/>
        <w:contextualSpacing/>
        <w:rPr>
          <w:rtl/>
        </w:rPr>
      </w:pPr>
      <w:r w:rsidRPr="00DC3374">
        <w:rPr>
          <w:rtl/>
        </w:rPr>
        <w:t xml:space="preserve">בשעת חירום נדרשים </w:t>
      </w:r>
      <w:r w:rsidRPr="00DC3374">
        <w:rPr>
          <w:rFonts w:hint="cs"/>
          <w:rtl/>
        </w:rPr>
        <w:t xml:space="preserve">כאמור </w:t>
      </w:r>
      <w:r w:rsidRPr="00DC3374">
        <w:rPr>
          <w:rtl/>
        </w:rPr>
        <w:t>גורמי ההסברה בישראל להניע את הציבור להתנהגות מצילת</w:t>
      </w:r>
      <w:r w:rsidRPr="00DC3374">
        <w:rPr>
          <w:rFonts w:hint="cs"/>
          <w:rtl/>
        </w:rPr>
        <w:t xml:space="preserve"> </w:t>
      </w:r>
      <w:r w:rsidRPr="00DC3374">
        <w:rPr>
          <w:rtl/>
        </w:rPr>
        <w:t>חיים, תוך התמודדות עם אתגרים הנובעים מן המשבר עצמו וממאפייני החברה האזרחית, ובהם: מציאות משברית</w:t>
      </w:r>
      <w:r w:rsidRPr="00DC3374">
        <w:rPr>
          <w:rFonts w:hint="cs"/>
          <w:rtl/>
        </w:rPr>
        <w:t xml:space="preserve"> המתפרצת לעיתים ללא התרעה מוקדמת ו</w:t>
      </w:r>
      <w:r w:rsidRPr="00DC3374">
        <w:rPr>
          <w:rtl/>
        </w:rPr>
        <w:t>משתנה בתדירות גבוהה; הנחיות מקצועיות מורכבות שדורשות תיווך והבהרה; אוכלוסייה מגוונת בהיבטי שפה, תרבות, דת וגיל שיש להגיע לכל אחד ממרכיביה; ריבוי ערוצי מידע החושפים את הציבור לנתונים, גישות ופרשנויות, אשר לע</w:t>
      </w:r>
      <w:r w:rsidRPr="00DC3374">
        <w:rPr>
          <w:rFonts w:hint="cs"/>
          <w:rtl/>
        </w:rPr>
        <w:t>י</w:t>
      </w:r>
      <w:r w:rsidRPr="00DC3374">
        <w:rPr>
          <w:rtl/>
        </w:rPr>
        <w:t xml:space="preserve">תים סותרים זה את זה, </w:t>
      </w:r>
      <w:r w:rsidRPr="00DC3374">
        <w:rPr>
          <w:rFonts w:hint="cs"/>
          <w:rtl/>
        </w:rPr>
        <w:t>ו</w:t>
      </w:r>
      <w:r w:rsidRPr="00DC3374">
        <w:rPr>
          <w:rtl/>
        </w:rPr>
        <w:t>עלולים לגרום לבלבול ולחרדה ואף להטעיית הציבור. משימה מורכבת זו של גורמי ההסברה דורשת היערכות מוקדמת</w:t>
      </w:r>
      <w:r w:rsidRPr="00DC3374">
        <w:rPr>
          <w:rFonts w:hint="cs"/>
          <w:rtl/>
        </w:rPr>
        <w:t>, אשר תאפשר תגובה הסברתית מהירה ואפקטיבית כבר בשלבי המשבר הראשונים.</w:t>
      </w:r>
    </w:p>
    <w:p w:rsidR="006C1EA1" w:rsidRPr="00DC3374" w:rsidP="00E81188" w14:paraId="7C09619B" w14:textId="3C8ECCC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EF26874" w14:textId="77777777">
      <w:pPr>
        <w:spacing w:line="269" w:lineRule="auto"/>
        <w:contextualSpacing/>
        <w:rPr>
          <w:rtl/>
        </w:rPr>
      </w:pPr>
      <w:r w:rsidRPr="00DC3374">
        <w:rPr>
          <w:rFonts w:hint="cs"/>
          <w:rtl/>
        </w:rPr>
        <w:t>במסגרת ההיערכות המוקדמת להסברה באירוע חירום יש מקום לגבש תוכנית אסטרטגית ולהגדיר בה את</w:t>
      </w:r>
      <w:r w:rsidRPr="00DC3374">
        <w:rPr>
          <w:rtl/>
        </w:rPr>
        <w:t xml:space="preserve"> </w:t>
      </w:r>
      <w:r w:rsidRPr="00DC3374">
        <w:rPr>
          <w:rFonts w:hint="cs"/>
          <w:rtl/>
        </w:rPr>
        <w:t>עקרונות היסוד של ההסברה בחירום ואת עיקרי השיטות לביצועה. כמו כן יש לגבש תוכנית פעולה לביסוס המוכנות לשעת חירום בהתאם לעקרונות היסוד ולשיטות פעולה מפורטות ולבצע את פעולות ההכנה הנדרשות</w:t>
      </w:r>
      <w:r w:rsidRPr="00DC3374">
        <w:rPr>
          <w:rtl/>
        </w:rPr>
        <w:t xml:space="preserve">. </w:t>
      </w:r>
    </w:p>
    <w:p w:rsidR="006C1EA1" w:rsidRPr="00DC3374" w:rsidP="00E81188" w14:paraId="049DE869" w14:textId="5B4DD66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38E9B573" w14:textId="77777777">
      <w:pPr>
        <w:spacing w:line="269" w:lineRule="auto"/>
        <w:rPr>
          <w:rtl/>
        </w:rPr>
      </w:pPr>
      <w:r w:rsidRPr="00DC3374">
        <w:rPr>
          <w:rFonts w:hint="cs"/>
          <w:rtl/>
        </w:rPr>
        <w:t>ארגון הבריאות העולמי עמד על חשיבות ההיערכות המוקדמת להסברה בחירום במסגרת מדריך שפרסם בשנת 2008 בנושא תכנון ההסברה באירוע חירום בריאותי</w:t>
      </w:r>
      <w:r>
        <w:rPr>
          <w:rStyle w:val="FootnoteReference1"/>
          <w:rtl/>
        </w:rPr>
        <w:footnoteReference w:id="39"/>
      </w:r>
      <w:r w:rsidRPr="00DC3374">
        <w:rPr>
          <w:rFonts w:hint="cs"/>
          <w:rtl/>
        </w:rPr>
        <w:t>. הארגון הדגיש את השפעתו החיובית של מענה הסברתי מתוכנן, פרו-אקטיבי ומהיר על יכולת השליטה בהתפשטות התחלואה. בהתאם לכך פירט הארגון עקרונות יסוד להסברה בזמן משבר בריאותי וכן צעדי תכנון לבניית יכולות ההסברה. הצורך בהיערכות מוקדמת ושיטתית להסברה בחירום הודגש גם במדריך לגופים ציבוריים, אשר הופץ בשנת 2010 על ידי משרד הביטחון במסגרת אחריותו הכוללת של שר הביטחון לטיפול בעורף במצבי חירום, על פי החלטת הממשלה</w:t>
      </w:r>
      <w:r>
        <w:rPr>
          <w:rStyle w:val="FootnoteReference1"/>
          <w:rtl/>
        </w:rPr>
        <w:footnoteReference w:id="40"/>
      </w:r>
      <w:r w:rsidRPr="00DC3374">
        <w:rPr>
          <w:rFonts w:hint="cs"/>
          <w:rtl/>
        </w:rPr>
        <w:t>. במדריך זה פורטו עקרונות ומשימות ההסברה בשלבי המשבר השונים, תוך התייחסות מקיפה לפעולות ההכנה הנדרשות בשלב השגרה, במטרה לאפשר תגובה אפקטיבית של גורמי ההסברה עם התפרצות אירוע חירום.</w:t>
      </w:r>
    </w:p>
    <w:p w:rsidR="006C1EA1" w:rsidRPr="00DC3374" w:rsidP="00E81188" w14:paraId="78E2C42E" w14:textId="37339C4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2E8D1CE3" w14:textId="77777777">
      <w:pPr>
        <w:spacing w:line="269" w:lineRule="auto"/>
        <w:rPr>
          <w:rtl/>
        </w:rPr>
      </w:pPr>
      <w:r w:rsidRPr="00DC3374">
        <w:rPr>
          <w:rFonts w:hint="cs"/>
          <w:rtl/>
        </w:rPr>
        <w:t xml:space="preserve">על פי החלטת הממשלה בעניין הקמת מערך ההסברה הלאומי מ-2007, מטה ההסברה הלאומי הוא הגורם המופקד על הנחיית כלל גורמי ההסברה במדינת ישראל בשעת חירום. </w:t>
      </w:r>
      <w:r w:rsidRPr="00DC3374">
        <w:rPr>
          <w:rtl/>
        </w:rPr>
        <w:t>בנוגע ל</w:t>
      </w:r>
      <w:r w:rsidRPr="00DC3374">
        <w:rPr>
          <w:rFonts w:hint="cs"/>
          <w:rtl/>
        </w:rPr>
        <w:t>צורך בהיערכות מוקדמת וב</w:t>
      </w:r>
      <w:r w:rsidRPr="00DC3374">
        <w:rPr>
          <w:rtl/>
        </w:rPr>
        <w:t>גיבוש אסטרטגיית הסברה</w:t>
      </w:r>
      <w:r w:rsidRPr="00DC3374">
        <w:rPr>
          <w:rFonts w:hint="cs"/>
          <w:rtl/>
        </w:rPr>
        <w:t>,</w:t>
      </w:r>
      <w:r w:rsidRPr="00DC3374">
        <w:rPr>
          <w:rtl/>
        </w:rPr>
        <w:t xml:space="preserve"> </w:t>
      </w:r>
      <w:r w:rsidRPr="00DC3374">
        <w:rPr>
          <w:rFonts w:hint="cs"/>
          <w:rtl/>
        </w:rPr>
        <w:t>החליטה</w:t>
      </w:r>
      <w:r w:rsidRPr="00DC3374">
        <w:rPr>
          <w:rtl/>
        </w:rPr>
        <w:t xml:space="preserve"> הממשלה כי מטה ההסברה הלאומי ייזום הסברה ותוכניות הסברה וייערך לאירועי</w:t>
      </w:r>
      <w:r w:rsidRPr="00DC3374">
        <w:rPr>
          <w:rFonts w:hint="cs"/>
          <w:rtl/>
        </w:rPr>
        <w:t xml:space="preserve"> חירום</w:t>
      </w:r>
      <w:r w:rsidRPr="00DC3374">
        <w:rPr>
          <w:rtl/>
        </w:rPr>
        <w:t xml:space="preserve"> מראש</w:t>
      </w:r>
      <w:r w:rsidRPr="00DC3374">
        <w:rPr>
          <w:rFonts w:hint="cs"/>
          <w:rtl/>
        </w:rPr>
        <w:t xml:space="preserve">. עוד החליטה הממשלה כי ראש מטה </w:t>
      </w:r>
      <w:r w:rsidRPr="00DC3374">
        <w:rPr>
          <w:rFonts w:hint="cs"/>
          <w:rtl/>
        </w:rPr>
        <w:t>ההסברה הלאומי ירכז עבודת מטה שבמסגרתה ייכתב נוהל עבודה משותף לתיאום נושא ההסברה בין משרדי הממשלה לבין כל אחד מגורמי ההסברה בגופי הביטחון.</w:t>
      </w:r>
    </w:p>
    <w:p w:rsidR="006C1EA1" w:rsidRPr="00DC3374" w:rsidP="00E81188" w14:paraId="7699F3D3" w14:textId="77777777">
      <w:pPr>
        <w:spacing w:line="269" w:lineRule="auto"/>
        <w:rPr>
          <w:rtl/>
        </w:rPr>
      </w:pPr>
    </w:p>
    <w:p w:rsidR="006C1EA1" w:rsidRPr="00DC3374" w:rsidP="00E81188" w14:paraId="0B2BCACF" w14:textId="77777777">
      <w:pPr>
        <w:pStyle w:val="Heading4"/>
        <w:spacing w:before="0" w:line="269" w:lineRule="auto"/>
      </w:pPr>
      <w:r w:rsidRPr="00DC3374">
        <w:rPr>
          <w:rFonts w:hint="cs"/>
          <w:rtl/>
        </w:rPr>
        <w:t>התוכניות האסטרטגיות שגיבשו גורמי ההסברה המרכזיים קודם משבר הקורונה</w:t>
      </w:r>
    </w:p>
    <w:p w:rsidR="006C1EA1" w:rsidRPr="00DC3374" w:rsidP="00E81188" w14:paraId="2A102312" w14:textId="1ECCFFE2">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481E2209" w14:textId="72655FBB">
      <w:pPr>
        <w:spacing w:line="269" w:lineRule="auto"/>
        <w:rPr>
          <w:rtl/>
        </w:rPr>
      </w:pPr>
      <w:r w:rsidRPr="00DC3374">
        <w:rPr>
          <w:rtl/>
        </w:rPr>
        <w:t xml:space="preserve">גורמי ההסברה </w:t>
      </w:r>
      <w:r w:rsidRPr="00DC3374">
        <w:rPr>
          <w:rFonts w:hint="cs"/>
          <w:rtl/>
        </w:rPr>
        <w:t>המרכזיים</w:t>
      </w:r>
      <w:r w:rsidRPr="00DC3374">
        <w:rPr>
          <w:rtl/>
        </w:rPr>
        <w:t xml:space="preserve"> במשבר הקורונה התייחסו לעקרונות ו</w:t>
      </w:r>
      <w:r w:rsidRPr="00DC3374">
        <w:rPr>
          <w:rFonts w:hint="cs"/>
          <w:rtl/>
        </w:rPr>
        <w:t>ל</w:t>
      </w:r>
      <w:r w:rsidRPr="00DC3374">
        <w:rPr>
          <w:rtl/>
        </w:rPr>
        <w:t xml:space="preserve">שיטות ההסברה </w:t>
      </w:r>
      <w:r w:rsidR="00AC2B08">
        <w:rPr>
          <w:rFonts w:hint="cs"/>
          <w:rtl/>
        </w:rPr>
        <w:t xml:space="preserve">במסגרת </w:t>
      </w:r>
      <w:r w:rsidRPr="00DC3374">
        <w:rPr>
          <w:rtl/>
        </w:rPr>
        <w:t>מסמכי</w:t>
      </w:r>
      <w:r w:rsidRPr="00DC3374">
        <w:rPr>
          <w:rFonts w:hint="cs"/>
          <w:rtl/>
        </w:rPr>
        <w:t>ם ונהלים</w:t>
      </w:r>
      <w:r w:rsidRPr="00DC3374">
        <w:rPr>
          <w:rtl/>
        </w:rPr>
        <w:t xml:space="preserve"> שגיבשו לשעת חירום</w:t>
      </w:r>
      <w:r w:rsidRPr="00DC3374">
        <w:rPr>
          <w:rFonts w:hint="cs"/>
          <w:rtl/>
        </w:rPr>
        <w:t xml:space="preserve"> בשנים קודם המשבר</w:t>
      </w:r>
      <w:r w:rsidRPr="00DC3374">
        <w:rPr>
          <w:rtl/>
        </w:rPr>
        <w:t xml:space="preserve">, </w:t>
      </w:r>
      <w:r w:rsidRPr="00DC3374">
        <w:rPr>
          <w:rFonts w:hint="cs"/>
          <w:rtl/>
        </w:rPr>
        <w:t>כמפורט</w:t>
      </w:r>
      <w:r w:rsidRPr="00DC3374">
        <w:rPr>
          <w:rtl/>
        </w:rPr>
        <w:t xml:space="preserve"> להלן:</w:t>
      </w:r>
    </w:p>
    <w:p w:rsidR="006C1EA1" w:rsidRPr="00DC3374" w:rsidP="00E81188" w14:paraId="470C8B76" w14:textId="589F02A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474EFFB0" w14:textId="77777777">
      <w:pPr>
        <w:pStyle w:val="ListParagraph"/>
        <w:numPr>
          <w:ilvl w:val="0"/>
          <w:numId w:val="14"/>
        </w:numPr>
        <w:spacing w:line="269" w:lineRule="auto"/>
      </w:pPr>
      <w:r w:rsidRPr="00DC3374">
        <w:rPr>
          <w:rStyle w:val="7"/>
          <w:rFonts w:hint="eastAsia"/>
          <w:rtl/>
        </w:rPr>
        <w:t>מטה</w:t>
      </w:r>
      <w:r w:rsidRPr="00DC3374">
        <w:rPr>
          <w:rStyle w:val="7"/>
          <w:rtl/>
        </w:rPr>
        <w:t xml:space="preserve"> </w:t>
      </w:r>
      <w:r w:rsidRPr="00DC3374">
        <w:rPr>
          <w:rStyle w:val="7"/>
          <w:rFonts w:hint="eastAsia"/>
          <w:rtl/>
        </w:rPr>
        <w:t>ההסברה</w:t>
      </w:r>
      <w:r w:rsidRPr="00DC3374">
        <w:rPr>
          <w:rStyle w:val="7"/>
          <w:rtl/>
        </w:rPr>
        <w:t xml:space="preserve"> </w:t>
      </w:r>
      <w:r w:rsidRPr="00DC3374">
        <w:rPr>
          <w:rStyle w:val="7"/>
          <w:rFonts w:hint="eastAsia"/>
          <w:rtl/>
        </w:rPr>
        <w:t>הלאומי</w:t>
      </w:r>
      <w:r w:rsidRPr="00DC3374">
        <w:rPr>
          <w:rStyle w:val="7"/>
          <w:rFonts w:hint="cs"/>
          <w:rtl/>
        </w:rPr>
        <w:t>:</w:t>
      </w:r>
      <w:r w:rsidRPr="00DC3374">
        <w:rPr>
          <w:rFonts w:hint="cs"/>
          <w:rtl/>
        </w:rPr>
        <w:t xml:space="preserve"> מטה ההסברה הלאומי גיבש בשנת 2013 מסמך שעניינו "נהלי עבודה משותפים בשגרה, במשבר ובחירום בין גופי הדוברות וההסברה הלאומיים", שעודכן בשנת 2018. המסמך מתמקד בהסדרת "גבולות הגזרה" בין גופי ההסברה והדוברות הלאומיים כדי לחזק את התיאום ביניהם. המסמך כולל גם רשימה של "עקרונות מדיניות ההסברה", ובה עקרונות הסברה כלליים, כגון "הפעלת גמישות ושיקול דעת, כדי להתאים את תכנית ההסברה לשינויים" ו"תיאום ציפיות מול האזרחים"; עקרונות מינהליים, כגון "אישור תכניות ההסברה על-ידי הדרגים הממונים" ו"השתלבות גורמי ההסברה בתהליכי התכנון בארגונם"; ואמצעים להפצת מסרים, כגון "שימוש נרחב באינטרנט וברשתות חברתיות". בתחום החירום האזרחי גיבש המטה במהלך השנים תוכניות הסברה נקודתיות לתרחישים שונים. בנוגע להסברה בעת משבר בריאותי, המטה פירט עקרונות ושיטות הסברה במצגת שהכין בשנת 2018 לקראת יום עיון לקראת תרגיל "נחשול בריא" ובמסמך התרגיל האמור. במסמכים אלה התווה מטה ההסברה בין היתר מסגרת לחלוקת האחריות להסברה של חלק מן המשרדים, כגון "תחבורה - מעברי גבול", "תיירות - תיירים בארץ"; ציין מי הם הגורמים האחראים להיבטים שונים של ההיערכות ההסברתית, ללא הבהרת ההייררכיה ביניהם; ופירט רשימת מסרים לאומיים, כגון "המטרה העליונה היא הצלת חיים" ו"יש להישמע להוראות הגורמים המוסמכים". מטה ההסברה ציין עוד במסמכים האמורים כי</w:t>
      </w:r>
      <w:r w:rsidRPr="00DC3374">
        <w:rPr>
          <w:rtl/>
        </w:rPr>
        <w:t xml:space="preserve"> ההיערכות ההסברתית צריכה לכלול הקמת "פול (מאגר) מסבירנים, מומחים ואנשי מקצוע"</w:t>
      </w:r>
      <w:r w:rsidRPr="00DC3374">
        <w:rPr>
          <w:rFonts w:hint="cs"/>
          <w:rtl/>
        </w:rPr>
        <w:t xml:space="preserve"> אשר ייצגו את עמדת המדינה בראיונות בכלי התקשורת,</w:t>
      </w:r>
      <w:r w:rsidRPr="00DC3374">
        <w:rPr>
          <w:rtl/>
        </w:rPr>
        <w:t xml:space="preserve"> וכי בנושא זה "כל משרד אחראי להקמת מאגר בתחומי אחריותו"</w:t>
      </w:r>
      <w:r w:rsidRPr="00DC3374">
        <w:rPr>
          <w:rFonts w:hint="cs"/>
          <w:rtl/>
        </w:rPr>
        <w:t xml:space="preserve">. את מסמך תרגיל "נחשול בריא" משנת 2018 שלחה רשות החירום הלאומית לדוברי 11 הגופים ומשרדי הממשלה שהשתתפו בתרגיל. </w:t>
      </w:r>
    </w:p>
    <w:p w:rsidR="006C1EA1" w:rsidRPr="00DC3374" w:rsidP="00E81188" w14:paraId="3CB3EA44" w14:textId="70F55E8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D2EF8AF" w14:textId="77777777">
      <w:pPr>
        <w:pStyle w:val="ListParagraph"/>
        <w:spacing w:line="269" w:lineRule="auto"/>
        <w:ind w:left="340"/>
        <w:rPr>
          <w:b/>
          <w:bCs/>
          <w:rtl/>
        </w:rPr>
      </w:pPr>
      <w:r w:rsidRPr="00DC3374">
        <w:rPr>
          <w:rFonts w:hint="cs"/>
          <w:b/>
          <w:bCs/>
          <w:rtl/>
        </w:rPr>
        <w:t xml:space="preserve">נמצא כי בתחום החירום הביטחוני מטה ההסברה גיבש נוהל עבודה שכולל היגדים כלליים והצהרתיים על פעולות ושיטות שנדרשות לצורך ניהול ההסברה, ואולם נוהל זה לא תורגם לתוכנית אופרטיבית. </w:t>
      </w:r>
      <w:r w:rsidRPr="00DC3374">
        <w:rPr>
          <w:b/>
          <w:bCs/>
          <w:rtl/>
        </w:rPr>
        <w:t>על פי הכתוב בנוהל, הוא הופץ למשרד רה"ם, ליחידות בצה"ל ולגורמי ב</w:t>
      </w:r>
      <w:r w:rsidRPr="00DC3374">
        <w:rPr>
          <w:rFonts w:hint="cs"/>
          <w:b/>
          <w:bCs/>
          <w:rtl/>
        </w:rPr>
        <w:t>י</w:t>
      </w:r>
      <w:r w:rsidRPr="00DC3374">
        <w:rPr>
          <w:b/>
          <w:bCs/>
          <w:rtl/>
        </w:rPr>
        <w:t>טחון אחרים (פנים וחוץ). הנוהל לא הופץ לכלל דוברי משרדי הממשלה, לרבות משרד הבריאות</w:t>
      </w:r>
      <w:r w:rsidRPr="00DC3374">
        <w:rPr>
          <w:rFonts w:hint="cs"/>
          <w:b/>
          <w:bCs/>
          <w:rtl/>
        </w:rPr>
        <w:t xml:space="preserve">. </w:t>
      </w:r>
    </w:p>
    <w:p w:rsidR="006C1EA1" w:rsidRPr="00DC3374" w:rsidP="00E81188" w14:paraId="6E074470" w14:textId="5E876AC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3E7E61" w:rsidRPr="00DC3374" w:rsidP="00E81188" w14:paraId="27D967FD" w14:textId="0D7F0086">
      <w:pPr>
        <w:pStyle w:val="ListParagraph"/>
        <w:spacing w:line="269" w:lineRule="auto"/>
        <w:ind w:left="340"/>
        <w:rPr>
          <w:b/>
          <w:bCs/>
          <w:rtl/>
        </w:rPr>
      </w:pPr>
      <w:r w:rsidRPr="00DC3374">
        <w:rPr>
          <w:rFonts w:hint="eastAsia"/>
          <w:b/>
          <w:bCs/>
          <w:rtl/>
        </w:rPr>
        <w:t>עוד</w:t>
      </w:r>
      <w:r w:rsidRPr="00DC3374">
        <w:rPr>
          <w:b/>
          <w:bCs/>
          <w:rtl/>
        </w:rPr>
        <w:t xml:space="preserve"> נמצא כי </w:t>
      </w:r>
      <w:r w:rsidRPr="00DC3374">
        <w:rPr>
          <w:rFonts w:hint="eastAsia"/>
          <w:b/>
          <w:bCs/>
          <w:rtl/>
        </w:rPr>
        <w:t>המצגת</w:t>
      </w:r>
      <w:r w:rsidRPr="00DC3374">
        <w:rPr>
          <w:b/>
          <w:bCs/>
          <w:rtl/>
        </w:rPr>
        <w:t xml:space="preserve"> </w:t>
      </w:r>
      <w:r w:rsidRPr="00DC3374">
        <w:rPr>
          <w:rFonts w:hint="eastAsia"/>
          <w:b/>
          <w:bCs/>
          <w:rtl/>
        </w:rPr>
        <w:t>ומסמך</w:t>
      </w:r>
      <w:r w:rsidRPr="00DC3374">
        <w:rPr>
          <w:b/>
          <w:bCs/>
          <w:rtl/>
        </w:rPr>
        <w:t xml:space="preserve"> </w:t>
      </w:r>
      <w:r w:rsidRPr="00DC3374">
        <w:rPr>
          <w:rFonts w:hint="eastAsia"/>
          <w:b/>
          <w:bCs/>
          <w:rtl/>
        </w:rPr>
        <w:t>תרגיל</w:t>
      </w:r>
      <w:r w:rsidRPr="00DC3374">
        <w:rPr>
          <w:b/>
          <w:bCs/>
          <w:rtl/>
        </w:rPr>
        <w:t xml:space="preserve"> "נחשול </w:t>
      </w:r>
      <w:r w:rsidRPr="00DC3374">
        <w:rPr>
          <w:rFonts w:hint="eastAsia"/>
          <w:b/>
          <w:bCs/>
          <w:rtl/>
        </w:rPr>
        <w:t>בריא</w:t>
      </w:r>
      <w:r w:rsidRPr="00DC3374">
        <w:rPr>
          <w:b/>
          <w:bCs/>
          <w:rtl/>
        </w:rPr>
        <w:t xml:space="preserve">" </w:t>
      </w:r>
      <w:r w:rsidRPr="00DC3374">
        <w:rPr>
          <w:rFonts w:hint="eastAsia"/>
          <w:b/>
          <w:bCs/>
          <w:rtl/>
        </w:rPr>
        <w:t>שגיבש</w:t>
      </w:r>
      <w:r w:rsidRPr="00DC3374">
        <w:rPr>
          <w:b/>
          <w:bCs/>
          <w:rtl/>
        </w:rPr>
        <w:t xml:space="preserve"> </w:t>
      </w:r>
      <w:r w:rsidRPr="00DC3374">
        <w:rPr>
          <w:rFonts w:hint="eastAsia"/>
          <w:b/>
          <w:bCs/>
          <w:rtl/>
        </w:rPr>
        <w:t>מטה</w:t>
      </w:r>
      <w:r w:rsidRPr="00DC3374">
        <w:rPr>
          <w:b/>
          <w:bCs/>
          <w:rtl/>
        </w:rPr>
        <w:t xml:space="preserve"> </w:t>
      </w:r>
      <w:r w:rsidRPr="00DC3374">
        <w:rPr>
          <w:rFonts w:hint="eastAsia"/>
          <w:b/>
          <w:bCs/>
          <w:rtl/>
        </w:rPr>
        <w:t>ההסברה</w:t>
      </w:r>
      <w:r w:rsidRPr="00DC3374">
        <w:rPr>
          <w:b/>
          <w:bCs/>
          <w:rtl/>
        </w:rPr>
        <w:t xml:space="preserve"> </w:t>
      </w:r>
      <w:r w:rsidRPr="00DC3374">
        <w:rPr>
          <w:rFonts w:hint="eastAsia"/>
          <w:b/>
          <w:bCs/>
          <w:rtl/>
        </w:rPr>
        <w:t>הלאומי</w:t>
      </w:r>
      <w:r w:rsidRPr="00DC3374">
        <w:rPr>
          <w:b/>
          <w:bCs/>
          <w:rtl/>
        </w:rPr>
        <w:t xml:space="preserve"> </w:t>
      </w:r>
      <w:r w:rsidRPr="00DC3374">
        <w:rPr>
          <w:rFonts w:hint="eastAsia"/>
          <w:b/>
          <w:bCs/>
          <w:rtl/>
        </w:rPr>
        <w:t>בשנת</w:t>
      </w:r>
      <w:r w:rsidRPr="00DC3374">
        <w:rPr>
          <w:b/>
          <w:bCs/>
          <w:rtl/>
        </w:rPr>
        <w:t xml:space="preserve"> 2018 </w:t>
      </w:r>
      <w:r w:rsidRPr="00DC3374">
        <w:rPr>
          <w:rFonts w:hint="eastAsia"/>
          <w:b/>
          <w:bCs/>
          <w:rtl/>
        </w:rPr>
        <w:t>כללו</w:t>
      </w:r>
      <w:r w:rsidRPr="00DC3374">
        <w:rPr>
          <w:b/>
          <w:bCs/>
          <w:rtl/>
        </w:rPr>
        <w:t xml:space="preserve"> </w:t>
      </w:r>
      <w:r w:rsidRPr="00DC3374">
        <w:rPr>
          <w:rFonts w:hint="eastAsia"/>
          <w:b/>
          <w:bCs/>
          <w:rtl/>
        </w:rPr>
        <w:t>מסגרת</w:t>
      </w:r>
      <w:r w:rsidRPr="00DC3374">
        <w:rPr>
          <w:b/>
          <w:bCs/>
          <w:rtl/>
        </w:rPr>
        <w:t xml:space="preserve"> </w:t>
      </w:r>
      <w:r w:rsidRPr="00DC3374">
        <w:rPr>
          <w:rFonts w:hint="eastAsia"/>
          <w:b/>
          <w:bCs/>
          <w:rtl/>
        </w:rPr>
        <w:t>חלקית</w:t>
      </w:r>
      <w:r w:rsidRPr="00DC3374">
        <w:rPr>
          <w:b/>
          <w:bCs/>
          <w:rtl/>
        </w:rPr>
        <w:t xml:space="preserve"> </w:t>
      </w:r>
      <w:r w:rsidRPr="00DC3374">
        <w:rPr>
          <w:rFonts w:hint="eastAsia"/>
          <w:b/>
          <w:bCs/>
          <w:rtl/>
        </w:rPr>
        <w:t>לחלוקת</w:t>
      </w:r>
      <w:r w:rsidRPr="00DC3374">
        <w:rPr>
          <w:b/>
          <w:bCs/>
          <w:rtl/>
        </w:rPr>
        <w:t xml:space="preserve"> </w:t>
      </w:r>
      <w:r w:rsidRPr="00DC3374">
        <w:rPr>
          <w:rFonts w:hint="eastAsia"/>
          <w:b/>
          <w:bCs/>
          <w:rtl/>
        </w:rPr>
        <w:t>האחריות</w:t>
      </w:r>
      <w:r w:rsidRPr="00DC3374">
        <w:rPr>
          <w:b/>
          <w:bCs/>
          <w:rtl/>
        </w:rPr>
        <w:t xml:space="preserve"> </w:t>
      </w:r>
      <w:r w:rsidRPr="00DC3374">
        <w:rPr>
          <w:rFonts w:hint="eastAsia"/>
          <w:b/>
          <w:bCs/>
          <w:rtl/>
        </w:rPr>
        <w:t>בין</w:t>
      </w:r>
      <w:r w:rsidRPr="00DC3374">
        <w:rPr>
          <w:b/>
          <w:bCs/>
          <w:rtl/>
        </w:rPr>
        <w:t xml:space="preserve"> </w:t>
      </w:r>
      <w:r w:rsidRPr="00DC3374">
        <w:rPr>
          <w:rFonts w:hint="eastAsia"/>
          <w:b/>
          <w:bCs/>
          <w:rtl/>
        </w:rPr>
        <w:t>גופי</w:t>
      </w:r>
      <w:r w:rsidRPr="00DC3374">
        <w:rPr>
          <w:b/>
          <w:bCs/>
          <w:rtl/>
        </w:rPr>
        <w:t xml:space="preserve"> </w:t>
      </w:r>
      <w:r w:rsidRPr="00DC3374">
        <w:rPr>
          <w:rFonts w:hint="eastAsia"/>
          <w:b/>
          <w:bCs/>
          <w:rtl/>
        </w:rPr>
        <w:t>ההסברה</w:t>
      </w:r>
      <w:r w:rsidRPr="00DC3374">
        <w:rPr>
          <w:b/>
          <w:bCs/>
          <w:rtl/>
        </w:rPr>
        <w:t xml:space="preserve"> </w:t>
      </w:r>
      <w:r w:rsidRPr="00DC3374">
        <w:rPr>
          <w:rFonts w:hint="eastAsia"/>
          <w:b/>
          <w:bCs/>
          <w:rtl/>
        </w:rPr>
        <w:t>בעת</w:t>
      </w:r>
      <w:r w:rsidRPr="00DC3374">
        <w:rPr>
          <w:b/>
          <w:bCs/>
          <w:rtl/>
        </w:rPr>
        <w:t xml:space="preserve"> </w:t>
      </w:r>
      <w:r w:rsidRPr="00DC3374">
        <w:rPr>
          <w:rFonts w:hint="eastAsia"/>
          <w:b/>
          <w:bCs/>
          <w:rtl/>
        </w:rPr>
        <w:t>פנדמיה</w:t>
      </w:r>
      <w:r w:rsidRPr="00DC3374">
        <w:rPr>
          <w:b/>
          <w:bCs/>
          <w:rtl/>
        </w:rPr>
        <w:t xml:space="preserve"> וכן </w:t>
      </w:r>
      <w:r w:rsidRPr="00DC3374">
        <w:rPr>
          <w:rFonts w:hint="eastAsia"/>
          <w:b/>
          <w:bCs/>
          <w:rtl/>
        </w:rPr>
        <w:t>עקרונות</w:t>
      </w:r>
      <w:r w:rsidRPr="00DC3374">
        <w:rPr>
          <w:b/>
          <w:bCs/>
          <w:rtl/>
        </w:rPr>
        <w:t xml:space="preserve"> </w:t>
      </w:r>
      <w:r w:rsidRPr="00DC3374">
        <w:rPr>
          <w:rFonts w:hint="eastAsia"/>
          <w:b/>
          <w:bCs/>
          <w:rtl/>
        </w:rPr>
        <w:t>הסברה</w:t>
      </w:r>
      <w:r w:rsidRPr="00DC3374">
        <w:rPr>
          <w:b/>
          <w:bCs/>
          <w:rtl/>
        </w:rPr>
        <w:t xml:space="preserve"> </w:t>
      </w:r>
      <w:r w:rsidRPr="00DC3374">
        <w:rPr>
          <w:rFonts w:hint="eastAsia"/>
          <w:b/>
          <w:bCs/>
          <w:rtl/>
        </w:rPr>
        <w:t>הכוללים</w:t>
      </w:r>
      <w:r w:rsidRPr="00DC3374">
        <w:rPr>
          <w:b/>
          <w:bCs/>
          <w:rtl/>
        </w:rPr>
        <w:t xml:space="preserve"> </w:t>
      </w:r>
      <w:r w:rsidRPr="00DC3374">
        <w:rPr>
          <w:rFonts w:hint="eastAsia"/>
          <w:b/>
          <w:bCs/>
          <w:rtl/>
        </w:rPr>
        <w:t>היגדים</w:t>
      </w:r>
      <w:r w:rsidRPr="00DC3374">
        <w:rPr>
          <w:b/>
          <w:bCs/>
          <w:rtl/>
        </w:rPr>
        <w:t xml:space="preserve"> </w:t>
      </w:r>
      <w:r w:rsidRPr="00DC3374">
        <w:rPr>
          <w:rFonts w:hint="eastAsia"/>
          <w:b/>
          <w:bCs/>
          <w:rtl/>
        </w:rPr>
        <w:t>כלליים</w:t>
      </w:r>
      <w:r w:rsidRPr="00DC3374">
        <w:rPr>
          <w:b/>
          <w:bCs/>
          <w:rtl/>
        </w:rPr>
        <w:t xml:space="preserve"> </w:t>
      </w:r>
      <w:r w:rsidRPr="00DC3374">
        <w:rPr>
          <w:rFonts w:hint="eastAsia"/>
          <w:b/>
          <w:bCs/>
          <w:rtl/>
        </w:rPr>
        <w:t>והצהרתיים</w:t>
      </w:r>
      <w:r w:rsidRPr="00DC3374">
        <w:rPr>
          <w:b/>
          <w:bCs/>
          <w:rtl/>
        </w:rPr>
        <w:t xml:space="preserve"> </w:t>
      </w:r>
      <w:r w:rsidRPr="00DC3374">
        <w:rPr>
          <w:rFonts w:hint="eastAsia"/>
          <w:b/>
          <w:bCs/>
          <w:rtl/>
        </w:rPr>
        <w:t>על</w:t>
      </w:r>
      <w:r w:rsidRPr="00DC3374">
        <w:rPr>
          <w:b/>
          <w:bCs/>
          <w:rtl/>
        </w:rPr>
        <w:t xml:space="preserve"> </w:t>
      </w:r>
      <w:r w:rsidRPr="00DC3374" w:rsidR="00F96C29">
        <w:rPr>
          <w:rFonts w:hint="cs"/>
          <w:b/>
          <w:bCs/>
          <w:rtl/>
        </w:rPr>
        <w:t>ה</w:t>
      </w:r>
      <w:r w:rsidRPr="00DC3374">
        <w:rPr>
          <w:rFonts w:hint="eastAsia"/>
          <w:b/>
          <w:bCs/>
          <w:rtl/>
        </w:rPr>
        <w:t>פעולות</w:t>
      </w:r>
      <w:r w:rsidRPr="00DC3374">
        <w:rPr>
          <w:b/>
          <w:bCs/>
          <w:rtl/>
        </w:rPr>
        <w:t xml:space="preserve"> </w:t>
      </w:r>
      <w:r w:rsidRPr="00DC3374">
        <w:rPr>
          <w:rFonts w:hint="eastAsia"/>
          <w:b/>
          <w:bCs/>
          <w:rtl/>
        </w:rPr>
        <w:t>ו</w:t>
      </w:r>
      <w:r w:rsidRPr="00DC3374" w:rsidR="00F96C29">
        <w:rPr>
          <w:rFonts w:hint="cs"/>
          <w:b/>
          <w:bCs/>
          <w:rtl/>
        </w:rPr>
        <w:t>ה</w:t>
      </w:r>
      <w:r w:rsidRPr="00DC3374">
        <w:rPr>
          <w:rFonts w:hint="eastAsia"/>
          <w:b/>
          <w:bCs/>
          <w:rtl/>
        </w:rPr>
        <w:t>שיטות</w:t>
      </w:r>
      <w:r w:rsidRPr="00DC3374">
        <w:rPr>
          <w:b/>
          <w:bCs/>
          <w:rtl/>
        </w:rPr>
        <w:t xml:space="preserve"> </w:t>
      </w:r>
      <w:r w:rsidRPr="00DC3374">
        <w:rPr>
          <w:rFonts w:hint="eastAsia"/>
          <w:b/>
          <w:bCs/>
          <w:rtl/>
        </w:rPr>
        <w:t>שנדרשות</w:t>
      </w:r>
      <w:r w:rsidRPr="00DC3374">
        <w:rPr>
          <w:b/>
          <w:bCs/>
          <w:rtl/>
        </w:rPr>
        <w:t xml:space="preserve"> </w:t>
      </w:r>
      <w:r w:rsidRPr="00DC3374">
        <w:rPr>
          <w:rFonts w:hint="eastAsia"/>
          <w:b/>
          <w:bCs/>
          <w:rtl/>
        </w:rPr>
        <w:t>לצורך</w:t>
      </w:r>
      <w:r w:rsidRPr="00DC3374">
        <w:rPr>
          <w:b/>
          <w:bCs/>
          <w:rtl/>
        </w:rPr>
        <w:t xml:space="preserve"> </w:t>
      </w:r>
      <w:r w:rsidRPr="00DC3374">
        <w:rPr>
          <w:rFonts w:hint="eastAsia"/>
          <w:b/>
          <w:bCs/>
          <w:rtl/>
        </w:rPr>
        <w:t>ניהול</w:t>
      </w:r>
      <w:r w:rsidRPr="00DC3374">
        <w:rPr>
          <w:b/>
          <w:bCs/>
          <w:rtl/>
        </w:rPr>
        <w:t xml:space="preserve"> </w:t>
      </w:r>
      <w:r w:rsidRPr="00DC3374">
        <w:rPr>
          <w:rFonts w:hint="eastAsia"/>
          <w:b/>
          <w:bCs/>
          <w:rtl/>
        </w:rPr>
        <w:t>ההסברה</w:t>
      </w:r>
      <w:r w:rsidRPr="00DC3374">
        <w:rPr>
          <w:rFonts w:hint="cs"/>
          <w:b/>
          <w:bCs/>
          <w:rtl/>
        </w:rPr>
        <w:t>,</w:t>
      </w:r>
      <w:r w:rsidRPr="00DC3374">
        <w:rPr>
          <w:b/>
          <w:bCs/>
          <w:rtl/>
        </w:rPr>
        <w:t xml:space="preserve"> ללא ת</w:t>
      </w:r>
      <w:r w:rsidRPr="00DC3374" w:rsidR="00F96C29">
        <w:rPr>
          <w:rFonts w:hint="cs"/>
          <w:b/>
          <w:bCs/>
          <w:rtl/>
        </w:rPr>
        <w:t>ו</w:t>
      </w:r>
      <w:r w:rsidRPr="00DC3374">
        <w:rPr>
          <w:b/>
          <w:bCs/>
          <w:rtl/>
        </w:rPr>
        <w:t xml:space="preserve">כנית הסברה אופרטיבית. כן עלה כי </w:t>
      </w:r>
      <w:r w:rsidRPr="00DC3374">
        <w:rPr>
          <w:rFonts w:hint="eastAsia"/>
          <w:b/>
          <w:bCs/>
          <w:rtl/>
        </w:rPr>
        <w:t>מסמך</w:t>
      </w:r>
      <w:r w:rsidRPr="00DC3374">
        <w:rPr>
          <w:b/>
          <w:bCs/>
          <w:rtl/>
        </w:rPr>
        <w:t xml:space="preserve"> </w:t>
      </w:r>
      <w:r w:rsidRPr="00DC3374">
        <w:rPr>
          <w:rFonts w:hint="eastAsia"/>
          <w:b/>
          <w:bCs/>
          <w:rtl/>
        </w:rPr>
        <w:t>התרגיל</w:t>
      </w:r>
      <w:r w:rsidRPr="00DC3374">
        <w:rPr>
          <w:b/>
          <w:bCs/>
          <w:rtl/>
        </w:rPr>
        <w:t xml:space="preserve"> </w:t>
      </w:r>
      <w:r w:rsidRPr="00DC3374">
        <w:rPr>
          <w:rFonts w:hint="eastAsia"/>
          <w:b/>
          <w:bCs/>
          <w:rtl/>
        </w:rPr>
        <w:t>נשלח</w:t>
      </w:r>
      <w:r w:rsidRPr="00DC3374">
        <w:rPr>
          <w:b/>
          <w:bCs/>
          <w:rtl/>
        </w:rPr>
        <w:t xml:space="preserve"> </w:t>
      </w:r>
      <w:r w:rsidRPr="00DC3374">
        <w:rPr>
          <w:rFonts w:hint="eastAsia"/>
          <w:b/>
          <w:bCs/>
          <w:rtl/>
        </w:rPr>
        <w:t>ל</w:t>
      </w:r>
      <w:r w:rsidRPr="00DC3374">
        <w:rPr>
          <w:b/>
          <w:bCs/>
          <w:rtl/>
        </w:rPr>
        <w:t xml:space="preserve">-11 </w:t>
      </w:r>
      <w:r w:rsidRPr="00DC3374">
        <w:rPr>
          <w:rFonts w:hint="eastAsia"/>
          <w:b/>
          <w:bCs/>
          <w:rtl/>
        </w:rPr>
        <w:t>דוברי</w:t>
      </w:r>
      <w:r w:rsidRPr="00DC3374">
        <w:rPr>
          <w:b/>
          <w:bCs/>
          <w:rtl/>
        </w:rPr>
        <w:t xml:space="preserve"> </w:t>
      </w:r>
      <w:r w:rsidRPr="00DC3374">
        <w:rPr>
          <w:rFonts w:hint="eastAsia"/>
          <w:b/>
          <w:bCs/>
          <w:rtl/>
        </w:rPr>
        <w:t>הגופים</w:t>
      </w:r>
      <w:r w:rsidRPr="00DC3374">
        <w:rPr>
          <w:b/>
          <w:bCs/>
          <w:rtl/>
        </w:rPr>
        <w:t xml:space="preserve"> </w:t>
      </w:r>
      <w:r w:rsidRPr="00DC3374">
        <w:rPr>
          <w:rFonts w:hint="eastAsia"/>
          <w:b/>
          <w:bCs/>
          <w:rtl/>
        </w:rPr>
        <w:t>ומשרדי</w:t>
      </w:r>
      <w:r w:rsidRPr="00DC3374">
        <w:rPr>
          <w:b/>
          <w:bCs/>
          <w:rtl/>
        </w:rPr>
        <w:t xml:space="preserve"> </w:t>
      </w:r>
      <w:r w:rsidRPr="00DC3374">
        <w:rPr>
          <w:rFonts w:hint="eastAsia"/>
          <w:b/>
          <w:bCs/>
          <w:rtl/>
        </w:rPr>
        <w:t>הממשלה</w:t>
      </w:r>
      <w:r w:rsidRPr="00DC3374">
        <w:rPr>
          <w:b/>
          <w:bCs/>
          <w:rtl/>
        </w:rPr>
        <w:t xml:space="preserve"> </w:t>
      </w:r>
      <w:r w:rsidRPr="00DC3374">
        <w:rPr>
          <w:rFonts w:hint="eastAsia"/>
          <w:b/>
          <w:bCs/>
          <w:rtl/>
        </w:rPr>
        <w:t>שהשתתפו</w:t>
      </w:r>
      <w:r w:rsidRPr="00DC3374">
        <w:rPr>
          <w:b/>
          <w:bCs/>
          <w:rtl/>
        </w:rPr>
        <w:t xml:space="preserve"> </w:t>
      </w:r>
      <w:r w:rsidRPr="00DC3374">
        <w:rPr>
          <w:rFonts w:hint="eastAsia"/>
          <w:b/>
          <w:bCs/>
          <w:rtl/>
        </w:rPr>
        <w:t>בתרגיל</w:t>
      </w:r>
      <w:r w:rsidRPr="00DC3374">
        <w:rPr>
          <w:b/>
          <w:bCs/>
          <w:rtl/>
        </w:rPr>
        <w:t xml:space="preserve">, </w:t>
      </w:r>
      <w:r w:rsidRPr="00DC3374">
        <w:rPr>
          <w:rFonts w:hint="eastAsia"/>
          <w:b/>
          <w:bCs/>
          <w:rtl/>
        </w:rPr>
        <w:t>ולא</w:t>
      </w:r>
      <w:r w:rsidRPr="00DC3374">
        <w:rPr>
          <w:b/>
          <w:bCs/>
          <w:rtl/>
        </w:rPr>
        <w:t xml:space="preserve"> </w:t>
      </w:r>
      <w:r w:rsidRPr="00DC3374">
        <w:rPr>
          <w:rFonts w:hint="eastAsia"/>
          <w:b/>
          <w:bCs/>
          <w:rtl/>
        </w:rPr>
        <w:t>הופץ</w:t>
      </w:r>
      <w:r w:rsidRPr="00DC3374">
        <w:rPr>
          <w:b/>
          <w:bCs/>
          <w:rtl/>
        </w:rPr>
        <w:t xml:space="preserve"> </w:t>
      </w:r>
      <w:r w:rsidRPr="00DC3374">
        <w:rPr>
          <w:rFonts w:hint="eastAsia"/>
          <w:b/>
          <w:bCs/>
          <w:rtl/>
        </w:rPr>
        <w:t>לכלל</w:t>
      </w:r>
      <w:r w:rsidRPr="00DC3374">
        <w:rPr>
          <w:b/>
          <w:bCs/>
          <w:rtl/>
        </w:rPr>
        <w:t xml:space="preserve"> </w:t>
      </w:r>
      <w:r w:rsidRPr="00DC3374">
        <w:rPr>
          <w:rFonts w:hint="eastAsia"/>
          <w:b/>
          <w:bCs/>
          <w:rtl/>
        </w:rPr>
        <w:t>דוברי</w:t>
      </w:r>
      <w:r w:rsidRPr="00DC3374">
        <w:rPr>
          <w:b/>
          <w:bCs/>
          <w:rtl/>
        </w:rPr>
        <w:t xml:space="preserve"> </w:t>
      </w:r>
      <w:r w:rsidRPr="00DC3374">
        <w:rPr>
          <w:rFonts w:hint="eastAsia"/>
          <w:b/>
          <w:bCs/>
          <w:rtl/>
        </w:rPr>
        <w:t>משרדי</w:t>
      </w:r>
      <w:r w:rsidRPr="00DC3374">
        <w:rPr>
          <w:b/>
          <w:bCs/>
          <w:rtl/>
        </w:rPr>
        <w:t xml:space="preserve"> </w:t>
      </w:r>
      <w:r w:rsidRPr="00DC3374">
        <w:rPr>
          <w:rFonts w:hint="eastAsia"/>
          <w:b/>
          <w:bCs/>
          <w:rtl/>
        </w:rPr>
        <w:t>הממשלה</w:t>
      </w:r>
      <w:r w:rsidRPr="00DC3374">
        <w:rPr>
          <w:b/>
          <w:bCs/>
          <w:rtl/>
        </w:rPr>
        <w:t xml:space="preserve"> </w:t>
      </w:r>
      <w:r w:rsidRPr="00DC3374">
        <w:rPr>
          <w:rFonts w:hint="eastAsia"/>
          <w:b/>
          <w:bCs/>
          <w:rtl/>
        </w:rPr>
        <w:t>והגופים</w:t>
      </w:r>
      <w:r w:rsidRPr="00DC3374">
        <w:rPr>
          <w:b/>
          <w:bCs/>
          <w:rtl/>
        </w:rPr>
        <w:t xml:space="preserve"> </w:t>
      </w:r>
      <w:r w:rsidRPr="00DC3374">
        <w:rPr>
          <w:rFonts w:hint="eastAsia"/>
          <w:b/>
          <w:bCs/>
          <w:rtl/>
        </w:rPr>
        <w:t>שהמטה</w:t>
      </w:r>
      <w:r w:rsidRPr="00DC3374">
        <w:rPr>
          <w:b/>
          <w:bCs/>
          <w:rtl/>
        </w:rPr>
        <w:t xml:space="preserve"> </w:t>
      </w:r>
      <w:r w:rsidRPr="00DC3374">
        <w:rPr>
          <w:rFonts w:hint="eastAsia"/>
          <w:b/>
          <w:bCs/>
          <w:rtl/>
        </w:rPr>
        <w:t>מופקד</w:t>
      </w:r>
      <w:r w:rsidRPr="00DC3374">
        <w:rPr>
          <w:b/>
          <w:bCs/>
          <w:rtl/>
        </w:rPr>
        <w:t xml:space="preserve"> </w:t>
      </w:r>
      <w:r w:rsidRPr="00DC3374">
        <w:rPr>
          <w:rFonts w:hint="eastAsia"/>
          <w:b/>
          <w:bCs/>
          <w:rtl/>
        </w:rPr>
        <w:t>על</w:t>
      </w:r>
      <w:r w:rsidRPr="00DC3374">
        <w:rPr>
          <w:b/>
          <w:bCs/>
          <w:rtl/>
        </w:rPr>
        <w:t xml:space="preserve"> </w:t>
      </w:r>
      <w:r w:rsidRPr="00DC3374">
        <w:rPr>
          <w:rFonts w:hint="eastAsia"/>
          <w:b/>
          <w:bCs/>
          <w:rtl/>
        </w:rPr>
        <w:t>הנחייתם</w:t>
      </w:r>
      <w:r w:rsidRPr="00DC3374">
        <w:rPr>
          <w:b/>
          <w:bCs/>
          <w:rtl/>
        </w:rPr>
        <w:t xml:space="preserve"> </w:t>
      </w:r>
      <w:r w:rsidRPr="00DC3374">
        <w:rPr>
          <w:rFonts w:hint="eastAsia"/>
          <w:b/>
          <w:bCs/>
          <w:rtl/>
        </w:rPr>
        <w:t>בשעת</w:t>
      </w:r>
      <w:r w:rsidRPr="00DC3374">
        <w:rPr>
          <w:b/>
          <w:bCs/>
          <w:rtl/>
        </w:rPr>
        <w:t xml:space="preserve"> </w:t>
      </w:r>
      <w:r w:rsidRPr="00DC3374">
        <w:rPr>
          <w:rFonts w:hint="eastAsia"/>
          <w:b/>
          <w:bCs/>
          <w:rtl/>
        </w:rPr>
        <w:t>חירום</w:t>
      </w:r>
      <w:r w:rsidRPr="00DC3374">
        <w:rPr>
          <w:b/>
          <w:bCs/>
          <w:rtl/>
        </w:rPr>
        <w:t xml:space="preserve">, </w:t>
      </w:r>
      <w:r w:rsidRPr="00DC3374">
        <w:rPr>
          <w:rFonts w:hint="eastAsia"/>
          <w:b/>
          <w:bCs/>
          <w:rtl/>
        </w:rPr>
        <w:t>כמו</w:t>
      </w:r>
      <w:r w:rsidRPr="00DC3374" w:rsidR="00D81B1F">
        <w:rPr>
          <w:rFonts w:hint="cs"/>
          <w:b/>
          <w:bCs/>
          <w:rtl/>
        </w:rPr>
        <w:t xml:space="preserve"> </w:t>
      </w:r>
      <w:r w:rsidRPr="00DC3374">
        <w:rPr>
          <w:rFonts w:hint="eastAsia"/>
          <w:b/>
          <w:bCs/>
          <w:rtl/>
        </w:rPr>
        <w:t>משרד</w:t>
      </w:r>
      <w:r w:rsidRPr="00DC3374">
        <w:rPr>
          <w:b/>
          <w:bCs/>
          <w:rtl/>
        </w:rPr>
        <w:t xml:space="preserve"> </w:t>
      </w:r>
      <w:r w:rsidRPr="00DC3374">
        <w:rPr>
          <w:rFonts w:hint="eastAsia"/>
          <w:b/>
          <w:bCs/>
          <w:rtl/>
        </w:rPr>
        <w:t>החינוך</w:t>
      </w:r>
      <w:r w:rsidRPr="00DC3374">
        <w:rPr>
          <w:b/>
          <w:bCs/>
          <w:rtl/>
        </w:rPr>
        <w:t>.</w:t>
      </w:r>
    </w:p>
    <w:p w:rsidR="006C1EA1" w:rsidRPr="00DC3374" w:rsidP="00E81188" w14:paraId="5A770C95" w14:textId="3E85924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242A8865" w14:textId="77777777">
      <w:pPr>
        <w:pStyle w:val="ListParagraph"/>
        <w:spacing w:line="269" w:lineRule="auto"/>
        <w:ind w:left="340"/>
        <w:rPr>
          <w:b/>
          <w:bCs/>
          <w:rtl/>
        </w:rPr>
      </w:pPr>
      <w:r w:rsidRPr="00DC3374">
        <w:rPr>
          <w:rFonts w:hint="cs"/>
          <w:b/>
          <w:bCs/>
          <w:rtl/>
        </w:rPr>
        <w:t xml:space="preserve">עוד עלה כי </w:t>
      </w:r>
      <w:r w:rsidRPr="00DC3374">
        <w:rPr>
          <w:b/>
          <w:bCs/>
          <w:rtl/>
        </w:rPr>
        <w:t>אף</w:t>
      </w:r>
      <w:r w:rsidRPr="00DC3374">
        <w:rPr>
          <w:rFonts w:hint="cs"/>
          <w:b/>
          <w:bCs/>
          <w:rtl/>
        </w:rPr>
        <w:t xml:space="preserve"> </w:t>
      </w:r>
      <w:r w:rsidRPr="00DC3374">
        <w:rPr>
          <w:b/>
          <w:bCs/>
          <w:rtl/>
        </w:rPr>
        <w:t>ש</w:t>
      </w:r>
      <w:r w:rsidRPr="00DC3374">
        <w:rPr>
          <w:rFonts w:hint="cs"/>
          <w:b/>
          <w:bCs/>
          <w:rtl/>
        </w:rPr>
        <w:t xml:space="preserve">בין עקרונות המדיניות ציין המטה </w:t>
      </w:r>
      <w:r w:rsidRPr="00DC3374">
        <w:rPr>
          <w:b/>
          <w:bCs/>
          <w:rtl/>
        </w:rPr>
        <w:t xml:space="preserve">כי דרושים פתרונות לקהלי יעד ייחודיים, לא </w:t>
      </w:r>
      <w:r w:rsidRPr="00DC3374">
        <w:rPr>
          <w:rFonts w:hint="cs"/>
          <w:b/>
          <w:bCs/>
          <w:rtl/>
        </w:rPr>
        <w:t xml:space="preserve">מופו </w:t>
      </w:r>
      <w:r w:rsidRPr="00DC3374">
        <w:rPr>
          <w:b/>
          <w:bCs/>
          <w:rtl/>
        </w:rPr>
        <w:t>קהלי היעד, מאפייניהם והחסמים הצפויים בעניינם</w:t>
      </w:r>
      <w:r w:rsidRPr="00DC3374">
        <w:rPr>
          <w:rFonts w:hint="cs"/>
          <w:b/>
          <w:bCs/>
          <w:rtl/>
        </w:rPr>
        <w:t xml:space="preserve"> (להלן - מחקר אוכלוסייה), </w:t>
      </w:r>
      <w:r w:rsidRPr="00DC3374">
        <w:rPr>
          <w:b/>
          <w:bCs/>
          <w:rtl/>
        </w:rPr>
        <w:t xml:space="preserve">לצורך ביסוס </w:t>
      </w:r>
      <w:r w:rsidRPr="00DC3374">
        <w:rPr>
          <w:rFonts w:hint="cs"/>
          <w:b/>
          <w:bCs/>
          <w:rtl/>
        </w:rPr>
        <w:t>ה</w:t>
      </w:r>
      <w:r w:rsidRPr="00DC3374">
        <w:rPr>
          <w:b/>
          <w:bCs/>
          <w:rtl/>
        </w:rPr>
        <w:t xml:space="preserve">מוכנות להתאמת אמצעי ההסברה </w:t>
      </w:r>
      <w:r w:rsidRPr="00DC3374">
        <w:rPr>
          <w:rFonts w:hint="cs"/>
          <w:b/>
          <w:bCs/>
          <w:rtl/>
        </w:rPr>
        <w:t xml:space="preserve">ותכניה </w:t>
      </w:r>
      <w:r w:rsidRPr="00DC3374">
        <w:rPr>
          <w:b/>
          <w:bCs/>
          <w:rtl/>
        </w:rPr>
        <w:t>לקהלים אלה בשעת חירום.</w:t>
      </w:r>
      <w:r w:rsidRPr="00DC3374">
        <w:rPr>
          <w:rFonts w:hint="cs"/>
          <w:b/>
          <w:bCs/>
          <w:rtl/>
        </w:rPr>
        <w:t xml:space="preserve"> </w:t>
      </w:r>
    </w:p>
    <w:p w:rsidR="006C1EA1" w:rsidRPr="00DC3374" w:rsidP="00E81188" w14:paraId="0EBF637C" w14:textId="401C100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F5848E3" w14:textId="77777777">
      <w:pPr>
        <w:pStyle w:val="ListParagraph"/>
        <w:spacing w:line="269" w:lineRule="auto"/>
        <w:ind w:left="340"/>
        <w:rPr>
          <w:b/>
          <w:bCs/>
        </w:rPr>
      </w:pPr>
      <w:r w:rsidRPr="00DC3374">
        <w:rPr>
          <w:rFonts w:hint="cs"/>
          <w:b/>
          <w:bCs/>
          <w:rtl/>
        </w:rPr>
        <w:t xml:space="preserve">כמו כן, אף שבמסגרת ההכנה לתרגיל "נחשול בריא" ובמסמך התרגיל ציין מטה ההסברה כי על גורמי ההסברה במשרדי הממשלה לגבש ולהכשיר "מאגר מסבירים" הכולל מומחים ואנשי מקצוע אשר יתווכו לציבור את עמדת המדינה בשעת חירום, משרד הבריאות לא גיבש מבעוד מועד מאגר מסבירים כאמור, ומטה ההסברה הלאומי - אשר על פי החלטת הממשלה </w:t>
      </w:r>
      <w:r w:rsidRPr="00DC3374">
        <w:rPr>
          <w:rFonts w:hint="cs"/>
          <w:b/>
          <w:bCs/>
          <w:rtl/>
        </w:rPr>
        <w:t>בנושא הקמת מערך ההסברה הלאומי אחראי במישור הלאומי להקמת מאגר דוברים מומחים לחירום - לא וידא כי המאגר גובש.</w:t>
      </w:r>
    </w:p>
    <w:p w:rsidR="006C1EA1" w:rsidRPr="00DC3374" w:rsidP="00E81188" w14:paraId="58F1192F" w14:textId="56769E45">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34600F6B" w14:textId="77777777">
      <w:pPr>
        <w:pStyle w:val="ListParagraph"/>
        <w:numPr>
          <w:ilvl w:val="0"/>
          <w:numId w:val="14"/>
        </w:numPr>
        <w:spacing w:line="269" w:lineRule="auto"/>
      </w:pPr>
      <w:r w:rsidRPr="00DC3374">
        <w:rPr>
          <w:rStyle w:val="7"/>
          <w:rFonts w:hint="eastAsia"/>
          <w:rtl/>
        </w:rPr>
        <w:t>משרד</w:t>
      </w:r>
      <w:r w:rsidRPr="00DC3374">
        <w:rPr>
          <w:rStyle w:val="7"/>
          <w:rtl/>
        </w:rPr>
        <w:t xml:space="preserve"> </w:t>
      </w:r>
      <w:r w:rsidRPr="00DC3374">
        <w:rPr>
          <w:rStyle w:val="7"/>
          <w:rFonts w:hint="eastAsia"/>
          <w:rtl/>
        </w:rPr>
        <w:t>הבריאות</w:t>
      </w:r>
      <w:r w:rsidRPr="00DC3374">
        <w:rPr>
          <w:rStyle w:val="7"/>
          <w:rFonts w:hint="cs"/>
          <w:rtl/>
        </w:rPr>
        <w:t>:</w:t>
      </w:r>
      <w:r w:rsidRPr="00DC3374">
        <w:rPr>
          <w:rFonts w:hint="cs"/>
          <w:rtl/>
        </w:rPr>
        <w:t xml:space="preserve"> משרד הבריאות גיבש בשנת 2005 תוכנית בנושא "מוכנות מערכת הבריאות לשפעת פנדמית", שעודכנה לאחרונה בשנת 2007. התוכנית מבוססת על המלצות של ועדות מקצועיות ייעודיות לנושא. מטרת התוכנית הייתה לפרט עקרונות להתמודדות עם פנדמיה ולהבחין בין סוגיות שאפשר ליישב מראש לבין סוגיות שיש ליישב תוך כדי משבר. המסמך חובר בשיתוף פעולה עם משרד הביטחון, במסגרת אחריותו של המשרד להוביל את עבודת "צוות ניהול המשבר" לטיפול בהיערכות המשק לקראת פנדמיה, על פי החלטת הממשלה</w:t>
      </w:r>
      <w:r>
        <w:rPr>
          <w:rStyle w:val="FootnoteReference1"/>
          <w:rtl/>
        </w:rPr>
        <w:footnoteReference w:id="41"/>
      </w:r>
      <w:r w:rsidRPr="00DC3374">
        <w:rPr>
          <w:rFonts w:hint="cs"/>
          <w:rtl/>
        </w:rPr>
        <w:t xml:space="preserve">. התוכנית כללה בין השאר תרחישי ייחוס, שלבי היערכות לפנדמיה, שלבים באירוע פנדמיה ופעולות מעבר ביניהם ופעולות לבלימת התפשטות המחלה בקהילה. </w:t>
      </w:r>
    </w:p>
    <w:p w:rsidR="006C1EA1" w:rsidRPr="00DC3374" w:rsidP="00E81188" w14:paraId="643C5290" w14:textId="26238E2A">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79383E38" w14:textId="77777777">
      <w:pPr>
        <w:pStyle w:val="ListParagraph"/>
        <w:spacing w:line="269" w:lineRule="auto"/>
        <w:ind w:left="340"/>
      </w:pPr>
      <w:r w:rsidRPr="00DC3374">
        <w:rPr>
          <w:rFonts w:hint="cs"/>
          <w:rtl/>
        </w:rPr>
        <w:t>התוכנית כוללת גם תת-פרק בנושא "היערכות מערך ההסברה והדוברות לציבור" ובו רשימה של שישה קהלי יעד, ובהם כלל הציבור, הסגל הרפואי, מקבלי ההחלטות וחולים שאינם יודעים אם ואיזה זן של הנגיף תקף אותם; שיטות הסברה שצוינו, כגון "יש לנקוט בהסברה אקטיבית" ו"ההסברה תיעשה על-ידי מומחים מתחום האפידמיולוגיה ובריאות הציבור ולא על-ידי אנשי אדמיניסטרציה" וכן "קו פתוח" לתשובות של מומחים; ואמצעי הפצת מסרים כגון חומר כתוב וסרטי הסברה, אתר אינטרנט ייחודי לנושא ומאגר של מסבירים מקצועיים.</w:t>
      </w:r>
    </w:p>
    <w:p w:rsidR="00865487" w:rsidRPr="00DC3374" w:rsidP="00E81188" w14:paraId="44FAAE89" w14:textId="4D87829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865487" w:rsidRPr="00DC3374" w:rsidP="00E81188" w14:paraId="60068819" w14:textId="73A996B0">
      <w:pPr>
        <w:pStyle w:val="ListParagraph"/>
        <w:spacing w:line="269" w:lineRule="auto"/>
        <w:ind w:left="340"/>
        <w:rPr>
          <w:rtl/>
        </w:rPr>
      </w:pPr>
      <w:r w:rsidRPr="00DC3374">
        <w:rPr>
          <w:rFonts w:hint="cs"/>
          <w:b/>
          <w:bCs/>
          <w:rtl/>
        </w:rPr>
        <w:t xml:space="preserve">נמצא כי תוכנית משרד הבריאות בנושא היערכות מערך ההסברה והדוברות לציבור לא עודכנה משנת 2007 </w:t>
      </w:r>
      <w:r w:rsidRPr="00DC3374">
        <w:rPr>
          <w:rFonts w:hint="eastAsia"/>
          <w:b/>
          <w:bCs/>
          <w:rtl/>
        </w:rPr>
        <w:t>על</w:t>
      </w:r>
      <w:r w:rsidRPr="00DC3374">
        <w:rPr>
          <w:b/>
          <w:bCs/>
          <w:rtl/>
        </w:rPr>
        <w:t xml:space="preserve"> אף השינויים שחלו בתחום התקשורת, המדיה החדשה ואמצעי ההסברה בעשור האחרון. </w:t>
      </w:r>
      <w:r w:rsidRPr="00DC3374">
        <w:rPr>
          <w:rFonts w:hint="eastAsia"/>
          <w:b/>
          <w:bCs/>
          <w:rtl/>
        </w:rPr>
        <w:t>כך</w:t>
      </w:r>
      <w:r w:rsidRPr="00DC3374">
        <w:rPr>
          <w:b/>
          <w:bCs/>
          <w:rtl/>
        </w:rPr>
        <w:t xml:space="preserve">, הרשתות החברתיות אינן מוזכרות </w:t>
      </w:r>
      <w:r w:rsidRPr="00DC3374" w:rsidR="008D3EE6">
        <w:rPr>
          <w:b/>
          <w:bCs/>
          <w:rtl/>
        </w:rPr>
        <w:t xml:space="preserve">כלל </w:t>
      </w:r>
      <w:r w:rsidRPr="00DC3374">
        <w:rPr>
          <w:b/>
          <w:bCs/>
          <w:rtl/>
        </w:rPr>
        <w:t xml:space="preserve">בתוכנית בין אמצעי הפצת המסרים. עם זאת </w:t>
      </w:r>
      <w:r w:rsidRPr="00DC3374">
        <w:rPr>
          <w:rFonts w:hint="cs"/>
          <w:b/>
          <w:bCs/>
          <w:rtl/>
        </w:rPr>
        <w:t xml:space="preserve">משרד הבריאות טיפל בנושאים אלו מתחילת המשבר. עוד נמצא כי תוכנית המשרד משנת 2007 אינה עוסקת בצורך בהתאמת המסרים למגוון קהלי היעד בחברה הישראלית, הנבדלים זה מזה על רקע דתי, תרבותי וחברתי, וכי פעולות ההסברה של המשרד </w:t>
      </w:r>
      <w:r w:rsidRPr="00DC3374">
        <w:rPr>
          <w:b/>
          <w:bCs/>
          <w:rtl/>
        </w:rPr>
        <w:t>ב</w:t>
      </w:r>
      <w:r w:rsidRPr="00DC3374">
        <w:rPr>
          <w:rFonts w:hint="cs"/>
          <w:b/>
          <w:bCs/>
          <w:rtl/>
        </w:rPr>
        <w:t xml:space="preserve">עת </w:t>
      </w:r>
      <w:r w:rsidRPr="00DC3374">
        <w:rPr>
          <w:b/>
          <w:bCs/>
          <w:rtl/>
        </w:rPr>
        <w:t xml:space="preserve">משבר הקורונה באופן </w:t>
      </w:r>
      <w:r w:rsidRPr="00DC3374" w:rsidR="008D3EE6">
        <w:rPr>
          <w:rFonts w:hint="cs"/>
          <w:b/>
          <w:bCs/>
          <w:rtl/>
        </w:rPr>
        <w:t>ה</w:t>
      </w:r>
      <w:r w:rsidRPr="00DC3374">
        <w:rPr>
          <w:b/>
          <w:bCs/>
          <w:rtl/>
        </w:rPr>
        <w:t>מותאם לחברה הערבית ולחברה החרדית החל</w:t>
      </w:r>
      <w:r w:rsidRPr="00DC3374" w:rsidR="008D3EE6">
        <w:rPr>
          <w:rFonts w:hint="cs"/>
          <w:b/>
          <w:bCs/>
          <w:rtl/>
        </w:rPr>
        <w:t>ו</w:t>
      </w:r>
      <w:r w:rsidRPr="00DC3374">
        <w:rPr>
          <w:b/>
          <w:bCs/>
          <w:rtl/>
        </w:rPr>
        <w:t xml:space="preserve"> בהדרג</w:t>
      </w:r>
      <w:r w:rsidRPr="00DC3374">
        <w:rPr>
          <w:rFonts w:hint="cs"/>
          <w:b/>
          <w:bCs/>
          <w:rtl/>
        </w:rPr>
        <w:t>ה</w:t>
      </w:r>
      <w:r w:rsidRPr="00DC3374">
        <w:rPr>
          <w:b/>
          <w:bCs/>
          <w:rtl/>
        </w:rPr>
        <w:t xml:space="preserve"> ובאיחור בהשוואה להסברה שניתנה לאוכלוסייה היהודית הכללית, כמפורט להלן בפרק בנושא "ההסברה לאוכלוסיות ייחודיות"</w:t>
      </w:r>
      <w:r w:rsidRPr="00DC3374">
        <w:rPr>
          <w:rFonts w:hint="cs"/>
          <w:b/>
          <w:bCs/>
          <w:rtl/>
        </w:rPr>
        <w:t>.</w:t>
      </w:r>
      <w:r w:rsidR="009A11FC">
        <w:rPr>
          <w:rFonts w:hint="cs"/>
          <w:b/>
          <w:bCs/>
          <w:rtl/>
        </w:rPr>
        <w:t xml:space="preserve"> </w:t>
      </w:r>
    </w:p>
    <w:p w:rsidR="006C1EA1" w:rsidRPr="00DC3374" w:rsidP="00E81188" w14:paraId="7D5F462F" w14:textId="56FD8D7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4B147AA0" w14:textId="77777777">
      <w:pPr>
        <w:pStyle w:val="ListParagraph"/>
        <w:spacing w:line="269" w:lineRule="auto"/>
        <w:ind w:left="340"/>
        <w:rPr>
          <w:rtl/>
        </w:rPr>
      </w:pPr>
      <w:r w:rsidRPr="00DC3374">
        <w:rPr>
          <w:rFonts w:hint="cs"/>
          <w:rtl/>
        </w:rPr>
        <w:t>משרד הבריאות פירט בתשובתו התקשרויות שביצע במהלך המשבר עם משרדי יחסי ציבור, הסברה, פרסום ואסטרטגיה, המתמחים בחברה החרדית, בחברה הערבית - בצפון הארץ והמשולש, במזרח ירושלים ובחברה הבדואית, באוכלוסייה דוברת רוסית, וכן עם גוף שסייע בתרגום לאמהרית.</w:t>
      </w:r>
    </w:p>
    <w:p w:rsidR="006C1EA1" w:rsidRPr="00DC3374" w:rsidP="00E81188" w14:paraId="6BB12836" w14:textId="28A35AF7">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P="00E81188" w14:paraId="06608287" w14:textId="6624F6A4">
      <w:pPr>
        <w:pStyle w:val="ListParagraph"/>
        <w:numPr>
          <w:ilvl w:val="0"/>
          <w:numId w:val="14"/>
        </w:numPr>
        <w:spacing w:line="269" w:lineRule="auto"/>
      </w:pPr>
      <w:r w:rsidRPr="00DC3374">
        <w:rPr>
          <w:rStyle w:val="7"/>
          <w:rFonts w:hint="eastAsia"/>
          <w:rtl/>
        </w:rPr>
        <w:t>פקע</w:t>
      </w:r>
      <w:r w:rsidRPr="00DC3374">
        <w:rPr>
          <w:rStyle w:val="7"/>
          <w:rtl/>
        </w:rPr>
        <w:t>"ר:</w:t>
      </w:r>
      <w:r w:rsidRPr="00DC3374">
        <w:rPr>
          <w:rFonts w:hint="cs"/>
          <w:rtl/>
        </w:rPr>
        <w:t xml:space="preserve"> פקע"ר גיבש בשנת 2009 מסמך מפורט ומבוסס בנושא "תורת ההסברה לאוכלוסייה", שעודכן בשנת 2015. המסמך כולל, בין היתר, הגדרות ומונחים בתחום ההסברה, פירוט מטרות ההסברה, עקרונות הסברה ושיקולים ושיטות לתכנון וביצוע הסברה ברגיעה ובחירום. כמו כן בשנת 2019 גיבש פקע"ר מסמך בנושא "תפיסת ההסברה - תפיסת הפעלה להסברה ולקידום מוכנות הציבור הישראלי", ובמסגרתו הגדיר את המשימות והאתגרים של ההסברה, תוך התייחסות לשינויים הטכנולוגיים ולמאפייני החברה בישראל. על בסיס זה הציג המסמך מתווה יישומי לביצוע ההסברה בחירום ופעולות ההכנה הנדרשות. המתווה היישומי כלל המלצה לשינוי המבנה הארגוני והקמת מדורים (דסקים) המתמחים בהסברה לקהלי יעד שונים; גיבוש עקרונות "מעגל ההסברה" - איסוף מידע, ניתוחו, יצירת תוכן והפצתו, תוך ניהול השיח בנושא, ובקרה על הטמעת המסרים; ופירוט הפעולות הנדרשות לביצוע שלבי מעגל ההסברה, תוך התייחסות לתקשורת מסורתית, רשתות חברתיות, שיתוף מובילי דעה ומשפיענים והתמודדות עם מידע כוזב. עלה כי פקע"ר התאים את המבנה הארגוני של מערך ההסברה שלו לעקרונות ההסברה שהתווה בתוכנית ההפעלה (ראו להלן).</w:t>
      </w:r>
    </w:p>
    <w:p w:rsidR="00E81188" w:rsidRPr="00DC3374" w:rsidP="00E81188" w14:paraId="3316D8D5" w14:textId="77777777">
      <w:pPr>
        <w:pStyle w:val="ListParagraph"/>
        <w:spacing w:line="269" w:lineRule="auto"/>
        <w:ind w:left="340"/>
      </w:pPr>
    </w:p>
    <w:p w:rsidR="006C1EA1" w:rsidRPr="00DC3374" w:rsidP="00E81188" w14:paraId="3F7C1F87" w14:textId="2168B09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17D25783" w14:textId="77777777">
      <w:pPr>
        <w:spacing w:line="269" w:lineRule="auto"/>
        <w:rPr>
          <w:rtl/>
        </w:rPr>
      </w:pPr>
      <w:r w:rsidRPr="00DC3374">
        <w:rPr>
          <w:rFonts w:hint="cs"/>
          <w:b/>
          <w:bCs/>
          <w:rtl/>
        </w:rPr>
        <w:t>עולה אפוא כי גופי ההסברה המרכזיים במשבר הקורונה - מטה ההסברה הלאומי, משרד הבריאות ופקע"ר - גיבשו במשך השנים מסמכים ונהלים לשעת חירום, הכוללים התייחסות לעקרונות ולשיטות ההסברה, ופקע"ר גיבש את המסמכים המפורטים והמעודכנים ביותר בנושא. עם זאת, במישור הלאומי, מטה ההסברה הלאומי, המופקד על ההנחיה והתיאום של כלל גורמי ההסברה בחירום, לא הפיץ מסמך אסטרטגי מחייב לכלל גופי ההסברה הממשלתיים.</w:t>
      </w:r>
    </w:p>
    <w:p w:rsidR="006C1EA1" w:rsidRPr="00DC3374" w:rsidP="00E81188" w14:paraId="7B73EB6B" w14:textId="50353BE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291B55DE" w14:textId="77777777">
      <w:pPr>
        <w:spacing w:line="269" w:lineRule="auto"/>
        <w:rPr>
          <w:rtl/>
        </w:rPr>
      </w:pPr>
      <w:r w:rsidRPr="00DC3374">
        <w:rPr>
          <w:rFonts w:hint="cs"/>
          <w:b/>
          <w:bCs/>
          <w:rtl/>
        </w:rPr>
        <w:t xml:space="preserve">מומלץ כי מטה ההסברה הלאומי יפעל לגבש אסטרטגיית הסברה לאומית לאירועי חירום אזרחיים, הקובעת את עקרונות ושיטות ההסברה, ולהפיצה במסמך מחייב. במסגרת זו, מומלץ כי מטה ההסברה הלאומי יוודא כי יבוצע מחקר אוכלוסייה, הכולל מיפוי ואפיון של קהלי היעד השונים בישראל, צורכיהם הייחודיים ושיטות ההסברה האפקטיביות לכל קהל יעד. בהתאם לעקרונות ולשיטות שיקבע מטה ההסברה על בסיס המחקר האמור, מומלץ להנחות את גורמי ההסברה במשרדי הממשלה לגבש תוכניות פעולה, גם למצב חירום אזרחי, לביסוס המוכנות להסברה בתחומי האחריות של משרדיהם ולפעול לעדכנן מפעם לפעם. </w:t>
      </w:r>
    </w:p>
    <w:p w:rsidR="006C1EA1" w:rsidRPr="00DC3374" w:rsidP="00E81188" w14:paraId="18B9F201" w14:textId="77777777">
      <w:pPr>
        <w:spacing w:line="269" w:lineRule="auto"/>
        <w:ind w:left="720" w:hanging="720"/>
        <w:rPr>
          <w:rFonts w:eastAsiaTheme="majorEastAsia"/>
          <w:bCs/>
          <w:szCs w:val="28"/>
          <w:u w:val="single"/>
          <w:rtl/>
        </w:rPr>
      </w:pPr>
    </w:p>
    <w:p w:rsidR="006C1EA1" w:rsidRPr="00DC3374" w:rsidP="00E81188" w14:paraId="3085C75D" w14:textId="77777777">
      <w:pPr>
        <w:pStyle w:val="Heading3"/>
        <w:spacing w:before="0" w:line="269" w:lineRule="auto"/>
        <w:rPr>
          <w:rtl/>
        </w:rPr>
      </w:pPr>
      <w:r w:rsidRPr="00DC3374">
        <w:rPr>
          <w:rFonts w:hint="cs"/>
          <w:rtl/>
        </w:rPr>
        <w:t>ההיערכות הארגונית - הקמת תשתית להסברה בחירום</w:t>
      </w:r>
    </w:p>
    <w:p w:rsidR="006C1EA1" w:rsidRPr="00DC3374" w:rsidP="00E81188" w14:paraId="173DFAB4" w14:textId="34385E9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3FC77C8B" w14:textId="77777777">
      <w:pPr>
        <w:spacing w:line="269" w:lineRule="auto"/>
        <w:rPr>
          <w:rtl/>
        </w:rPr>
      </w:pPr>
      <w:r w:rsidRPr="00DC3374">
        <w:rPr>
          <w:rFonts w:hint="cs"/>
          <w:rtl/>
        </w:rPr>
        <w:t>הגופים המרכזיים בהובלת ההסברה במהלך משבר הקורונה - מטה ההסברה הלאומי, מערך ההסברה בפקע"ר ומערך ההסברה במשרד הבריאות, נבדלים זה מזה ביעדיהם הארגוניים ובתשתית הארגונית העומדת לרשותם לביצוע משימותיהם בשגרה ובחירום. לכך היו השפעות ישירות על מסוגלותם ומוכנותם של גופים אלה לבצע את תפקידי ההסברה שהוטלו עליהם במהלך משבר הקורונה, כפי שיפורט להלן.</w:t>
      </w:r>
    </w:p>
    <w:p w:rsidR="006C1EA1" w:rsidRPr="00DC3374" w:rsidP="00E81188" w14:paraId="6301C054" w14:textId="77777777">
      <w:pPr>
        <w:spacing w:line="269" w:lineRule="auto"/>
        <w:rPr>
          <w:rtl/>
        </w:rPr>
      </w:pPr>
    </w:p>
    <w:p w:rsidR="006C1EA1" w:rsidRPr="00DC3374" w:rsidP="00E81188" w14:paraId="553C3C91" w14:textId="77777777">
      <w:pPr>
        <w:pStyle w:val="Heading4"/>
        <w:spacing w:before="0" w:line="269" w:lineRule="auto"/>
        <w:rPr>
          <w:rtl/>
        </w:rPr>
      </w:pPr>
      <w:r w:rsidRPr="00DC3374">
        <w:rPr>
          <w:rFonts w:hint="cs"/>
          <w:rtl/>
        </w:rPr>
        <w:t>מערך ההסברה הלאומי ומטה ההסברה הלאומי</w:t>
      </w:r>
    </w:p>
    <w:p w:rsidR="006C1EA1" w:rsidRPr="00DC3374" w:rsidP="00E81188" w14:paraId="02EC6FA8" w14:textId="248BE17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43841F80" w14:textId="77777777">
      <w:pPr>
        <w:pStyle w:val="ListParagraph"/>
        <w:numPr>
          <w:ilvl w:val="0"/>
          <w:numId w:val="10"/>
        </w:numPr>
        <w:spacing w:line="269" w:lineRule="auto"/>
        <w:rPr>
          <w:rtl/>
        </w:rPr>
      </w:pPr>
      <w:r w:rsidRPr="00DC3374">
        <w:rPr>
          <w:rFonts w:hint="cs"/>
          <w:rtl/>
        </w:rPr>
        <w:t xml:space="preserve">כאמור, בשנת 2007 החליטה ממשלת ישראל על הקמת מערך הסברה לאומי, המופקד על תיאום עבודת גופי ההסברה הממשלתיים כדי להציג הסברה אמינה, אחידה ועקבית. </w:t>
      </w:r>
    </w:p>
    <w:p w:rsidR="006C1EA1" w:rsidRPr="00DC3374" w:rsidP="00E81188" w14:paraId="67359E23" w14:textId="7CCD8DA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F009F4D" w14:textId="77777777">
      <w:pPr>
        <w:spacing w:line="269" w:lineRule="auto"/>
        <w:ind w:left="312"/>
        <w:rPr>
          <w:rtl/>
        </w:rPr>
      </w:pPr>
      <w:r w:rsidRPr="00DC3374">
        <w:rPr>
          <w:rFonts w:hint="cs"/>
          <w:rtl/>
        </w:rPr>
        <w:t xml:space="preserve">דוח מימון, אשר שימש בסיס להחלטת הממשלה, עמד על הצורך בביסוס ובחיזוק מעמדו של מערך ההסברה מול קובעי המדיניות - כדי ששיקולי ההסברה יובאו בחשבון ככל האפשר במסגרת גיבוש המדיניות הלאומית; ומול הדרגים המבצעים במשרדי הממשלה - כדי לוודא שהנחיות מערך ההסברה בדבר קו הסברה מתואם ייושמו בפועל על ידי כלל גופי ההסברה הממשלתיים. </w:t>
      </w:r>
    </w:p>
    <w:p w:rsidR="006C1EA1" w:rsidRPr="00DC3374" w:rsidP="00E81188" w14:paraId="25EC06BF" w14:textId="1D31FFD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6ACB8295" w14:textId="746B057B">
      <w:pPr>
        <w:spacing w:line="269" w:lineRule="auto"/>
        <w:ind w:left="312"/>
        <w:rPr>
          <w:rtl/>
        </w:rPr>
      </w:pPr>
      <w:r w:rsidRPr="00DC3374">
        <w:rPr>
          <w:rFonts w:hint="cs"/>
          <w:rtl/>
        </w:rPr>
        <w:t xml:space="preserve">על בסיס התפקידים שיועדו למערך ההסברה החליטה הממשלה כי מערך ההסברה ימוקם במשרד רה"ם, וכי ראש המערך יהיה גורם מקצועי בדרג מנכ"ל, </w:t>
      </w:r>
      <w:r w:rsidRPr="00DC3374">
        <w:rPr>
          <w:rtl/>
        </w:rPr>
        <w:t>אדם בעל ניסיון בתחומי ההסברה והתקשורת אשר לו אוריינטציה לתחום המדיני-ב</w:t>
      </w:r>
      <w:r w:rsidRPr="00DC3374">
        <w:rPr>
          <w:rFonts w:hint="cs"/>
          <w:rtl/>
        </w:rPr>
        <w:t>י</w:t>
      </w:r>
      <w:r w:rsidRPr="00DC3374">
        <w:rPr>
          <w:rtl/>
        </w:rPr>
        <w:t>טחוני</w:t>
      </w:r>
      <w:r w:rsidRPr="00DC3374">
        <w:rPr>
          <w:rFonts w:hint="cs"/>
          <w:rtl/>
        </w:rPr>
        <w:t xml:space="preserve">, הכפוף במישרין לראש הממשלה, </w:t>
      </w:r>
      <w:r w:rsidRPr="00DC3374">
        <w:rPr>
          <w:rtl/>
        </w:rPr>
        <w:t>וימונה בידי הממשלה לפי הצעת ראש הממשלה</w:t>
      </w:r>
      <w:r w:rsidRPr="00DC3374">
        <w:rPr>
          <w:rFonts w:hint="cs"/>
          <w:rtl/>
        </w:rPr>
        <w:t>. עוד נקבע כי ראש המערך ימלא שני תפקידים:</w:t>
      </w:r>
      <w:r w:rsidR="009A11FC">
        <w:rPr>
          <w:rFonts w:hint="cs"/>
          <w:rtl/>
        </w:rPr>
        <w:t xml:space="preserve"> </w:t>
      </w:r>
      <w:r w:rsidRPr="00DC3374">
        <w:rPr>
          <w:rFonts w:hint="cs"/>
          <w:rtl/>
        </w:rPr>
        <w:t>(א) מנהל מטה ההסברה הלאומי;</w:t>
      </w:r>
      <w:r w:rsidR="009A11FC">
        <w:rPr>
          <w:rFonts w:hint="cs"/>
          <w:rtl/>
        </w:rPr>
        <w:t xml:space="preserve"> </w:t>
      </w:r>
      <w:r w:rsidRPr="00DC3374">
        <w:rPr>
          <w:rFonts w:hint="cs"/>
          <w:rtl/>
        </w:rPr>
        <w:t xml:space="preserve">(ב) יועץ התקשורת של ראש הממשלה. בתפקידו כראש מטה ההסברה הלאומי, ישתתף ראש המערך כמוזמן קבוע בישיבות הממשלה, בוועדת השרים לענייני ביטחון לאומי ובדיונים נוספים בעלי השפעות בתחום ההסברה. </w:t>
      </w:r>
    </w:p>
    <w:p w:rsidR="006C1EA1" w:rsidRPr="00DC3374" w:rsidP="00E81188" w14:paraId="1C5D8CFC" w14:textId="6177409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81188" w:rsidP="00E81188" w14:paraId="4BF666F4" w14:textId="03AF3A61">
      <w:pPr>
        <w:spacing w:line="269" w:lineRule="auto"/>
        <w:ind w:left="312"/>
        <w:rPr>
          <w:rtl/>
        </w:rPr>
      </w:pPr>
      <w:r w:rsidRPr="00DC3374">
        <w:rPr>
          <w:rFonts w:hint="cs"/>
          <w:rtl/>
        </w:rPr>
        <w:t>בעקבות החלטת הממשלה גיבש משרד רה"ם את המבנה הארגוני של מערך ההסברה הלאומי, וזה קיבל את אישורם של הגורמים הרלוונטיים - נציבות שירות המדינה ואגף התקציבים במשרד האוצר. המערך כולל 26 משרות, הכוללות את ראש המערך, 16 משרות במטה ההסברה הלאומי ו-9 משרות במערך הדוברות של ראש הממשלה. להלן תרשים המציג את המבנה הארגוני המאושר ואת מצב איוש התפקידים הבכירים במערך ההסברה הלאומי, נכון לאוגוסט 2020:</w:t>
      </w:r>
    </w:p>
    <w:p w:rsidR="00E81188" w14:paraId="745F4B31" w14:textId="77777777">
      <w:pPr>
        <w:spacing w:line="240" w:lineRule="auto"/>
        <w:ind w:left="720" w:hanging="720"/>
        <w:rPr>
          <w:rtl/>
        </w:rPr>
      </w:pPr>
      <w:r>
        <w:rPr>
          <w:rtl/>
        </w:rPr>
        <w:br w:type="page"/>
      </w:r>
    </w:p>
    <w:p w:rsidR="006C1EA1" w:rsidRPr="00DC3374" w:rsidP="00E81188" w14:paraId="46D87C73" w14:textId="0FDE2ED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7A2B317F" w14:textId="77777777">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31</w:t>
      </w:r>
      <w:r w:rsidRPr="00DC3374">
        <w:rPr>
          <w:b/>
          <w:bCs/>
          <w:rtl/>
        </w:rPr>
        <w:t xml:space="preserve">: </w:t>
      </w:r>
      <w:r w:rsidRPr="00DC3374">
        <w:rPr>
          <w:rFonts w:hint="eastAsia"/>
          <w:b/>
          <w:bCs/>
          <w:rtl/>
        </w:rPr>
        <w:t>מערך</w:t>
      </w:r>
      <w:r w:rsidRPr="00DC3374">
        <w:rPr>
          <w:b/>
          <w:bCs/>
          <w:rtl/>
        </w:rPr>
        <w:t xml:space="preserve"> </w:t>
      </w:r>
      <w:r w:rsidRPr="00DC3374">
        <w:rPr>
          <w:rFonts w:hint="eastAsia"/>
          <w:b/>
          <w:bCs/>
          <w:rtl/>
        </w:rPr>
        <w:t>ההסברה</w:t>
      </w:r>
      <w:r w:rsidRPr="00DC3374">
        <w:rPr>
          <w:b/>
          <w:bCs/>
          <w:rtl/>
        </w:rPr>
        <w:t xml:space="preserve"> </w:t>
      </w:r>
      <w:r w:rsidRPr="00DC3374">
        <w:rPr>
          <w:rFonts w:hint="eastAsia"/>
          <w:b/>
          <w:bCs/>
          <w:rtl/>
        </w:rPr>
        <w:t>הלאומי</w:t>
      </w:r>
      <w:r w:rsidRPr="00DC3374">
        <w:rPr>
          <w:b/>
          <w:bCs/>
          <w:rtl/>
        </w:rPr>
        <w:t xml:space="preserve"> - </w:t>
      </w:r>
      <w:r w:rsidRPr="00DC3374">
        <w:rPr>
          <w:rFonts w:hint="eastAsia"/>
          <w:b/>
          <w:bCs/>
          <w:rtl/>
        </w:rPr>
        <w:t>מבנה</w:t>
      </w:r>
      <w:r w:rsidRPr="00DC3374">
        <w:rPr>
          <w:b/>
          <w:bCs/>
          <w:rtl/>
        </w:rPr>
        <w:t xml:space="preserve"> </w:t>
      </w:r>
      <w:r w:rsidRPr="00DC3374">
        <w:rPr>
          <w:rFonts w:hint="eastAsia"/>
          <w:b/>
          <w:bCs/>
          <w:rtl/>
        </w:rPr>
        <w:t>ארגוני</w:t>
      </w:r>
      <w:r w:rsidRPr="00DC3374">
        <w:rPr>
          <w:b/>
          <w:bCs/>
          <w:rtl/>
        </w:rPr>
        <w:t xml:space="preserve"> </w:t>
      </w:r>
      <w:r w:rsidRPr="00DC3374">
        <w:rPr>
          <w:rFonts w:hint="eastAsia"/>
          <w:b/>
          <w:bCs/>
          <w:rtl/>
        </w:rPr>
        <w:t>ואיוש</w:t>
      </w:r>
      <w:r w:rsidRPr="00DC3374">
        <w:rPr>
          <w:b/>
          <w:bCs/>
          <w:rtl/>
        </w:rPr>
        <w:t xml:space="preserve"> </w:t>
      </w:r>
      <w:r w:rsidRPr="00DC3374">
        <w:rPr>
          <w:rFonts w:hint="eastAsia"/>
          <w:b/>
          <w:bCs/>
          <w:rtl/>
        </w:rPr>
        <w:t>תפקידים</w:t>
      </w:r>
    </w:p>
    <w:p w:rsidR="006C1EA1" w:rsidRPr="00DC3374" w:rsidP="00E81188" w14:paraId="6616E0A7" w14:textId="77777777">
      <w:pPr>
        <w:spacing w:line="269" w:lineRule="auto"/>
        <w:jc w:val="center"/>
        <w:rPr>
          <w:rtl/>
        </w:rPr>
      </w:pPr>
      <w:r w:rsidRPr="00DC3374">
        <w:rPr>
          <w:noProof/>
        </w:rPr>
        <w:drawing>
          <wp:inline distT="0" distB="0" distL="0" distR="0">
            <wp:extent cx="3995875" cy="4557413"/>
            <wp:effectExtent l="0" t="0" r="5080" b="0"/>
            <wp:docPr id="1743882413" name="תמונה 1743882413" descr="C:\Users\michal_re\AppData\Local\Microsoft\Windows\INetCache\Content.Word\MR-Tarshi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34978" name="Picture 15" descr="C:\Users\michal_re\AppData\Local\Microsoft\Windows\INetCache\Content.Word\MR-Tarshim-31.jpg"/>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4277" cy="4612616"/>
                    </a:xfrm>
                    <a:prstGeom prst="rect">
                      <a:avLst/>
                    </a:prstGeom>
                    <a:noFill/>
                    <a:ln>
                      <a:noFill/>
                    </a:ln>
                  </pic:spPr>
                </pic:pic>
              </a:graphicData>
            </a:graphic>
          </wp:inline>
        </w:drawing>
      </w:r>
    </w:p>
    <w:p w:rsidR="006C1EA1" w:rsidRPr="00DC3374" w:rsidP="00E81188" w14:paraId="16B548E7" w14:textId="77777777">
      <w:pPr>
        <w:spacing w:line="269" w:lineRule="auto"/>
        <w:ind w:left="312"/>
        <w:rPr>
          <w:szCs w:val="20"/>
          <w:rtl/>
        </w:rPr>
      </w:pPr>
      <w:r w:rsidRPr="00DC3374">
        <w:rPr>
          <w:rFonts w:hint="cs"/>
          <w:szCs w:val="20"/>
          <w:rtl/>
        </w:rPr>
        <w:t>על פי נתוני משרד רה"ם, בעיבוד משרד מבקר המדינה.</w:t>
      </w:r>
    </w:p>
    <w:p w:rsidR="006C1EA1" w:rsidRPr="00DC3374" w:rsidP="00E81188" w14:paraId="43BA7E6A" w14:textId="77777777">
      <w:pPr>
        <w:spacing w:line="269" w:lineRule="auto"/>
        <w:ind w:left="312"/>
        <w:rPr>
          <w:szCs w:val="20"/>
          <w:rtl/>
        </w:rPr>
      </w:pPr>
      <w:r w:rsidRPr="00DC3374">
        <w:rPr>
          <w:rFonts w:hint="cs"/>
          <w:szCs w:val="20"/>
          <w:rtl/>
        </w:rPr>
        <w:t xml:space="preserve">* על פי הגדרת תפקידו, מנהל תחום זה עוסק בהסברה לחברה הערבית בלבד. </w:t>
      </w:r>
    </w:p>
    <w:p w:rsidR="006C1EA1" w:rsidRPr="00DC3374" w:rsidP="00E81188" w14:paraId="649080B2" w14:textId="47520A5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16A624DA" w14:textId="767613FD">
      <w:pPr>
        <w:spacing w:line="269" w:lineRule="auto"/>
        <w:ind w:left="312"/>
        <w:rPr>
          <w:b/>
          <w:bCs/>
          <w:rtl/>
        </w:rPr>
      </w:pPr>
      <w:r w:rsidRPr="00DC3374">
        <w:rPr>
          <w:rFonts w:hint="cs"/>
          <w:b/>
          <w:bCs/>
          <w:rtl/>
        </w:rPr>
        <w:t xml:space="preserve">כפי שעולה מן התרשים, עם פרוץ משבר הקורונה תפקידי המפתח </w:t>
      </w:r>
      <w:r w:rsidR="0047709A">
        <w:rPr>
          <w:rFonts w:hint="cs"/>
          <w:b/>
          <w:bCs/>
          <w:rtl/>
        </w:rPr>
        <w:t>ב</w:t>
      </w:r>
      <w:r w:rsidRPr="00DC3374">
        <w:rPr>
          <w:rFonts w:hint="cs"/>
          <w:b/>
          <w:bCs/>
          <w:rtl/>
        </w:rPr>
        <w:t>מערך ההסברה</w:t>
      </w:r>
      <w:r w:rsidR="005B504B">
        <w:rPr>
          <w:rFonts w:hint="cs"/>
          <w:b/>
          <w:bCs/>
          <w:rtl/>
        </w:rPr>
        <w:t>,</w:t>
      </w:r>
      <w:r w:rsidRPr="00DC3374">
        <w:rPr>
          <w:rFonts w:hint="cs"/>
          <w:b/>
          <w:bCs/>
          <w:rtl/>
        </w:rPr>
        <w:t xml:space="preserve"> שתפקידו לגבש ולהוביל את מדיניות ההסברה לציבור, לעמוד בקשר שוטף עם מקבלי ההחלטות, להנחות את כלל גופי ההסברה הרשמיים ולתכלל את עבודתם - לא היו מאוישים. זאת, הואיל ומשרד רה"ם לא אייש את תפקיד ראש מערך ההסברה מאוקטובר 2015 ולא אייש את תפקיד מנהל מטה ההסברה מיולי 2019. כמו כן לא אייש המשרד את תפקיד מנהל תחום ההסברה המדינית-ביטחונית ממאי 2015</w:t>
      </w:r>
      <w:r w:rsidRPr="00DC3374">
        <w:rPr>
          <w:rFonts w:hint="cs"/>
          <w:rtl/>
        </w:rPr>
        <w:t xml:space="preserve">. </w:t>
      </w:r>
    </w:p>
    <w:p w:rsidR="006C1EA1" w:rsidRPr="00DC3374" w:rsidP="00E81188" w14:paraId="05A16AE2" w14:textId="0B79864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P="00E81188" w14:paraId="1C8E0664" w14:textId="12CFDC3A">
      <w:pPr>
        <w:pStyle w:val="ListParagraph"/>
        <w:numPr>
          <w:ilvl w:val="0"/>
          <w:numId w:val="10"/>
        </w:numPr>
        <w:spacing w:line="269" w:lineRule="auto"/>
      </w:pPr>
      <w:r w:rsidRPr="00DC3374">
        <w:rPr>
          <w:rFonts w:hint="cs"/>
          <w:rtl/>
        </w:rPr>
        <w:t xml:space="preserve">לנוכח החוסר הניהולי במערך ההסברה הלאומי והצורך בגורם בכיר, בעל ניסיון ומומחיות, שירכז ויוביל את פעילות ההסברה הלאומית בהתמודדות עם משבר הקורונה, רכש משרד רה"ם באפריל 2020 את שירותיו של יועץ הסברה. יצוין כי על פי הוראות התקשי"ר (תקנון שירות המדינה), יש לדאוג ככל האפשר שהיועץ לא יהיה מעורב בפעולות ביצוע של המשרד, לא ישתלב בהייררכיה של המשרד ולא יעביר הוראות לעובדים, אלא באמצעות הנהלת המשרד או עובד אחר שנקבע לכך. לפיכך, מתוקף הגדרת תפקידו של היועץ, סמכויותיו היו מוגבלות והוא לא היה רשאי להנחות את עובדי המערך. בפועל, היועץ הועסק במשך חודשיים, ובשאר התקופה שנבדקה לא הועסקו יועצים אחרים בתחום זה. בספטמבר 2020, במהלך הסגר השני, פעל משרד רה"ם לרכישת שירותים של יועץ אחר, אך רכישה זו לא יצאה אל הפועל. </w:t>
      </w:r>
    </w:p>
    <w:p w:rsidR="00E81188" w:rsidP="00E81188" w14:paraId="4B405EC8" w14:textId="11322349">
      <w:pPr>
        <w:pStyle w:val="ListParagraph"/>
        <w:spacing w:line="269" w:lineRule="auto"/>
        <w:ind w:left="340"/>
        <w:rPr>
          <w:rtl/>
        </w:rPr>
      </w:pPr>
    </w:p>
    <w:p w:rsidR="00E81188" w:rsidP="00E81188" w14:paraId="4B805646" w14:textId="37F228B4">
      <w:pPr>
        <w:pStyle w:val="ListParagraph"/>
        <w:spacing w:line="269" w:lineRule="auto"/>
        <w:ind w:left="340"/>
        <w:rPr>
          <w:rtl/>
        </w:rPr>
      </w:pPr>
    </w:p>
    <w:p w:rsidR="00E81188" w:rsidP="00E81188" w14:paraId="6010572F" w14:textId="4EA4C26B">
      <w:pPr>
        <w:pStyle w:val="ListParagraph"/>
        <w:spacing w:line="269" w:lineRule="auto"/>
        <w:ind w:left="340"/>
        <w:rPr>
          <w:rtl/>
        </w:rPr>
      </w:pPr>
    </w:p>
    <w:p w:rsidR="006C1EA1" w:rsidRPr="00DC3374" w:rsidP="00E81188" w14:paraId="0F97FD34" w14:textId="2F5EB388">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4D96352" w14:textId="77777777">
      <w:pPr>
        <w:spacing w:line="269" w:lineRule="auto"/>
        <w:ind w:left="312"/>
      </w:pPr>
      <w:r w:rsidRPr="00DC3374">
        <w:rPr>
          <w:rFonts w:hint="cs"/>
          <w:rtl/>
        </w:rPr>
        <w:t>בתשובתו למשרד מבקר המדינה מסר יועץ ההסברה שהעסיק משרד רה"ם כי הוא פעל לתיאום המסרים ומסעות הפרסום בין כלל גופי ההסברה, והוא קיים שיחות וסיורים בשיתוף גופי ההסברה הרלוונטיים, ובייחוד משרדי הבריאות, החינוך, האוצר והכלכלה וכן פקע"ר.</w:t>
      </w:r>
    </w:p>
    <w:p w:rsidR="006C1EA1" w:rsidRPr="00DC3374" w:rsidP="00E81188" w14:paraId="32C419CE" w14:textId="5A2C3C2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281EC596" w14:textId="77777777">
      <w:pPr>
        <w:pStyle w:val="ListParagraph"/>
        <w:spacing w:line="269" w:lineRule="auto"/>
        <w:ind w:left="340"/>
        <w:rPr>
          <w:rtl/>
        </w:rPr>
      </w:pPr>
      <w:r w:rsidRPr="00DC3374">
        <w:rPr>
          <w:rFonts w:hint="cs"/>
          <w:rtl/>
        </w:rPr>
        <w:t>במהלך משבר הקורונה פעל מטה ההסברה במתכונתו המצומצמת האמורה בכמה אפיקים: גיבוש דפי מסרים יומיים והפצתם בקרב דוברי משרדי הממשלה, יועצי השרים ומסבירים; השתתפות ב-48 דיוני הערכת מצב של המל"ל והצגת תמונת מצב הסברתית; העברת דוח הסברה יומי למל"ל; השתתפות בדיוני חשיבה מקצועיים בתחום ההסברה; תיאום שוטף בין דוברי משרדי הממשלה באמצעות הטלפון, בהיוועדות חזותית, בפגישות ובמסגרת דיוני "פורום הסברה"; תיאום מסרים עם משרד הבריאות ועם פקע"ר במסגרת "פורום הסברה"; ריכוז תקציבים ומסרים של מסעות הפרסום של כלל משרדי הממשלה, למעט משרד הבריאות, בנושא הקורונה; הפצת מסרים מהירים באינטרנט וברשתות החברתיות; סיוע למשרד הבריאות</w:t>
      </w:r>
      <w:r w:rsidRPr="00DC3374">
        <w:rPr>
          <w:rtl/>
        </w:rPr>
        <w:t xml:space="preserve"> </w:t>
      </w:r>
      <w:r w:rsidRPr="00DC3374">
        <w:rPr>
          <w:rFonts w:hint="cs"/>
          <w:rtl/>
        </w:rPr>
        <w:t xml:space="preserve">בקידום ההסברה לחברה הערבית; והפקת לקחים בתחום ההסברה. </w:t>
      </w:r>
    </w:p>
    <w:p w:rsidR="006C1EA1" w:rsidRPr="00DC3374" w:rsidP="00E81188" w14:paraId="3F8EC57D" w14:textId="0B29743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633B1683" w14:textId="77777777">
      <w:pPr>
        <w:pStyle w:val="ListParagraph"/>
        <w:spacing w:line="269" w:lineRule="auto"/>
        <w:ind w:left="340"/>
        <w:rPr>
          <w:b/>
          <w:bCs/>
          <w:rtl/>
        </w:rPr>
      </w:pPr>
      <w:r w:rsidRPr="00DC3374">
        <w:rPr>
          <w:rFonts w:hint="cs"/>
          <w:rtl/>
        </w:rPr>
        <w:t>משרד מבקר המדינה בדק באיזו מידה מילא מטה ההסברה הלאומי את התפקידים המוטלים עליו מכוח החלטת הממשלה:</w:t>
      </w:r>
      <w:r w:rsidRPr="00DC3374">
        <w:rPr>
          <w:rtl/>
        </w:rPr>
        <w:t xml:space="preserve"> </w:t>
      </w:r>
      <w:r w:rsidRPr="00DC3374">
        <w:rPr>
          <w:rFonts w:hint="cs"/>
          <w:rtl/>
        </w:rPr>
        <w:t xml:space="preserve">השתתפות בדיוני הדרג המדיני שיש להם השלכות בתחום ההסברה, </w:t>
      </w:r>
      <w:r w:rsidRPr="00DC3374">
        <w:rPr>
          <w:rtl/>
        </w:rPr>
        <w:t>תיאום עבו</w:t>
      </w:r>
      <w:r w:rsidRPr="00DC3374">
        <w:rPr>
          <w:rFonts w:hint="cs"/>
          <w:rtl/>
        </w:rPr>
        <w:t>דת כלל גורמי ההסברה במדינת ישראל והנחייתם בעת חירום ושמירה על קו הסברתי אחיד, כמפורט להלן.</w:t>
      </w:r>
    </w:p>
    <w:p w:rsidR="006C1EA1" w:rsidRPr="00DC3374" w:rsidP="00E81188" w14:paraId="6CDB9214" w14:textId="77777777">
      <w:pPr>
        <w:spacing w:line="269" w:lineRule="auto"/>
        <w:ind w:left="340"/>
        <w:rPr>
          <w:rStyle w:val="5"/>
          <w:rFonts w:eastAsiaTheme="minorHAnsi"/>
          <w:bCs w:val="0"/>
          <w:spacing w:val="0"/>
        </w:rPr>
      </w:pPr>
    </w:p>
    <w:p w:rsidR="006C1EA1" w:rsidRPr="00DC3374" w:rsidP="00E81188" w14:paraId="3E7FF816" w14:textId="77777777">
      <w:pPr>
        <w:pStyle w:val="ListParagraph"/>
        <w:numPr>
          <w:ilvl w:val="1"/>
          <w:numId w:val="11"/>
        </w:numPr>
        <w:spacing w:line="269" w:lineRule="auto"/>
      </w:pPr>
      <w:r w:rsidRPr="00DC3374">
        <w:rPr>
          <w:rStyle w:val="5"/>
          <w:rFonts w:hint="cs"/>
          <w:rtl/>
        </w:rPr>
        <w:t>השתתפות בדיוני הממשלה וקבינט הקורונה שיש להם השלכות בתחום ההסברה</w:t>
      </w:r>
      <w:r w:rsidRPr="00DC3374">
        <w:rPr>
          <w:rFonts w:hint="cs"/>
          <w:rtl/>
        </w:rPr>
        <w:t xml:space="preserve"> </w:t>
      </w:r>
    </w:p>
    <w:p w:rsidR="006C1EA1" w:rsidRPr="00DC3374" w:rsidP="00E81188" w14:paraId="4E5D3058" w14:textId="7500A6F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68147D54" w14:textId="77777777">
      <w:pPr>
        <w:pStyle w:val="ListParagraph"/>
        <w:spacing w:line="269" w:lineRule="auto"/>
        <w:ind w:left="680"/>
        <w:rPr>
          <w:rtl/>
        </w:rPr>
      </w:pPr>
      <w:r w:rsidRPr="00DC3374">
        <w:rPr>
          <w:rFonts w:hint="cs"/>
          <w:rtl/>
        </w:rPr>
        <w:t xml:space="preserve">מתחילת משבר הקורונה בסוף ינואר 2020 ועד סוף אוקטובר 2020 התקיימו 49 ישיבות ממשלה ו-26 ישיבות של קבינט הקורונה, בסך הכול 75 ישיבות. </w:t>
      </w:r>
    </w:p>
    <w:p w:rsidR="006C1EA1" w:rsidRPr="00DC3374" w:rsidP="00E81188" w14:paraId="7518E5CA" w14:textId="193BF93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7347443" w14:textId="77777777">
      <w:pPr>
        <w:pStyle w:val="ListParagraph"/>
        <w:spacing w:line="269" w:lineRule="auto"/>
        <w:ind w:left="680"/>
        <w:rPr>
          <w:b/>
          <w:bCs/>
          <w:rtl/>
        </w:rPr>
      </w:pPr>
      <w:r w:rsidRPr="00DC3374">
        <w:rPr>
          <w:rFonts w:hint="cs"/>
          <w:b/>
          <w:bCs/>
          <w:rtl/>
        </w:rPr>
        <w:t>נמצא כי רק בשתיים מישיבות הממשלה האמורות (4%) ובשש ישיבות קבינט הקורונה (23%, ובסך הכול 11% מכלל הישיבות) השתתף נציג מטה ההסברה הלאומי. בתשע ישיבות הממשלה שהתקיימו בין 12 באפריל ל-10 במאי 2020 ובישיבת קבינט אחת ב-27 במאי השתתף יועץ ההסברה שבו נעזר משרד רה"ם במשבר הקורונה. בסך הכול השתתפו נציג מטה ההסברה או יועץ ההסברה ב-24% מכלל הישיבות. כמו כן השתתף נציג מטה ההסברה בישיבה מיום 2.2.20 בראשות ראש הממשלה שבה התקבלה ההחלטה בנושא הובלת ההסברה בידי משרד הבריאות.</w:t>
      </w:r>
    </w:p>
    <w:p w:rsidR="006C1EA1" w:rsidRPr="00DC3374" w:rsidP="00E81188" w14:paraId="125D0E2D" w14:textId="1F006E4B">
      <w:pPr>
        <w:pStyle w:val="a"/>
        <w:spacing w:line="269" w:lineRule="auto"/>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r w:rsidRPr="00DC3374">
        <w:rPr>
          <w:rFonts w:hint="cs"/>
          <w:rtl/>
        </w:rPr>
        <w:t xml:space="preserve"> </w:t>
      </w:r>
    </w:p>
    <w:p w:rsidR="006C1EA1" w:rsidRPr="00DC3374" w:rsidP="00E81188" w14:paraId="16F5940A" w14:textId="77777777">
      <w:pPr>
        <w:pStyle w:val="ListParagraph"/>
        <w:spacing w:line="269" w:lineRule="auto"/>
        <w:ind w:left="680"/>
        <w:rPr>
          <w:b/>
          <w:bCs/>
          <w:rtl/>
        </w:rPr>
      </w:pPr>
      <w:r w:rsidRPr="00DC3374">
        <w:rPr>
          <w:rFonts w:hint="cs"/>
          <w:b/>
          <w:bCs/>
          <w:rtl/>
        </w:rPr>
        <w:t xml:space="preserve">עלה כי סוגיות ליבה הקשורות להסברה, כגון חלוקת האחריות בין גורמי ההסברה המרכזיים, </w:t>
      </w:r>
      <w:r w:rsidRPr="00DC3374">
        <w:rPr>
          <w:b/>
          <w:bCs/>
          <w:rtl/>
        </w:rPr>
        <w:t xml:space="preserve">הבנת ההנחיות וההיגיון שבהן </w:t>
      </w:r>
      <w:r w:rsidRPr="00DC3374">
        <w:rPr>
          <w:rFonts w:hint="cs"/>
          <w:b/>
          <w:bCs/>
          <w:rtl/>
        </w:rPr>
        <w:t xml:space="preserve">והצורך בביסוס </w:t>
      </w:r>
      <w:r w:rsidRPr="00DC3374">
        <w:rPr>
          <w:b/>
          <w:bCs/>
          <w:rtl/>
        </w:rPr>
        <w:t xml:space="preserve">אמון הציבור </w:t>
      </w:r>
      <w:r w:rsidRPr="00DC3374">
        <w:rPr>
          <w:rFonts w:hint="cs"/>
          <w:b/>
          <w:bCs/>
          <w:rtl/>
        </w:rPr>
        <w:t xml:space="preserve">נדונו לפחות </w:t>
      </w:r>
      <w:r w:rsidRPr="00DC3374">
        <w:rPr>
          <w:b/>
          <w:bCs/>
          <w:rtl/>
        </w:rPr>
        <w:br/>
      </w:r>
      <w:r w:rsidRPr="00DC3374">
        <w:rPr>
          <w:rFonts w:hint="cs"/>
          <w:b/>
          <w:bCs/>
          <w:rtl/>
        </w:rPr>
        <w:t xml:space="preserve">ב-27 מ-75 הדיונים האמורים בממשלה ובקבינט הקורונה בחודשים ינואר עד אוקטובר 2020. ואולם </w:t>
      </w:r>
      <w:r w:rsidRPr="00DC3374">
        <w:rPr>
          <w:rFonts w:hint="eastAsia"/>
          <w:b/>
          <w:bCs/>
          <w:rtl/>
        </w:rPr>
        <w:t>נציג</w:t>
      </w:r>
      <w:r w:rsidRPr="00DC3374">
        <w:rPr>
          <w:b/>
          <w:bCs/>
          <w:rtl/>
        </w:rPr>
        <w:t xml:space="preserve"> מטה ההסברה ויועץ ה</w:t>
      </w:r>
      <w:r w:rsidRPr="00DC3374">
        <w:rPr>
          <w:rFonts w:hint="cs"/>
          <w:b/>
          <w:bCs/>
          <w:rtl/>
        </w:rPr>
        <w:t>ה</w:t>
      </w:r>
      <w:r w:rsidRPr="00DC3374">
        <w:rPr>
          <w:b/>
          <w:bCs/>
          <w:rtl/>
        </w:rPr>
        <w:t xml:space="preserve">סברה </w:t>
      </w:r>
      <w:r w:rsidRPr="00DC3374">
        <w:rPr>
          <w:rFonts w:hint="cs"/>
          <w:b/>
          <w:bCs/>
          <w:rtl/>
        </w:rPr>
        <w:t xml:space="preserve">לא השתתפו באותן 27 ישיבות או שלא התייחסו בהן להיבט המקצועי של הסוגיות האמורות. </w:t>
      </w:r>
    </w:p>
    <w:p w:rsidR="006C1EA1" w:rsidRPr="00DC3374" w:rsidP="00E81188" w14:paraId="663D063E" w14:textId="6A51BBD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4E2564B8" w14:textId="77777777">
      <w:pPr>
        <w:pStyle w:val="ListParagraph"/>
        <w:spacing w:line="269" w:lineRule="auto"/>
        <w:ind w:left="680"/>
        <w:rPr>
          <w:b/>
          <w:bCs/>
          <w:rtl/>
        </w:rPr>
      </w:pPr>
      <w:r w:rsidRPr="00DC3374">
        <w:rPr>
          <w:rFonts w:hint="cs"/>
          <w:b/>
          <w:bCs/>
          <w:rtl/>
        </w:rPr>
        <w:t>מומלץ כי בפרט בעת משבר יפעלו משרד רה"ם ומזכירות הממשלה שבו לשתף כמוזמן קבוע את נציג מטה ההסברה בישיבות הממשלה או בישיבות הקבינט הרלוונטיות, כנדרש על פי החלטת הממשלה מ-2007. בדרך זו הגורם המקצועי יתייחס לסוגיות הנוגעות לתחום ההסברה וכן יתעדכן בצורה בלתי אמצעית בדבר תמונת המצב והחלטות הממשלה.</w:t>
      </w:r>
    </w:p>
    <w:p w:rsidR="006C1EA1" w:rsidRPr="00DC3374" w:rsidP="00E81188" w14:paraId="0B95CBC7" w14:textId="77777777">
      <w:pPr>
        <w:spacing w:line="269" w:lineRule="auto"/>
        <w:rPr>
          <w:rtl/>
        </w:rPr>
      </w:pPr>
    </w:p>
    <w:p w:rsidR="006C1EA1" w:rsidRPr="00DC3374" w:rsidP="00E81188" w14:paraId="0CB7381C" w14:textId="77777777">
      <w:pPr>
        <w:pStyle w:val="ListParagraph"/>
        <w:numPr>
          <w:ilvl w:val="1"/>
          <w:numId w:val="11"/>
        </w:numPr>
        <w:spacing w:line="269" w:lineRule="auto"/>
      </w:pPr>
      <w:r w:rsidRPr="00DC3374">
        <w:rPr>
          <w:rStyle w:val="5"/>
          <w:rFonts w:hint="cs"/>
          <w:rtl/>
        </w:rPr>
        <w:t>תיאום עבודת כלל גופי ההסברה ושמירה על קו הסברתי אחיד</w:t>
      </w:r>
      <w:r w:rsidRPr="00DC3374">
        <w:rPr>
          <w:rFonts w:hint="cs"/>
          <w:b/>
          <w:bCs/>
          <w:rtl/>
        </w:rPr>
        <w:t xml:space="preserve"> </w:t>
      </w:r>
    </w:p>
    <w:p w:rsidR="006C1EA1" w:rsidRPr="00DC3374" w:rsidP="00E81188" w14:paraId="6BF04118" w14:textId="754D36D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7AFE1506" w14:textId="77777777">
      <w:pPr>
        <w:pStyle w:val="ListParagraph"/>
        <w:numPr>
          <w:ilvl w:val="2"/>
          <w:numId w:val="15"/>
        </w:numPr>
        <w:spacing w:line="269" w:lineRule="auto"/>
        <w:rPr>
          <w:rtl/>
        </w:rPr>
      </w:pPr>
      <w:r w:rsidRPr="00DC3374">
        <w:rPr>
          <w:rFonts w:hint="cs"/>
          <w:rtl/>
        </w:rPr>
        <w:t xml:space="preserve">כאמור, בפברואר 2020 הוחלט בדיון בראשות ראש הממשלה ובהשתתפות שרים וגורמי ביצוע כי משרד הבריאות יוביל את ההסברה במשבר הקורונה, בסיוע פקע"ר ומטה ההסברה הלאומי. עם זאת, במסגרת ההחלטה לא הוגדרו "גבולות הגזרה" בין </w:t>
      </w:r>
      <w:r w:rsidRPr="00DC3374">
        <w:rPr>
          <w:rFonts w:hint="cs"/>
          <w:rtl/>
        </w:rPr>
        <w:t xml:space="preserve">משרד הבריאות ופקע"ר. בנסיבות אלו נוצרו קשיים בתיאום בין הגופים, בין היתר בנוגע להפעלת מוקדי המידע לציבור, כמפורט להלן. </w:t>
      </w:r>
    </w:p>
    <w:p w:rsidR="006C1EA1" w:rsidRPr="00DC3374" w:rsidP="00E81188" w14:paraId="0079892F" w14:textId="168B115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190893E" w14:textId="77777777">
      <w:pPr>
        <w:pStyle w:val="ListParagraph"/>
        <w:spacing w:line="269" w:lineRule="auto"/>
        <w:ind w:left="1054"/>
        <w:rPr>
          <w:rtl/>
        </w:rPr>
      </w:pPr>
      <w:r w:rsidRPr="00DC3374">
        <w:rPr>
          <w:rFonts w:hint="cs"/>
          <w:b/>
          <w:bCs/>
          <w:rtl/>
        </w:rPr>
        <w:t>מטה ההסברה הלאומי, אשר הוקם כאמור גם כדי לתאם ולהנחות את פעילות גופי ההסברה השונים מטעם הממשלה בעת חירום, לא קידם מהלך להסדרת חלוקת האחריות בין גופים אלה. רק באוקטובר 2020, בעקבות הנחיית קבינט הקורונה מ-30.9.20, גיבשו נציגי משרד רה"ם, נציגי משרד הבריאות ונציגי פקע"ר מסמך שמטרתו הסדרת תחומי האחריות בין גופי ההסברה במשבר הקורונה, לרבות בעניין מוקדי החירום</w:t>
      </w:r>
      <w:r w:rsidRPr="00DC3374">
        <w:rPr>
          <w:rFonts w:hint="cs"/>
          <w:rtl/>
        </w:rPr>
        <w:t>.</w:t>
      </w:r>
    </w:p>
    <w:p w:rsidR="006C1EA1" w:rsidRPr="00DC3374" w:rsidP="00E81188" w14:paraId="30EE0011" w14:textId="5A853FF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35856ABC" w14:textId="77777777">
      <w:pPr>
        <w:pStyle w:val="ListParagraph"/>
        <w:numPr>
          <w:ilvl w:val="2"/>
          <w:numId w:val="15"/>
        </w:numPr>
        <w:spacing w:line="269" w:lineRule="auto"/>
      </w:pPr>
      <w:r w:rsidRPr="00DC3374">
        <w:rPr>
          <w:rFonts w:hint="cs"/>
          <w:rtl/>
        </w:rPr>
        <w:t xml:space="preserve">במרץ 2020, במהלך הגל הראשון של משבר הקורונה, הנחה החשב הכללי במשרד האוצר את כלל משרדי הממשלה, למעט משרד הבריאות, משיקולים תקציביים, לפנות בנושא פרסומים הקשורים בקורונה למטה ההסברה הלאומי. מטה ההסברה הלאומי אישר וריכז את תקציבי הפרסום של משרדי הממשלה מול לפ"ם, ומטרתו הייתה, בין היתר, לשמור על קו הסברתי אחיד - עיצובי ותוכני. </w:t>
      </w:r>
    </w:p>
    <w:p w:rsidR="00865487" w:rsidRPr="00DC3374" w:rsidP="00E81188" w14:paraId="471413D0" w14:textId="5C732A44">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865487" w:rsidRPr="00DC3374" w:rsidP="00E81188" w14:paraId="6848FB63" w14:textId="7BE68C93">
      <w:pPr>
        <w:pStyle w:val="ListParagraph"/>
        <w:spacing w:line="269" w:lineRule="auto"/>
        <w:ind w:left="1077"/>
        <w:rPr>
          <w:rtl/>
        </w:rPr>
      </w:pPr>
      <w:r w:rsidRPr="00DC3374">
        <w:rPr>
          <w:rFonts w:hint="cs"/>
          <w:b/>
          <w:bCs/>
          <w:rtl/>
        </w:rPr>
        <w:t xml:space="preserve">עם זאת, עולה כי על פי נתוני לפ"ם, מחודש מאי 2020 עד סוף אוקטובר 2020 ריכז מטה ההסברה הלאומי 5 מ-19 מסעות פרסום (כ-26%) שביצעו משרדי הממשלה באמצעות לפ"ם בנושא הקורונה. כמו כן </w:t>
      </w:r>
      <w:r w:rsidRPr="00DC3374">
        <w:rPr>
          <w:rFonts w:hint="eastAsia"/>
          <w:b/>
          <w:bCs/>
          <w:rtl/>
        </w:rPr>
        <w:t>רוב</w:t>
      </w:r>
      <w:r w:rsidRPr="00DC3374">
        <w:rPr>
          <w:rFonts w:hint="cs"/>
          <w:b/>
          <w:bCs/>
          <w:rtl/>
        </w:rPr>
        <w:t xml:space="preserve"> המשרדים שהפיצו מסעות פרסום באמצעות לפ"ם עשו זאת בכל הפרסומים או בחלקם באופן עצמאי, ללא תיאום מראש מול מטה ההסברה (לפחות 5 מ-7 </w:t>
      </w:r>
      <w:r w:rsidRPr="00DC3374">
        <w:rPr>
          <w:rFonts w:hint="eastAsia"/>
          <w:b/>
          <w:bCs/>
          <w:rtl/>
        </w:rPr>
        <w:t>משרדים</w:t>
      </w:r>
      <w:r w:rsidR="00F33730">
        <w:rPr>
          <w:rFonts w:hint="cs"/>
          <w:b/>
          <w:bCs/>
          <w:rtl/>
        </w:rPr>
        <w:t>)</w:t>
      </w:r>
      <w:r w:rsidRPr="00DC3374">
        <w:rPr>
          <w:rFonts w:hint="cs"/>
          <w:b/>
          <w:bCs/>
          <w:rtl/>
        </w:rPr>
        <w:t>.</w:t>
      </w:r>
    </w:p>
    <w:p w:rsidR="00865487" w:rsidRPr="00DC3374" w:rsidP="00E81188" w14:paraId="52E0EEB0" w14:textId="6DDE153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865487" w:rsidRPr="00DC3374" w:rsidP="00E81188" w14:paraId="1A31BB18" w14:textId="141E480F">
      <w:pPr>
        <w:pStyle w:val="ListParagraph"/>
        <w:spacing w:line="269" w:lineRule="auto"/>
        <w:ind w:left="1077"/>
        <w:rPr>
          <w:rtl/>
        </w:rPr>
      </w:pPr>
      <w:r w:rsidRPr="00DC3374">
        <w:rPr>
          <w:rFonts w:hint="cs"/>
          <w:rtl/>
        </w:rPr>
        <w:t>משרד רה"ם מסר בתשובתו כי הוא עודכן בדבר חמישה מסעות פרסום נוספים (ולא אישר אותם מראש), ובנוגע לארבעה מהחמישה - הוא עודכן בדיעבד; שלושה מסעות פרסום נוספים בוצעו ללא תיאום עם מטה ההסברה, והם נעשו בהמשך למסעות פרסום שליווה קודם לכן; מסע פרסום נוסף נעשה ללא אישור</w:t>
      </w:r>
      <w:r w:rsidRPr="00DC3374">
        <w:rPr>
          <w:rtl/>
        </w:rPr>
        <w:t xml:space="preserve"> מטה ההסברה</w:t>
      </w:r>
      <w:r w:rsidRPr="00DC3374">
        <w:rPr>
          <w:rFonts w:hint="cs"/>
          <w:rtl/>
        </w:rPr>
        <w:t>, והמטה סבור כי לא היה צורך באישורו מכיוון שמדובר בפרסום ממוקד לקהל יעד מסוים.</w:t>
      </w:r>
    </w:p>
    <w:p w:rsidR="00865487" w:rsidRPr="00DC3374" w:rsidP="00E81188" w14:paraId="00E34371" w14:textId="1E69F10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865487" w:rsidRPr="00DC3374" w:rsidP="00E81188" w14:paraId="299EF09D" w14:textId="45ADD9AE">
      <w:pPr>
        <w:pStyle w:val="ListParagraph"/>
        <w:spacing w:line="269" w:lineRule="auto"/>
        <w:ind w:left="1077"/>
        <w:rPr>
          <w:rtl/>
        </w:rPr>
      </w:pPr>
      <w:r w:rsidRPr="00DC3374">
        <w:rPr>
          <w:rFonts w:hint="cs"/>
          <w:b/>
          <w:bCs/>
          <w:rtl/>
        </w:rPr>
        <w:t>מהאמור עולה כי מטה ההסברה הלאומי ריכז ואישר מבעוד מועד רק חלק ממסעות הפרסום, ובכך צומצמה יכולתו לשמור על קו הסברתי אחיד בהיבטי התוכן בקרב כל משרדי הממשלה במשבר הקורונה</w:t>
      </w:r>
      <w:r w:rsidRPr="00DC3374" w:rsidR="00B12875">
        <w:rPr>
          <w:rFonts w:hint="cs"/>
          <w:rtl/>
        </w:rPr>
        <w:t>.</w:t>
      </w:r>
    </w:p>
    <w:p w:rsidR="006C1EA1" w:rsidRPr="00DC3374" w:rsidP="00E81188" w14:paraId="073855E5" w14:textId="42CC66A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1743DA35" w14:textId="77777777">
      <w:pPr>
        <w:pStyle w:val="ListParagraph"/>
        <w:numPr>
          <w:ilvl w:val="2"/>
          <w:numId w:val="15"/>
        </w:numPr>
        <w:spacing w:line="269" w:lineRule="auto"/>
        <w:rPr>
          <w:rtl/>
        </w:rPr>
      </w:pPr>
      <w:r w:rsidRPr="00DC3374">
        <w:rPr>
          <w:rFonts w:hint="cs"/>
          <w:rtl/>
        </w:rPr>
        <w:t>באפריל 2020, ערב היציאה מהסגר הראשון, פרסמו משרדי הממשלה מסרים רבים ושונים זה מזה בנוגע לתוכנית היציאה מן הסגר. בעקבות הפרסומים פנה מטה ההסברה לדוברי כלל המשרדים בבקשה לחדול מפרסומים אלה והבהיר כי "הדבר גורם לבלבול בקרב הציבור, מכיוון שכל משרד מציג הצעות שונות ומציע פתרונות משלו". על אף הבהרה זו, באוקטובר 2020, ערב היציאה מהסגר השני, פורסמו שוב תוכניות של משרדי הממשלה ליציאה מן הסגר קודם אישורן על ידי הממשלה, ומטה ההסברה העיר לדוברי המשרדים פעם נוספת על הצורך להימנע במידת האפשר מפרסום תוכניות לא מאושרות, שכן "הדבר עלול ליצור בלבול בציבור כי משרדים שונים מושכים לכיוונים שונים".</w:t>
      </w:r>
    </w:p>
    <w:p w:rsidR="006C1EA1" w:rsidRPr="00DC3374" w:rsidP="00E81188" w14:paraId="2116D695" w14:textId="69F8201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P="00E81188" w14:paraId="0432D5DE" w14:textId="24ADACAF">
      <w:pPr>
        <w:spacing w:line="269" w:lineRule="auto"/>
        <w:ind w:left="1054"/>
        <w:rPr>
          <w:rtl/>
        </w:rPr>
      </w:pPr>
      <w:r w:rsidRPr="00DC3374">
        <w:rPr>
          <w:rFonts w:hint="cs"/>
          <w:b/>
          <w:bCs/>
          <w:rtl/>
        </w:rPr>
        <w:t>מן האמור עולה כי אף שמטה ההסברה הלאומי הוקם בין היתר במטרה להציג מדיניות הסברה אחידה ועקבית, בשני מועדים מרכזיים במשבר הקורונה, סמוך למועדי היציאה מן הסגרים שהוטלו על הציבור, קודם השלמת גיבוש מתווה אחיד לחזרה לשגרה המחייב את כלל משרדי הממשלה, פרסמו חלק ממשרדי הממשלה פרסומים עצמאיים שלא תואמו מול מטה ההסברה הלאומי, עם מסרים שונים זה מזה, שיש בהם כדי לבלבל את הציבור בנוגע להנחיות הצפויות לחול עליו עם סיום הסגר.</w:t>
      </w:r>
    </w:p>
    <w:p w:rsidR="00E81188" w:rsidP="00E81188" w14:paraId="35C66BF9" w14:textId="25383CE6">
      <w:pPr>
        <w:spacing w:line="269" w:lineRule="auto"/>
        <w:ind w:left="1054"/>
        <w:rPr>
          <w:rtl/>
        </w:rPr>
      </w:pPr>
    </w:p>
    <w:p w:rsidR="00E81188" w:rsidRPr="00DC3374" w:rsidP="00E81188" w14:paraId="79850411" w14:textId="77777777">
      <w:pPr>
        <w:spacing w:line="269" w:lineRule="auto"/>
        <w:ind w:left="1054"/>
        <w:rPr>
          <w:rtl/>
        </w:rPr>
      </w:pPr>
    </w:p>
    <w:p w:rsidR="006C1EA1" w:rsidRPr="00DC3374" w:rsidP="00E81188" w14:paraId="2D4360EB" w14:textId="57EDE07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CE9E4DA" w14:textId="77777777">
      <w:pPr>
        <w:spacing w:line="269" w:lineRule="auto"/>
        <w:rPr>
          <w:rtl/>
        </w:rPr>
      </w:pPr>
      <w:r w:rsidRPr="00DC3374">
        <w:rPr>
          <w:rFonts w:hint="cs"/>
          <w:b/>
          <w:bCs/>
          <w:rtl/>
        </w:rPr>
        <w:t xml:space="preserve">מומלץ כי משרד רה"ם ינקוט את הפעולות הנדרשות כדי שמערך ההסברה הלאומי יהיה כשיר לעמוד בכל המשימות שיועדו לו בשגרה ובחירום, לרבות תיאום עם הדרג המדיני, </w:t>
      </w:r>
      <w:r w:rsidRPr="00DC3374">
        <w:rPr>
          <w:b/>
          <w:bCs/>
          <w:rtl/>
        </w:rPr>
        <w:t>תיאום עבודת כלל גופי ההסברה ושמירה על קו הסברתי אחיד</w:t>
      </w:r>
      <w:r w:rsidRPr="00DC3374">
        <w:rPr>
          <w:rFonts w:hint="cs"/>
          <w:b/>
          <w:bCs/>
          <w:rtl/>
        </w:rPr>
        <w:t xml:space="preserve"> של הגופים הפועלים מטעם הממשלה. בין היתר, יש לפעול לאיוש מלא של המערך בכלל, ושל העומדים בראשו - ראש מערך ההסברה הלאומי ומנהל מטה ההסברה הלאומי - בפרט, ולהבטיח את פעילותם בהתאם להחלטת הממשלה. </w:t>
      </w:r>
    </w:p>
    <w:p w:rsidR="006C1EA1" w:rsidRPr="00DC3374" w:rsidP="00E81188" w14:paraId="03FD2BA2" w14:textId="01F43BC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227F8E51" w14:textId="77777777">
      <w:pPr>
        <w:spacing w:line="269" w:lineRule="auto"/>
        <w:rPr>
          <w:b/>
          <w:bCs/>
          <w:rtl/>
        </w:rPr>
      </w:pPr>
      <w:r w:rsidRPr="00DC3374">
        <w:rPr>
          <w:rFonts w:hint="eastAsia"/>
          <w:b/>
          <w:bCs/>
          <w:rtl/>
        </w:rPr>
        <w:t>עוד</w:t>
      </w:r>
      <w:r w:rsidRPr="00DC3374">
        <w:rPr>
          <w:b/>
          <w:bCs/>
          <w:rtl/>
        </w:rPr>
        <w:t xml:space="preserve"> </w:t>
      </w:r>
      <w:r w:rsidRPr="00DC3374">
        <w:rPr>
          <w:rFonts w:hint="eastAsia"/>
          <w:b/>
          <w:bCs/>
          <w:rtl/>
        </w:rPr>
        <w:t>מומלץ</w:t>
      </w:r>
      <w:r w:rsidRPr="00DC3374">
        <w:rPr>
          <w:b/>
          <w:bCs/>
          <w:rtl/>
        </w:rPr>
        <w:t xml:space="preserve"> </w:t>
      </w:r>
      <w:r w:rsidRPr="00DC3374">
        <w:rPr>
          <w:rFonts w:hint="eastAsia"/>
          <w:b/>
          <w:bCs/>
          <w:rtl/>
        </w:rPr>
        <w:t>כי</w:t>
      </w:r>
      <w:r w:rsidRPr="00DC3374">
        <w:rPr>
          <w:b/>
          <w:bCs/>
          <w:rtl/>
        </w:rPr>
        <w:t xml:space="preserve"> </w:t>
      </w:r>
      <w:r w:rsidRPr="00DC3374">
        <w:rPr>
          <w:rFonts w:hint="eastAsia"/>
          <w:b/>
          <w:bCs/>
          <w:rtl/>
        </w:rPr>
        <w:t>מטה</w:t>
      </w:r>
      <w:r w:rsidRPr="00DC3374">
        <w:rPr>
          <w:b/>
          <w:bCs/>
          <w:rtl/>
        </w:rPr>
        <w:t xml:space="preserve"> </w:t>
      </w:r>
      <w:r w:rsidRPr="00DC3374">
        <w:rPr>
          <w:rFonts w:hint="eastAsia"/>
          <w:b/>
          <w:bCs/>
          <w:rtl/>
        </w:rPr>
        <w:t>ההסברה</w:t>
      </w:r>
      <w:r w:rsidRPr="00DC3374">
        <w:rPr>
          <w:b/>
          <w:bCs/>
          <w:rtl/>
        </w:rPr>
        <w:t xml:space="preserve"> </w:t>
      </w:r>
      <w:r w:rsidRPr="00DC3374">
        <w:rPr>
          <w:rFonts w:hint="eastAsia"/>
          <w:b/>
          <w:bCs/>
          <w:rtl/>
        </w:rPr>
        <w:t>הלאומי</w:t>
      </w:r>
      <w:r w:rsidRPr="00DC3374">
        <w:rPr>
          <w:b/>
          <w:bCs/>
          <w:rtl/>
        </w:rPr>
        <w:t xml:space="preserve"> </w:t>
      </w:r>
      <w:r w:rsidRPr="00DC3374">
        <w:rPr>
          <w:rFonts w:hint="eastAsia"/>
          <w:b/>
          <w:bCs/>
          <w:rtl/>
        </w:rPr>
        <w:t>יפעל</w:t>
      </w:r>
      <w:r w:rsidRPr="00DC3374">
        <w:rPr>
          <w:b/>
          <w:bCs/>
          <w:rtl/>
        </w:rPr>
        <w:t xml:space="preserve"> </w:t>
      </w:r>
      <w:r w:rsidRPr="00DC3374">
        <w:rPr>
          <w:rFonts w:hint="eastAsia"/>
          <w:b/>
          <w:bCs/>
          <w:rtl/>
        </w:rPr>
        <w:t>לחדד</w:t>
      </w:r>
      <w:r w:rsidRPr="00DC3374">
        <w:rPr>
          <w:b/>
          <w:bCs/>
          <w:rtl/>
        </w:rPr>
        <w:t xml:space="preserve"> </w:t>
      </w:r>
      <w:r w:rsidRPr="00DC3374">
        <w:rPr>
          <w:rFonts w:hint="cs"/>
          <w:b/>
          <w:bCs/>
          <w:rtl/>
        </w:rPr>
        <w:t xml:space="preserve">את </w:t>
      </w:r>
      <w:r w:rsidRPr="00DC3374">
        <w:rPr>
          <w:rFonts w:hint="eastAsia"/>
          <w:b/>
          <w:bCs/>
          <w:rtl/>
        </w:rPr>
        <w:t>הנחיותיו</w:t>
      </w:r>
      <w:r w:rsidRPr="00DC3374">
        <w:rPr>
          <w:b/>
          <w:bCs/>
          <w:rtl/>
        </w:rPr>
        <w:t xml:space="preserve"> </w:t>
      </w:r>
      <w:r w:rsidRPr="00DC3374">
        <w:rPr>
          <w:rFonts w:hint="eastAsia"/>
          <w:b/>
          <w:bCs/>
          <w:rtl/>
        </w:rPr>
        <w:t>לכלל</w:t>
      </w:r>
      <w:r w:rsidRPr="00DC3374">
        <w:rPr>
          <w:b/>
          <w:bCs/>
          <w:rtl/>
        </w:rPr>
        <w:t xml:space="preserve"> </w:t>
      </w:r>
      <w:r w:rsidRPr="00DC3374">
        <w:rPr>
          <w:rFonts w:hint="eastAsia"/>
          <w:b/>
          <w:bCs/>
          <w:rtl/>
        </w:rPr>
        <w:t>משרדי</w:t>
      </w:r>
      <w:r w:rsidRPr="00DC3374">
        <w:rPr>
          <w:b/>
          <w:bCs/>
          <w:rtl/>
        </w:rPr>
        <w:t xml:space="preserve"> </w:t>
      </w:r>
      <w:r w:rsidRPr="00DC3374">
        <w:rPr>
          <w:rFonts w:hint="eastAsia"/>
          <w:b/>
          <w:bCs/>
          <w:rtl/>
        </w:rPr>
        <w:t>הממשלה</w:t>
      </w:r>
      <w:r w:rsidRPr="00DC3374">
        <w:rPr>
          <w:b/>
          <w:bCs/>
          <w:rtl/>
        </w:rPr>
        <w:t xml:space="preserve">, </w:t>
      </w:r>
      <w:r w:rsidRPr="00DC3374">
        <w:rPr>
          <w:rFonts w:hint="eastAsia"/>
          <w:b/>
          <w:bCs/>
          <w:rtl/>
        </w:rPr>
        <w:t>בפרט</w:t>
      </w:r>
      <w:r w:rsidRPr="00DC3374">
        <w:rPr>
          <w:b/>
          <w:bCs/>
          <w:rtl/>
        </w:rPr>
        <w:t xml:space="preserve"> </w:t>
      </w:r>
      <w:r w:rsidRPr="00DC3374">
        <w:rPr>
          <w:rFonts w:hint="eastAsia"/>
          <w:b/>
          <w:bCs/>
          <w:rtl/>
        </w:rPr>
        <w:t>בעת</w:t>
      </w:r>
      <w:r w:rsidRPr="00DC3374">
        <w:rPr>
          <w:b/>
          <w:bCs/>
          <w:rtl/>
        </w:rPr>
        <w:t xml:space="preserve"> </w:t>
      </w:r>
      <w:r w:rsidRPr="00DC3374">
        <w:rPr>
          <w:rFonts w:hint="eastAsia"/>
          <w:b/>
          <w:bCs/>
          <w:rtl/>
        </w:rPr>
        <w:t>ח</w:t>
      </w:r>
      <w:r w:rsidRPr="00DC3374">
        <w:rPr>
          <w:rFonts w:hint="cs"/>
          <w:b/>
          <w:bCs/>
          <w:rtl/>
        </w:rPr>
        <w:t>י</w:t>
      </w:r>
      <w:r w:rsidRPr="00DC3374">
        <w:rPr>
          <w:rFonts w:hint="eastAsia"/>
          <w:b/>
          <w:bCs/>
          <w:rtl/>
        </w:rPr>
        <w:t>רום</w:t>
      </w:r>
      <w:r w:rsidRPr="00DC3374">
        <w:rPr>
          <w:b/>
          <w:bCs/>
          <w:rtl/>
        </w:rPr>
        <w:t xml:space="preserve">, </w:t>
      </w:r>
      <w:r w:rsidRPr="00DC3374">
        <w:rPr>
          <w:rFonts w:hint="eastAsia"/>
          <w:b/>
          <w:bCs/>
          <w:rtl/>
        </w:rPr>
        <w:t>לת</w:t>
      </w:r>
      <w:r w:rsidRPr="00DC3374">
        <w:rPr>
          <w:rFonts w:hint="cs"/>
          <w:b/>
          <w:bCs/>
          <w:rtl/>
        </w:rPr>
        <w:t>י</w:t>
      </w:r>
      <w:r w:rsidRPr="00DC3374">
        <w:rPr>
          <w:rFonts w:hint="eastAsia"/>
          <w:b/>
          <w:bCs/>
          <w:rtl/>
        </w:rPr>
        <w:t>אום</w:t>
      </w:r>
      <w:r w:rsidRPr="00DC3374">
        <w:rPr>
          <w:b/>
          <w:bCs/>
          <w:rtl/>
        </w:rPr>
        <w:t xml:space="preserve"> </w:t>
      </w:r>
      <w:r w:rsidRPr="00DC3374">
        <w:rPr>
          <w:rFonts w:hint="eastAsia"/>
          <w:b/>
          <w:bCs/>
          <w:rtl/>
        </w:rPr>
        <w:t>פעילות</w:t>
      </w:r>
      <w:r w:rsidRPr="00DC3374">
        <w:rPr>
          <w:b/>
          <w:bCs/>
          <w:rtl/>
        </w:rPr>
        <w:t xml:space="preserve"> </w:t>
      </w:r>
      <w:r w:rsidRPr="00DC3374">
        <w:rPr>
          <w:rFonts w:hint="eastAsia"/>
          <w:b/>
          <w:bCs/>
          <w:rtl/>
        </w:rPr>
        <w:t>ההסברה</w:t>
      </w:r>
      <w:r w:rsidRPr="00DC3374">
        <w:rPr>
          <w:b/>
          <w:bCs/>
          <w:rtl/>
        </w:rPr>
        <w:t xml:space="preserve"> </w:t>
      </w:r>
      <w:r w:rsidRPr="00DC3374">
        <w:rPr>
          <w:rFonts w:hint="eastAsia"/>
          <w:b/>
          <w:bCs/>
          <w:rtl/>
        </w:rPr>
        <w:t>ועבודת</w:t>
      </w:r>
      <w:r w:rsidRPr="00DC3374">
        <w:rPr>
          <w:b/>
          <w:bCs/>
          <w:rtl/>
        </w:rPr>
        <w:t xml:space="preserve"> כלל גופי ההסברה </w:t>
      </w:r>
      <w:r w:rsidRPr="00DC3374">
        <w:rPr>
          <w:rFonts w:hint="eastAsia"/>
          <w:b/>
          <w:bCs/>
          <w:rtl/>
        </w:rPr>
        <w:t>לשם</w:t>
      </w:r>
      <w:r w:rsidRPr="00DC3374">
        <w:rPr>
          <w:b/>
          <w:bCs/>
          <w:rtl/>
        </w:rPr>
        <w:t xml:space="preserve"> </w:t>
      </w:r>
      <w:r w:rsidRPr="00DC3374">
        <w:rPr>
          <w:rFonts w:hint="eastAsia"/>
          <w:b/>
          <w:bCs/>
          <w:rtl/>
        </w:rPr>
        <w:t>שמירה</w:t>
      </w:r>
      <w:r w:rsidRPr="00DC3374">
        <w:rPr>
          <w:b/>
          <w:bCs/>
          <w:rtl/>
        </w:rPr>
        <w:t xml:space="preserve"> </w:t>
      </w:r>
      <w:r w:rsidRPr="00DC3374">
        <w:rPr>
          <w:rFonts w:hint="eastAsia"/>
          <w:b/>
          <w:bCs/>
          <w:rtl/>
        </w:rPr>
        <w:t>על</w:t>
      </w:r>
      <w:r w:rsidRPr="00DC3374">
        <w:rPr>
          <w:b/>
          <w:bCs/>
          <w:rtl/>
        </w:rPr>
        <w:t xml:space="preserve"> </w:t>
      </w:r>
      <w:r w:rsidRPr="00DC3374">
        <w:rPr>
          <w:rFonts w:hint="eastAsia"/>
          <w:b/>
          <w:bCs/>
          <w:rtl/>
        </w:rPr>
        <w:t>קו</w:t>
      </w:r>
      <w:r w:rsidRPr="00DC3374">
        <w:rPr>
          <w:b/>
          <w:bCs/>
          <w:rtl/>
        </w:rPr>
        <w:t xml:space="preserve"> </w:t>
      </w:r>
      <w:r w:rsidRPr="00DC3374">
        <w:rPr>
          <w:rFonts w:hint="eastAsia"/>
          <w:b/>
          <w:bCs/>
          <w:rtl/>
        </w:rPr>
        <w:t>הסברתי</w:t>
      </w:r>
      <w:r w:rsidRPr="00DC3374">
        <w:rPr>
          <w:b/>
          <w:bCs/>
          <w:rtl/>
        </w:rPr>
        <w:t xml:space="preserve"> </w:t>
      </w:r>
      <w:r w:rsidRPr="00DC3374">
        <w:rPr>
          <w:rFonts w:hint="eastAsia"/>
          <w:b/>
          <w:bCs/>
          <w:rtl/>
        </w:rPr>
        <w:t>אחיד</w:t>
      </w:r>
      <w:r w:rsidRPr="00DC3374">
        <w:rPr>
          <w:b/>
          <w:bCs/>
          <w:rtl/>
        </w:rPr>
        <w:t xml:space="preserve">, </w:t>
      </w:r>
      <w:r w:rsidRPr="00DC3374">
        <w:rPr>
          <w:rFonts w:hint="eastAsia"/>
          <w:b/>
          <w:bCs/>
          <w:rtl/>
        </w:rPr>
        <w:t>בהתאם</w:t>
      </w:r>
      <w:r w:rsidRPr="00DC3374">
        <w:rPr>
          <w:b/>
          <w:bCs/>
          <w:rtl/>
        </w:rPr>
        <w:t xml:space="preserve"> </w:t>
      </w:r>
      <w:r w:rsidRPr="00DC3374">
        <w:rPr>
          <w:rFonts w:hint="eastAsia"/>
          <w:b/>
          <w:bCs/>
          <w:rtl/>
        </w:rPr>
        <w:t>להחלטות</w:t>
      </w:r>
      <w:r w:rsidRPr="00DC3374">
        <w:rPr>
          <w:b/>
          <w:bCs/>
          <w:rtl/>
        </w:rPr>
        <w:t xml:space="preserve"> </w:t>
      </w:r>
      <w:r w:rsidRPr="00DC3374">
        <w:rPr>
          <w:rFonts w:hint="eastAsia"/>
          <w:b/>
          <w:bCs/>
          <w:rtl/>
        </w:rPr>
        <w:t>הממשלה</w:t>
      </w:r>
      <w:r w:rsidRPr="00DC3374">
        <w:rPr>
          <w:b/>
          <w:bCs/>
          <w:rtl/>
        </w:rPr>
        <w:t>.</w:t>
      </w:r>
    </w:p>
    <w:p w:rsidR="006C1EA1" w:rsidRPr="00DC3374" w:rsidP="00E81188" w14:paraId="12837034" w14:textId="77777777">
      <w:pPr>
        <w:spacing w:line="269" w:lineRule="auto"/>
        <w:rPr>
          <w:rtl/>
        </w:rPr>
      </w:pPr>
    </w:p>
    <w:p w:rsidR="006C1EA1" w:rsidRPr="00DC3374" w:rsidP="00E81188" w14:paraId="577425E6" w14:textId="77777777">
      <w:pPr>
        <w:pStyle w:val="Heading4"/>
        <w:spacing w:before="0" w:line="269" w:lineRule="auto"/>
        <w:rPr>
          <w:rtl/>
        </w:rPr>
      </w:pPr>
      <w:r w:rsidRPr="00DC3374">
        <w:rPr>
          <w:rFonts w:hint="cs"/>
          <w:rtl/>
        </w:rPr>
        <w:t>מערך ההסברה במשרד הבריאות</w:t>
      </w:r>
    </w:p>
    <w:p w:rsidR="006C1EA1" w:rsidRPr="00DC3374" w:rsidP="00E81188" w14:paraId="1DDECC70" w14:textId="42297BD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7559D0A" w14:textId="77777777">
      <w:pPr>
        <w:pStyle w:val="ListParagraph"/>
        <w:numPr>
          <w:ilvl w:val="0"/>
          <w:numId w:val="12"/>
        </w:numPr>
        <w:spacing w:line="269" w:lineRule="auto"/>
        <w:rPr>
          <w:rtl/>
        </w:rPr>
      </w:pPr>
      <w:r w:rsidRPr="00DC3374">
        <w:rPr>
          <w:rFonts w:hint="cs"/>
          <w:rtl/>
        </w:rPr>
        <w:t>מערך ההסברה במשרד הבריאות מנוהל בידי האגף להסברה וליחסים בין-לאומיים (להלן - יחב"ל) שכפוף למנכ"ל משרד הבריאות. תקציב האגף לשנת 2019 היה 15.2 מיליון ש"ח, ותקציב ההסברה לשנה זו באגף (ללא יחב"ל) היה 5.3 מיליון ש"ח. האגף מונה בשגרה 13.5 משרות: מנהל אגף בכיר בתפקיד סמנכ"ל וסגן מנהל אגף בכיר, שלוש משרות בתחום הדוברות, שלוש משרות בתחום היחב"ל ומשרה בתחום הפרסום והשיווק, משרת מנהל לשכה ושלוש וחצי משרות סטודנט, המאוישות בחלקן. כמו כן האגף מעביר מידע לציבור באמצעות פורטל המשרד באינטרנט, שתקציבו לשנת 2019 היה 10.1 מיליון ש"ח</w:t>
      </w:r>
      <w:r>
        <w:rPr>
          <w:rStyle w:val="FootnoteReference1"/>
          <w:rtl/>
        </w:rPr>
        <w:footnoteReference w:id="42"/>
      </w:r>
      <w:r w:rsidRPr="00DC3374">
        <w:rPr>
          <w:rFonts w:hint="cs"/>
          <w:rtl/>
        </w:rPr>
        <w:t>.</w:t>
      </w:r>
    </w:p>
    <w:p w:rsidR="006C1EA1" w:rsidRPr="00DC3374" w:rsidP="00E81188" w14:paraId="7A762C85" w14:textId="2EA86BC5">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6C1EA1" w:rsidRPr="00DC3374" w:rsidP="00E81188" w14:paraId="2296EABF" w14:textId="77777777">
      <w:pPr>
        <w:spacing w:line="269" w:lineRule="auto"/>
        <w:ind w:left="312"/>
      </w:pPr>
      <w:r w:rsidRPr="00DC3374">
        <w:rPr>
          <w:rFonts w:hint="cs"/>
          <w:rtl/>
        </w:rPr>
        <w:t>להלן תרשים המציג את מבנה אגף ההסברה במשרד הבריאות בשגרה, בסוף שנת 2019, סמוך לפני פרוץ משבר הקורונה</w:t>
      </w:r>
      <w:r>
        <w:rPr>
          <w:rStyle w:val="FootnoteReference1"/>
          <w:rtl/>
        </w:rPr>
        <w:footnoteReference w:id="43"/>
      </w:r>
      <w:r w:rsidRPr="00DC3374">
        <w:rPr>
          <w:rFonts w:hint="cs"/>
          <w:rtl/>
        </w:rPr>
        <w:t>:</w:t>
      </w:r>
    </w:p>
    <w:p w:rsidR="00E81188" w14:paraId="12B861C1" w14:textId="7F8C11EE">
      <w:pPr>
        <w:spacing w:line="240" w:lineRule="auto"/>
        <w:ind w:left="720" w:hanging="720"/>
        <w:rPr>
          <w:szCs w:val="20"/>
          <w:rtl/>
        </w:rPr>
      </w:pPr>
      <w:r>
        <w:rPr>
          <w:szCs w:val="20"/>
          <w:rtl/>
        </w:rPr>
        <w:br w:type="page"/>
      </w:r>
    </w:p>
    <w:p w:rsidR="006C1EA1" w:rsidRPr="00DC3374" w:rsidP="00E81188" w14:paraId="468ADDB6" w14:textId="5C25D00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8687C96" w14:textId="77777777">
      <w:pPr>
        <w:spacing w:line="269" w:lineRule="auto"/>
        <w:ind w:left="312"/>
        <w:jc w:val="center"/>
        <w:rPr>
          <w:b/>
          <w:bCs/>
          <w:rtl/>
        </w:rPr>
      </w:pPr>
      <w:r w:rsidRPr="00DC3374">
        <w:rPr>
          <w:rFonts w:hint="cs"/>
          <w:b/>
          <w:bCs/>
          <w:rtl/>
        </w:rPr>
        <w:t xml:space="preserve">תרשים 32: האגף להסברה וליחסים בין-לאומיים במשרד הבריאות - </w:t>
      </w:r>
    </w:p>
    <w:p w:rsidR="006C1EA1" w:rsidRPr="00DC3374" w:rsidP="00E81188" w14:paraId="3B806ECB" w14:textId="77777777">
      <w:pPr>
        <w:spacing w:line="269" w:lineRule="auto"/>
        <w:ind w:left="312"/>
        <w:jc w:val="center"/>
        <w:rPr>
          <w:b/>
          <w:bCs/>
          <w:rtl/>
        </w:rPr>
      </w:pPr>
      <w:r w:rsidRPr="00DC3374">
        <w:rPr>
          <w:rFonts w:hint="cs"/>
          <w:b/>
          <w:bCs/>
          <w:rtl/>
        </w:rPr>
        <w:t>ה</w:t>
      </w:r>
      <w:r w:rsidRPr="00DC3374">
        <w:rPr>
          <w:rFonts w:hint="eastAsia"/>
          <w:b/>
          <w:bCs/>
          <w:rtl/>
        </w:rPr>
        <w:t>מבנה</w:t>
      </w:r>
      <w:r w:rsidRPr="00DC3374">
        <w:rPr>
          <w:b/>
          <w:bCs/>
          <w:rtl/>
        </w:rPr>
        <w:t xml:space="preserve"> </w:t>
      </w:r>
      <w:r w:rsidRPr="00DC3374">
        <w:rPr>
          <w:rFonts w:hint="cs"/>
          <w:b/>
          <w:bCs/>
          <w:rtl/>
        </w:rPr>
        <w:t>הארגוני ואיוש המשרות שבו קודם משבר הקורונה, בסוף שנת 2019</w:t>
      </w:r>
    </w:p>
    <w:p w:rsidR="006C1EA1" w:rsidRPr="00DC3374" w:rsidP="00E81188" w14:paraId="49273597" w14:textId="77777777">
      <w:pPr>
        <w:spacing w:line="269" w:lineRule="auto"/>
        <w:ind w:left="312"/>
        <w:jc w:val="center"/>
        <w:rPr>
          <w:b/>
          <w:bCs/>
          <w:rtl/>
        </w:rPr>
      </w:pPr>
      <w:r w:rsidRPr="00DC3374">
        <w:rPr>
          <w:noProof/>
        </w:rPr>
        <w:drawing>
          <wp:inline distT="0" distB="0" distL="0" distR="0">
            <wp:extent cx="4171950" cy="5064119"/>
            <wp:effectExtent l="0" t="0" r="0" b="3810"/>
            <wp:docPr id="1743882414" name="תמונה 1743882414" descr="C:\Users\michal_re\AppData\Local\Microsoft\Windows\INetCache\Content.Word\MR-Tarshim-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07708" name="Picture 17" descr="C:\Users\michal_re\AppData\Local\Microsoft\Windows\INetCache\Content.Word\MR-Tarshim-32.jpg"/>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6102" cy="5069159"/>
                    </a:xfrm>
                    <a:prstGeom prst="rect">
                      <a:avLst/>
                    </a:prstGeom>
                    <a:noFill/>
                    <a:ln>
                      <a:noFill/>
                    </a:ln>
                  </pic:spPr>
                </pic:pic>
              </a:graphicData>
            </a:graphic>
          </wp:inline>
        </w:drawing>
      </w:r>
    </w:p>
    <w:p w:rsidR="006C1EA1" w:rsidRPr="00DC3374" w:rsidP="00E81188" w14:paraId="003FC584" w14:textId="77777777">
      <w:pPr>
        <w:spacing w:line="269" w:lineRule="auto"/>
        <w:ind w:left="312"/>
        <w:jc w:val="center"/>
        <w:rPr>
          <w:b/>
          <w:bCs/>
          <w:rtl/>
        </w:rPr>
      </w:pPr>
    </w:p>
    <w:p w:rsidR="006C1EA1" w:rsidRPr="00DC3374" w:rsidP="00E81188" w14:paraId="2988FC65" w14:textId="77777777">
      <w:pPr>
        <w:spacing w:line="269" w:lineRule="auto"/>
        <w:ind w:left="312"/>
        <w:rPr>
          <w:szCs w:val="20"/>
          <w:rtl/>
        </w:rPr>
      </w:pPr>
      <w:r w:rsidRPr="00DC3374">
        <w:rPr>
          <w:rFonts w:hint="cs"/>
          <w:szCs w:val="20"/>
          <w:rtl/>
        </w:rPr>
        <w:t>על פי נתוני אגף משאבי אנוש במשרד הבריאות, בעיבוד משרד מבקר המדינה.</w:t>
      </w:r>
    </w:p>
    <w:p w:rsidR="006C1EA1" w:rsidRPr="00DC3374" w:rsidP="00E81188" w14:paraId="07478550" w14:textId="3BEFBD9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DD20F06" w14:textId="77777777">
      <w:pPr>
        <w:spacing w:line="269" w:lineRule="auto"/>
        <w:ind w:left="312"/>
        <w:rPr>
          <w:rtl/>
        </w:rPr>
      </w:pPr>
      <w:r w:rsidRPr="00DC3374">
        <w:rPr>
          <w:rFonts w:hint="cs"/>
          <w:rtl/>
        </w:rPr>
        <w:t>כמו כן משרד הבריאות מפעיל מוקד מידע טלפוני - "קול הבריאות", הנמצא באחריות אגף השירות במשרד הבריאות, הכפוף למשנה למנכ"ל וראש חטיבת הבריאות במשרד. בשגרה המוקד נותן מענה בתחומים שבטיפולו השוטף של משרד הבריאות, כגון הסדרת רישיונות לעסוק במקצועות הבריאות, זימון תורים למרפאות ומיצוי זכויות במערכת הבריאות, והוא פועל באמצעות עובדים של ספק שירותים חיצוני, שעבודתם מסתכמת בכ-14,000 - 15,000 שעות בחודש. תקציב המוקד הטלפוני לשנת 2019 היה 18 מיליון ש"ח.</w:t>
      </w:r>
    </w:p>
    <w:p w:rsidR="006C1EA1" w:rsidRPr="00DC3374" w:rsidP="00E81188" w14:paraId="6C53188B" w14:textId="7DE19D4C">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4AE177CB" w14:textId="1F4DEB6C">
      <w:pPr>
        <w:pStyle w:val="ListParagraph"/>
        <w:numPr>
          <w:ilvl w:val="0"/>
          <w:numId w:val="12"/>
        </w:numPr>
        <w:spacing w:line="269" w:lineRule="auto"/>
      </w:pPr>
      <w:r w:rsidRPr="00DC3374">
        <w:rPr>
          <w:rFonts w:hint="cs"/>
          <w:rtl/>
        </w:rPr>
        <w:t xml:space="preserve">כאמור, בפברואר 2020 התקבלה </w:t>
      </w:r>
      <w:r w:rsidRPr="00DC3374">
        <w:rPr>
          <w:rFonts w:hint="eastAsia"/>
          <w:rtl/>
        </w:rPr>
        <w:t>ההחלטה</w:t>
      </w:r>
      <w:r w:rsidRPr="00DC3374">
        <w:rPr>
          <w:rtl/>
        </w:rPr>
        <w:t xml:space="preserve"> </w:t>
      </w:r>
      <w:r w:rsidRPr="00DC3374">
        <w:rPr>
          <w:rFonts w:hint="eastAsia"/>
          <w:rtl/>
        </w:rPr>
        <w:t>בעניין</w:t>
      </w:r>
      <w:r w:rsidRPr="00DC3374">
        <w:rPr>
          <w:rtl/>
        </w:rPr>
        <w:t xml:space="preserve"> </w:t>
      </w:r>
      <w:r w:rsidRPr="00DC3374">
        <w:rPr>
          <w:rFonts w:hint="eastAsia"/>
          <w:rtl/>
        </w:rPr>
        <w:t>הובלת</w:t>
      </w:r>
      <w:r w:rsidRPr="00DC3374">
        <w:rPr>
          <w:rtl/>
        </w:rPr>
        <w:t xml:space="preserve"> </w:t>
      </w:r>
      <w:r w:rsidRPr="00DC3374">
        <w:rPr>
          <w:rFonts w:hint="eastAsia"/>
          <w:rtl/>
        </w:rPr>
        <w:t>ההסברה</w:t>
      </w:r>
      <w:r w:rsidRPr="00DC3374">
        <w:rPr>
          <w:rtl/>
        </w:rPr>
        <w:t xml:space="preserve"> </w:t>
      </w:r>
      <w:r w:rsidRPr="00DC3374">
        <w:rPr>
          <w:rFonts w:hint="cs"/>
          <w:rtl/>
        </w:rPr>
        <w:t xml:space="preserve">ובמסגרתה הוטל על משרד הבריאות להוביל את הטיפול המקצועי במשבר הקורונה, לרבות בתחום ההסברה. לצורך ביצוע החלטה זו הרחיב משרד הבריאות באופן ניכר את התשתית הארגונית והכלים המקצועיים העומדים לרשותו בתחום ההסברה והעברת המידע לציבור. זאת, באמצעות התקשרות עם יועצים חיצוניים המתמחים בהסברה לקהלי יעד ייחודיים, בתרגום המסרים לשפות שונות ובאסטרטגיה תקשורתית. ההתקשרויות האמורות אושרו לתקופה מוגבלת והוארכו מפעם לפעם. נוסף על כך באוקטובר 2020 פרסם המשרד מכרז "להקמת מערך דוברות והסברה להתמודדות עם נגיף הקורונה", ובסוף שנת 2020 אישר המשרד את ביצוע </w:t>
      </w:r>
      <w:r w:rsidRPr="00DC3374">
        <w:rPr>
          <w:rFonts w:hint="cs"/>
          <w:rtl/>
        </w:rPr>
        <w:t xml:space="preserve">שלב א' של המכרז האמור. כמו כן תגבר המשרד את צוות המוקד הטלפוני "קול הבריאות" בעובדי ספק שירותים; על פי תשובת משרד הבריאות הוא הגדיל את מספר נציגי המוקד מ-200 בשגרה ל-1,000 בשיא משבר הקורונה. מתחילת אפריל עד סוף אוקטובר 2020 תוגבר המוקד גם בעשרות עובדי משרד הבריאות; ובחודשים יולי עד אוגוסט 2020 תוגבר המוקד בשני גדודי מילואים. </w:t>
      </w:r>
    </w:p>
    <w:p w:rsidR="006C1EA1" w:rsidRPr="00DC3374" w:rsidP="00E81188" w14:paraId="46BD84C8" w14:textId="0A5E208F">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6F9BC4EB" w14:textId="77777777">
      <w:pPr>
        <w:spacing w:line="269" w:lineRule="auto"/>
        <w:ind w:left="312"/>
        <w:contextualSpacing/>
        <w:rPr>
          <w:rtl/>
        </w:rPr>
      </w:pPr>
      <w:r w:rsidRPr="00DC3374">
        <w:rPr>
          <w:rFonts w:hint="cs"/>
          <w:rtl/>
        </w:rPr>
        <w:t xml:space="preserve">להלן תרשים המציג את השינוי במשאבי האנוש שעמדו לרשות אגף ההסברה במשרד הבריאות בשנת 2020: עובדים במשרות בתקן המשרד ויועצים שנשכרו למתן שירותים. זאת, לאחר שהאגף תוגבר לצורך התמודדות עם משימותיו במשבר הקורונה. </w:t>
      </w:r>
      <w:r w:rsidRPr="00DC3374">
        <w:rPr>
          <w:rtl/>
        </w:rPr>
        <w:br w:type="page"/>
      </w:r>
    </w:p>
    <w:p w:rsidR="006C1EA1" w:rsidRPr="00DC3374" w:rsidP="00E81188" w14:paraId="45DE6A86" w14:textId="04AA105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0A979F7" w14:textId="77777777">
      <w:pPr>
        <w:spacing w:line="269" w:lineRule="auto"/>
        <w:ind w:left="312"/>
        <w:contextualSpacing/>
        <w:jc w:val="center"/>
        <w:rPr>
          <w:b/>
          <w:bCs/>
          <w:rtl/>
        </w:rPr>
      </w:pPr>
      <w:r w:rsidRPr="00DC3374">
        <w:rPr>
          <w:rFonts w:hint="eastAsia"/>
          <w:b/>
          <w:bCs/>
          <w:rtl/>
        </w:rPr>
        <w:t>תרשים</w:t>
      </w:r>
      <w:r w:rsidRPr="00DC3374">
        <w:rPr>
          <w:b/>
          <w:bCs/>
          <w:rtl/>
        </w:rPr>
        <w:t xml:space="preserve"> </w:t>
      </w:r>
      <w:r w:rsidRPr="00DC3374">
        <w:rPr>
          <w:rFonts w:hint="cs"/>
          <w:b/>
          <w:bCs/>
          <w:rtl/>
        </w:rPr>
        <w:t>33</w:t>
      </w:r>
      <w:r w:rsidRPr="00DC3374">
        <w:rPr>
          <w:b/>
          <w:bCs/>
          <w:rtl/>
        </w:rPr>
        <w:t xml:space="preserve">: אגף ההסברה במשרד הבריאות - </w:t>
      </w:r>
    </w:p>
    <w:p w:rsidR="006C1EA1" w:rsidRPr="00DC3374" w:rsidP="00E81188" w14:paraId="00B89FB3" w14:textId="77777777">
      <w:pPr>
        <w:spacing w:line="269" w:lineRule="auto"/>
        <w:ind w:left="312"/>
        <w:contextualSpacing/>
        <w:jc w:val="center"/>
        <w:rPr>
          <w:b/>
          <w:bCs/>
          <w:u w:val="single"/>
          <w:rtl/>
        </w:rPr>
      </w:pPr>
      <w:r w:rsidRPr="00DC3374">
        <w:rPr>
          <w:rFonts w:hint="cs"/>
          <w:b/>
          <w:bCs/>
          <w:rtl/>
        </w:rPr>
        <w:t>ה</w:t>
      </w:r>
      <w:r w:rsidRPr="00DC3374">
        <w:rPr>
          <w:rFonts w:hint="eastAsia"/>
          <w:b/>
          <w:bCs/>
          <w:rtl/>
        </w:rPr>
        <w:t>מערך</w:t>
      </w:r>
      <w:r w:rsidRPr="00DC3374">
        <w:rPr>
          <w:b/>
          <w:bCs/>
          <w:rtl/>
        </w:rPr>
        <w:t xml:space="preserve"> </w:t>
      </w:r>
      <w:r w:rsidRPr="00DC3374">
        <w:rPr>
          <w:rFonts w:hint="cs"/>
          <w:b/>
          <w:bCs/>
          <w:rtl/>
        </w:rPr>
        <w:t>ה</w:t>
      </w:r>
      <w:r w:rsidRPr="00DC3374">
        <w:rPr>
          <w:rFonts w:hint="eastAsia"/>
          <w:b/>
          <w:bCs/>
          <w:rtl/>
        </w:rPr>
        <w:t>ארגוני</w:t>
      </w:r>
      <w:r w:rsidRPr="00DC3374">
        <w:rPr>
          <w:b/>
          <w:bCs/>
          <w:rtl/>
        </w:rPr>
        <w:t xml:space="preserve"> </w:t>
      </w:r>
      <w:r w:rsidRPr="00DC3374">
        <w:rPr>
          <w:rFonts w:hint="eastAsia"/>
          <w:b/>
          <w:bCs/>
          <w:rtl/>
        </w:rPr>
        <w:t>שהוקם</w:t>
      </w:r>
      <w:r w:rsidRPr="00DC3374">
        <w:rPr>
          <w:b/>
          <w:bCs/>
          <w:rtl/>
        </w:rPr>
        <w:t xml:space="preserve"> </w:t>
      </w:r>
      <w:r w:rsidRPr="00DC3374">
        <w:rPr>
          <w:rFonts w:hint="eastAsia"/>
          <w:b/>
          <w:bCs/>
          <w:rtl/>
        </w:rPr>
        <w:t>במהלך</w:t>
      </w:r>
      <w:r w:rsidRPr="00DC3374">
        <w:rPr>
          <w:b/>
          <w:bCs/>
          <w:rtl/>
        </w:rPr>
        <w:t xml:space="preserve"> </w:t>
      </w:r>
      <w:r w:rsidRPr="00DC3374">
        <w:rPr>
          <w:rFonts w:hint="eastAsia"/>
          <w:b/>
          <w:bCs/>
          <w:rtl/>
        </w:rPr>
        <w:t>משבר</w:t>
      </w:r>
      <w:r w:rsidRPr="00DC3374">
        <w:rPr>
          <w:rFonts w:hint="cs"/>
          <w:b/>
          <w:bCs/>
          <w:rtl/>
        </w:rPr>
        <w:t xml:space="preserve"> הקורונה*</w:t>
      </w:r>
    </w:p>
    <w:p w:rsidR="006C1EA1" w:rsidRPr="00DC3374" w:rsidP="00E81188" w14:paraId="45D33486" w14:textId="77777777">
      <w:pPr>
        <w:spacing w:line="269" w:lineRule="auto"/>
        <w:ind w:left="312"/>
        <w:contextualSpacing/>
        <w:jc w:val="center"/>
        <w:rPr>
          <w:b/>
          <w:bCs/>
          <w:u w:val="single"/>
          <w:rtl/>
        </w:rPr>
      </w:pPr>
    </w:p>
    <w:p w:rsidR="006C1EA1" w:rsidRPr="00DC3374" w:rsidP="00E81188" w14:paraId="5292DB3F" w14:textId="77777777">
      <w:pPr>
        <w:spacing w:line="269" w:lineRule="auto"/>
        <w:ind w:left="312"/>
        <w:contextualSpacing/>
        <w:jc w:val="center"/>
        <w:rPr>
          <w:b/>
          <w:bCs/>
          <w:u w:val="single"/>
          <w:rtl/>
        </w:rPr>
      </w:pPr>
      <w:r w:rsidRPr="00DC3374">
        <w:rPr>
          <w:noProof/>
        </w:rPr>
        <w:drawing>
          <wp:inline distT="0" distB="0" distL="0" distR="0">
            <wp:extent cx="5567221" cy="6848475"/>
            <wp:effectExtent l="0" t="0" r="0" b="0"/>
            <wp:docPr id="1743882415" name="תמונה 1743882415" descr="C:\Users\michal_re\AppData\Local\Microsoft\Windows\INetCache\Content.Word\MR-Tarshim-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76923" name="Picture 19" descr="C:\Users\michal_re\AppData\Local\Microsoft\Windows\INetCache\Content.Word\MR-Tarshim-33.jpg"/>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1533" cy="6853780"/>
                    </a:xfrm>
                    <a:prstGeom prst="rect">
                      <a:avLst/>
                    </a:prstGeom>
                    <a:noFill/>
                    <a:ln>
                      <a:noFill/>
                    </a:ln>
                  </pic:spPr>
                </pic:pic>
              </a:graphicData>
            </a:graphic>
          </wp:inline>
        </w:drawing>
      </w:r>
    </w:p>
    <w:p w:rsidR="006C1EA1" w:rsidRPr="00DC3374" w:rsidP="00E81188" w14:paraId="66F1D3F4" w14:textId="77777777">
      <w:pPr>
        <w:spacing w:line="269" w:lineRule="auto"/>
        <w:ind w:left="312"/>
        <w:contextualSpacing/>
        <w:rPr>
          <w:szCs w:val="20"/>
          <w:rtl/>
        </w:rPr>
      </w:pPr>
      <w:r w:rsidRPr="00DC3374">
        <w:rPr>
          <w:rFonts w:hint="cs"/>
          <w:szCs w:val="20"/>
          <w:rtl/>
        </w:rPr>
        <w:t>על פי נתוני משרד הבריאות ואתר משרד הבריאות באינטרנט, בעיבוד משרד מבקר המדינה.</w:t>
      </w:r>
    </w:p>
    <w:p w:rsidR="006C1EA1" w:rsidRPr="00DC3374" w:rsidP="00E81188" w14:paraId="665D3033" w14:textId="77777777">
      <w:pPr>
        <w:spacing w:line="269" w:lineRule="auto"/>
        <w:ind w:left="312"/>
        <w:contextualSpacing/>
        <w:rPr>
          <w:szCs w:val="20"/>
          <w:rtl/>
        </w:rPr>
      </w:pPr>
      <w:r w:rsidRPr="00DC3374">
        <w:rPr>
          <w:rFonts w:hint="cs"/>
          <w:szCs w:val="20"/>
          <w:rtl/>
        </w:rPr>
        <w:t xml:space="preserve">* במהלך משבר הקורונה נוספו לאגף שבע משרות סטודנט לצורך "הסברה קורונה", ארבע מהן אוישו. כמו כן נוספה משרת סטודנט לצורך "דוברות". </w:t>
      </w:r>
    </w:p>
    <w:p w:rsidR="0092532A" w:rsidRPr="00DC3374" w:rsidP="00E81188" w14:paraId="200EF856" w14:textId="77777777">
      <w:pPr>
        <w:spacing w:line="269" w:lineRule="auto"/>
        <w:ind w:left="720" w:hanging="720"/>
        <w:rPr>
          <w:szCs w:val="20"/>
          <w:rtl/>
        </w:rPr>
      </w:pPr>
      <w:r w:rsidRPr="00DC3374">
        <w:rPr>
          <w:rtl/>
        </w:rPr>
        <w:br w:type="page"/>
      </w:r>
    </w:p>
    <w:p w:rsidR="006C1EA1" w:rsidRPr="00DC3374" w:rsidP="00E81188" w14:paraId="7959AC9E" w14:textId="72BFF7C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0401E24" w14:textId="77777777">
      <w:pPr>
        <w:spacing w:line="269" w:lineRule="auto"/>
        <w:ind w:left="312"/>
        <w:contextualSpacing/>
        <w:rPr>
          <w:b/>
          <w:bCs/>
          <w:rtl/>
        </w:rPr>
      </w:pPr>
      <w:r w:rsidRPr="00DC3374">
        <w:rPr>
          <w:rFonts w:hint="eastAsia"/>
          <w:b/>
          <w:bCs/>
          <w:rtl/>
        </w:rPr>
        <w:t>מן</w:t>
      </w:r>
      <w:r w:rsidRPr="00DC3374">
        <w:rPr>
          <w:b/>
          <w:bCs/>
          <w:rtl/>
        </w:rPr>
        <w:t xml:space="preserve"> התרשים עולה כי לצורך ההתמודדות עם משבר הקורונה שינה האגף את פניו, </w:t>
      </w:r>
      <w:r w:rsidRPr="00DC3374">
        <w:rPr>
          <w:rFonts w:hint="eastAsia"/>
          <w:b/>
          <w:bCs/>
          <w:rtl/>
        </w:rPr>
        <w:t>ול</w:t>
      </w:r>
      <w:r w:rsidRPr="00DC3374">
        <w:rPr>
          <w:rFonts w:hint="cs"/>
          <w:b/>
          <w:bCs/>
          <w:rtl/>
        </w:rPr>
        <w:t xml:space="preserve">שש המשרות המאוישות בתקן המשרד, ובהן </w:t>
      </w:r>
      <w:r w:rsidRPr="00DC3374">
        <w:rPr>
          <w:b/>
          <w:bCs/>
          <w:rtl/>
        </w:rPr>
        <w:t>עוסקים בימי שגרה בתחום הדוברות ובהסברה, נוס</w:t>
      </w:r>
      <w:r w:rsidRPr="00DC3374">
        <w:rPr>
          <w:rFonts w:hint="cs"/>
          <w:b/>
          <w:bCs/>
          <w:rtl/>
        </w:rPr>
        <w:t>ף כוח אדם באמצעות רכישת שירותי ייעוץ</w:t>
      </w:r>
      <w:r w:rsidRPr="00DC3374">
        <w:rPr>
          <w:b/>
          <w:bCs/>
          <w:rtl/>
        </w:rPr>
        <w:t xml:space="preserve">, בייחוד לצורך הסברה לקהלי יעד </w:t>
      </w:r>
      <w:r w:rsidRPr="00DC3374">
        <w:rPr>
          <w:rFonts w:hint="eastAsia"/>
          <w:b/>
          <w:bCs/>
          <w:rtl/>
        </w:rPr>
        <w:t>ייחודיים</w:t>
      </w:r>
      <w:r w:rsidRPr="00DC3374">
        <w:rPr>
          <w:b/>
          <w:bCs/>
          <w:rtl/>
        </w:rPr>
        <w:t>.</w:t>
      </w:r>
      <w:r w:rsidRPr="00DC3374">
        <w:rPr>
          <w:rFonts w:hint="cs"/>
          <w:rtl/>
        </w:rPr>
        <w:t xml:space="preserve"> </w:t>
      </w:r>
      <w:r w:rsidRPr="00DC3374">
        <w:rPr>
          <w:rFonts w:hint="eastAsia"/>
          <w:b/>
          <w:bCs/>
          <w:rtl/>
        </w:rPr>
        <w:t>המכרז</w:t>
      </w:r>
      <w:r w:rsidRPr="00DC3374">
        <w:rPr>
          <w:b/>
          <w:bCs/>
          <w:rtl/>
        </w:rPr>
        <w:t xml:space="preserve"> המוצג בתרשים, ל</w:t>
      </w:r>
      <w:r w:rsidRPr="00DC3374">
        <w:rPr>
          <w:rFonts w:hint="cs"/>
          <w:b/>
          <w:bCs/>
          <w:rtl/>
        </w:rPr>
        <w:t xml:space="preserve">צורך </w:t>
      </w:r>
      <w:r w:rsidRPr="00DC3374">
        <w:rPr>
          <w:b/>
          <w:bCs/>
          <w:rtl/>
        </w:rPr>
        <w:t xml:space="preserve">הקמת </w:t>
      </w:r>
      <w:r w:rsidRPr="00DC3374">
        <w:rPr>
          <w:rFonts w:hint="cs"/>
          <w:b/>
          <w:bCs/>
          <w:rtl/>
        </w:rPr>
        <w:t xml:space="preserve">מערך דוברות והסברה להתמודדות עם נגיף הקורונה, שתקציב חלק א' שבו - כ-10 מיליון ש"ח, </w:t>
      </w:r>
      <w:r w:rsidRPr="00DC3374">
        <w:rPr>
          <w:rFonts w:hint="eastAsia"/>
          <w:b/>
          <w:bCs/>
          <w:rtl/>
        </w:rPr>
        <w:t>אושר</w:t>
      </w:r>
      <w:r w:rsidRPr="00DC3374">
        <w:rPr>
          <w:rFonts w:hint="cs"/>
          <w:b/>
          <w:bCs/>
          <w:rtl/>
        </w:rPr>
        <w:t>,</w:t>
      </w:r>
      <w:r w:rsidRPr="00DC3374">
        <w:rPr>
          <w:b/>
          <w:bCs/>
          <w:rtl/>
        </w:rPr>
        <w:t xml:space="preserve"> </w:t>
      </w:r>
      <w:r w:rsidRPr="00DC3374">
        <w:rPr>
          <w:rFonts w:hint="cs"/>
          <w:b/>
          <w:bCs/>
          <w:rtl/>
        </w:rPr>
        <w:t>ובמועד סיום הביקורת טרם הסתיים, נועד להוסיף לאגף מערך הסברה מקצועי ומלא, אשר יפעל באופן ייעודי לצורך התמודדות עם משבר הקורונה, לרבות הסברה לקהלי יעד ייחודיים.</w:t>
      </w:r>
    </w:p>
    <w:p w:rsidR="006C1EA1" w:rsidRPr="00DC3374" w:rsidP="00E81188" w14:paraId="36D0FE8E" w14:textId="1C500B1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AC25F43" w14:textId="77777777">
      <w:pPr>
        <w:spacing w:line="269" w:lineRule="auto"/>
        <w:ind w:left="312"/>
        <w:contextualSpacing/>
        <w:rPr>
          <w:rtl/>
        </w:rPr>
      </w:pPr>
      <w:r w:rsidRPr="00DC3374">
        <w:rPr>
          <w:rFonts w:hint="cs"/>
          <w:rtl/>
        </w:rPr>
        <w:t xml:space="preserve">להלן תרשים המציג את ההוצאה של משרד הבריאות על ההסברה והמידע לציבור ותגבורה לנוכח משבר הקורונה - לשנת 2020, בהשוואה להוצאה בשגרה - לשנת 2019. </w:t>
      </w:r>
    </w:p>
    <w:p w:rsidR="006C1EA1" w:rsidRPr="00DC3374" w:rsidP="00E81188" w14:paraId="5DCD4EC0" w14:textId="31B52FE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28530B8B" w14:textId="77777777">
      <w:pPr>
        <w:spacing w:line="269" w:lineRule="auto"/>
        <w:ind w:left="312"/>
        <w:contextualSpacing/>
        <w:jc w:val="center"/>
        <w:rPr>
          <w:b/>
          <w:bCs/>
          <w:rtl/>
        </w:rPr>
      </w:pPr>
      <w:r w:rsidRPr="00DC3374">
        <w:rPr>
          <w:rFonts w:hint="cs"/>
          <w:b/>
          <w:bCs/>
          <w:rtl/>
        </w:rPr>
        <w:t>תרשים 34: ההוצאה על ההסברה והמידע לציבור במשרד הבריאות</w:t>
      </w:r>
      <w:r w:rsidRPr="00DC3374">
        <w:rPr>
          <w:b/>
          <w:bCs/>
          <w:rtl/>
        </w:rPr>
        <w:t xml:space="preserve"> </w:t>
      </w:r>
    </w:p>
    <w:p w:rsidR="006C1EA1" w:rsidRPr="00DC3374" w:rsidP="00E81188" w14:paraId="14EEADA3" w14:textId="77777777">
      <w:pPr>
        <w:spacing w:line="269" w:lineRule="auto"/>
        <w:ind w:left="312"/>
        <w:contextualSpacing/>
        <w:jc w:val="center"/>
        <w:rPr>
          <w:b/>
          <w:bCs/>
          <w:rtl/>
        </w:rPr>
      </w:pPr>
      <w:r w:rsidRPr="00DC3374">
        <w:rPr>
          <w:b/>
          <w:bCs/>
          <w:rtl/>
        </w:rPr>
        <w:t>(במיליון ש"ח, מעוגל)</w:t>
      </w:r>
      <w:r w:rsidRPr="00DC3374">
        <w:rPr>
          <w:rFonts w:hint="cs"/>
          <w:b/>
          <w:bCs/>
          <w:rtl/>
        </w:rPr>
        <w:t>, 2019, 2020*</w:t>
      </w:r>
    </w:p>
    <w:p w:rsidR="006C1EA1" w:rsidRPr="00DC3374" w:rsidP="00E81188" w14:paraId="23880D66" w14:textId="77777777">
      <w:pPr>
        <w:spacing w:line="269" w:lineRule="auto"/>
        <w:ind w:left="312"/>
        <w:contextualSpacing/>
        <w:jc w:val="center"/>
        <w:rPr>
          <w:b/>
          <w:bCs/>
          <w:rtl/>
        </w:rPr>
      </w:pPr>
      <w:r w:rsidRPr="00DC3374">
        <w:rPr>
          <w:noProof/>
        </w:rPr>
        <w:drawing>
          <wp:inline distT="0" distB="0" distL="0" distR="0">
            <wp:extent cx="5048250" cy="3588267"/>
            <wp:effectExtent l="19050" t="19050" r="19050" b="12700"/>
            <wp:docPr id="1743882416" name="תמונה 1743882416" descr="C:\Users\michal_re\AppData\Local\Microsoft\Windows\INetCache\Content.Word\MR-Tarshim-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36412" name="Picture 21" descr="C:\Users\michal_re\AppData\Local\Microsoft\Windows\INetCache\Content.Word\MR-Tarshim-34.jpg"/>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56083" cy="3593835"/>
                    </a:xfrm>
                    <a:prstGeom prst="rect">
                      <a:avLst/>
                    </a:prstGeom>
                    <a:noFill/>
                    <a:ln w="3175">
                      <a:solidFill>
                        <a:schemeClr val="bg1">
                          <a:lumMod val="75000"/>
                        </a:schemeClr>
                      </a:solidFill>
                    </a:ln>
                  </pic:spPr>
                </pic:pic>
              </a:graphicData>
            </a:graphic>
          </wp:inline>
        </w:drawing>
      </w:r>
    </w:p>
    <w:p w:rsidR="006C1EA1" w:rsidRPr="00DC3374" w:rsidP="00E81188" w14:paraId="3576CAF6" w14:textId="77777777">
      <w:pPr>
        <w:spacing w:line="269" w:lineRule="auto"/>
        <w:ind w:left="312"/>
        <w:contextualSpacing/>
        <w:rPr>
          <w:szCs w:val="20"/>
          <w:rtl/>
        </w:rPr>
      </w:pPr>
      <w:r w:rsidRPr="00DC3374">
        <w:rPr>
          <w:rFonts w:hint="cs"/>
          <w:szCs w:val="20"/>
          <w:rtl/>
        </w:rPr>
        <w:t>על פי נתוני משרד הבריאות, בעיבוד משרד מבקר המדינה.</w:t>
      </w:r>
    </w:p>
    <w:p w:rsidR="006C1EA1" w:rsidRPr="00DC3374" w:rsidP="00E81188" w14:paraId="29550F18" w14:textId="77777777">
      <w:pPr>
        <w:spacing w:line="269" w:lineRule="auto"/>
        <w:ind w:left="312"/>
        <w:contextualSpacing/>
        <w:rPr>
          <w:szCs w:val="20"/>
          <w:rtl/>
        </w:rPr>
      </w:pPr>
      <w:r w:rsidRPr="00DC3374">
        <w:rPr>
          <w:rFonts w:hint="cs"/>
          <w:szCs w:val="20"/>
          <w:rtl/>
        </w:rPr>
        <w:t xml:space="preserve">* נתוני התקציב של מכרז הקמת מערך הדוברות וההסברה הם נתוני תקציב מאושר ולא נתוני הוצאה (ביצוע תקציב), והם מתייחסים לשלב א' של המכרז בלבד. </w:t>
      </w:r>
    </w:p>
    <w:p w:rsidR="006C1EA1" w:rsidRPr="00DC3374" w:rsidP="00E81188" w14:paraId="3F30C963" w14:textId="5AAED53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4DAAA13F" w14:textId="77777777">
      <w:pPr>
        <w:spacing w:line="269" w:lineRule="auto"/>
        <w:ind w:left="312"/>
        <w:contextualSpacing/>
        <w:rPr>
          <w:rtl/>
        </w:rPr>
      </w:pPr>
      <w:r w:rsidRPr="00DC3374">
        <w:rPr>
          <w:b/>
          <w:bCs/>
          <w:rtl/>
        </w:rPr>
        <w:t xml:space="preserve">עולה אפוא כי </w:t>
      </w:r>
      <w:r w:rsidRPr="00DC3374">
        <w:rPr>
          <w:rFonts w:hint="eastAsia"/>
          <w:b/>
          <w:bCs/>
          <w:rtl/>
        </w:rPr>
        <w:t>בעקבות</w:t>
      </w:r>
      <w:r w:rsidRPr="00DC3374">
        <w:rPr>
          <w:b/>
          <w:bCs/>
          <w:rtl/>
        </w:rPr>
        <w:t xml:space="preserve"> ההחלטה מפברואר 2020 שלפיה משרד הבריאות יוביל את ההסברה במשבר הקורונה, </w:t>
      </w:r>
      <w:r w:rsidRPr="00DC3374">
        <w:rPr>
          <w:rFonts w:hint="eastAsia"/>
          <w:b/>
          <w:bCs/>
          <w:rtl/>
        </w:rPr>
        <w:t>ההוצאה</w:t>
      </w:r>
      <w:r w:rsidRPr="00DC3374">
        <w:rPr>
          <w:b/>
          <w:bCs/>
          <w:rtl/>
        </w:rPr>
        <w:t xml:space="preserve"> </w:t>
      </w:r>
      <w:r w:rsidRPr="00DC3374">
        <w:rPr>
          <w:rFonts w:hint="eastAsia"/>
          <w:b/>
          <w:bCs/>
          <w:rtl/>
        </w:rPr>
        <w:t>של</w:t>
      </w:r>
      <w:r w:rsidRPr="00DC3374">
        <w:rPr>
          <w:b/>
          <w:bCs/>
          <w:rtl/>
        </w:rPr>
        <w:t xml:space="preserve"> </w:t>
      </w:r>
      <w:r w:rsidRPr="00DC3374">
        <w:rPr>
          <w:rFonts w:hint="eastAsia"/>
          <w:b/>
          <w:bCs/>
          <w:rtl/>
        </w:rPr>
        <w:t>משרד</w:t>
      </w:r>
      <w:r w:rsidRPr="00DC3374">
        <w:rPr>
          <w:b/>
          <w:bCs/>
          <w:rtl/>
        </w:rPr>
        <w:t xml:space="preserve"> </w:t>
      </w:r>
      <w:r w:rsidRPr="00DC3374">
        <w:rPr>
          <w:rFonts w:hint="eastAsia"/>
          <w:b/>
          <w:bCs/>
          <w:rtl/>
        </w:rPr>
        <w:t>הבריאות</w:t>
      </w:r>
      <w:r w:rsidRPr="00DC3374">
        <w:rPr>
          <w:b/>
          <w:bCs/>
          <w:rtl/>
        </w:rPr>
        <w:t xml:space="preserve"> </w:t>
      </w:r>
      <w:r w:rsidRPr="00DC3374">
        <w:rPr>
          <w:rFonts w:hint="eastAsia"/>
          <w:b/>
          <w:bCs/>
          <w:rtl/>
        </w:rPr>
        <w:t>על</w:t>
      </w:r>
      <w:r w:rsidRPr="00DC3374">
        <w:rPr>
          <w:b/>
          <w:bCs/>
          <w:rtl/>
        </w:rPr>
        <w:t xml:space="preserve"> </w:t>
      </w:r>
      <w:r w:rsidRPr="00DC3374">
        <w:rPr>
          <w:rFonts w:hint="eastAsia"/>
          <w:b/>
          <w:bCs/>
          <w:rtl/>
        </w:rPr>
        <w:t>דוברות</w:t>
      </w:r>
      <w:r w:rsidRPr="00DC3374">
        <w:rPr>
          <w:rFonts w:hint="cs"/>
          <w:b/>
          <w:bCs/>
          <w:rtl/>
        </w:rPr>
        <w:t xml:space="preserve">, </w:t>
      </w:r>
      <w:r w:rsidRPr="00DC3374">
        <w:rPr>
          <w:rFonts w:hint="eastAsia"/>
          <w:b/>
          <w:bCs/>
          <w:rtl/>
        </w:rPr>
        <w:t>הסברה</w:t>
      </w:r>
      <w:r w:rsidRPr="00DC3374">
        <w:rPr>
          <w:rFonts w:hint="cs"/>
          <w:b/>
          <w:bCs/>
          <w:rtl/>
        </w:rPr>
        <w:t xml:space="preserve"> ומסירת מידע לציבור</w:t>
      </w:r>
      <w:r w:rsidRPr="00DC3374">
        <w:rPr>
          <w:b/>
          <w:bCs/>
          <w:rtl/>
        </w:rPr>
        <w:t xml:space="preserve"> </w:t>
      </w:r>
      <w:r w:rsidRPr="00DC3374">
        <w:rPr>
          <w:rFonts w:hint="eastAsia"/>
          <w:b/>
          <w:bCs/>
          <w:rtl/>
        </w:rPr>
        <w:t>בשנים</w:t>
      </w:r>
      <w:r w:rsidRPr="00DC3374">
        <w:rPr>
          <w:b/>
          <w:bCs/>
          <w:rtl/>
        </w:rPr>
        <w:t xml:space="preserve"> 2019 </w:t>
      </w:r>
      <w:r w:rsidRPr="00DC3374">
        <w:rPr>
          <w:rFonts w:hint="eastAsia"/>
          <w:b/>
          <w:bCs/>
          <w:rtl/>
        </w:rPr>
        <w:t>ו</w:t>
      </w:r>
      <w:r w:rsidRPr="00DC3374">
        <w:rPr>
          <w:b/>
          <w:bCs/>
          <w:rtl/>
        </w:rPr>
        <w:t xml:space="preserve">-2020 </w:t>
      </w:r>
      <w:r w:rsidRPr="00DC3374">
        <w:rPr>
          <w:rFonts w:hint="eastAsia"/>
          <w:b/>
          <w:bCs/>
          <w:rtl/>
        </w:rPr>
        <w:t>הייתה</w:t>
      </w:r>
      <w:r w:rsidRPr="00DC3374">
        <w:rPr>
          <w:b/>
          <w:bCs/>
          <w:rtl/>
        </w:rPr>
        <w:t xml:space="preserve"> 33 </w:t>
      </w:r>
      <w:r w:rsidRPr="00DC3374">
        <w:rPr>
          <w:rFonts w:hint="eastAsia"/>
          <w:b/>
          <w:bCs/>
          <w:rtl/>
        </w:rPr>
        <w:t>מיליון</w:t>
      </w:r>
      <w:r w:rsidRPr="00DC3374">
        <w:rPr>
          <w:b/>
          <w:bCs/>
          <w:rtl/>
        </w:rPr>
        <w:t xml:space="preserve"> </w:t>
      </w:r>
      <w:r w:rsidRPr="00DC3374">
        <w:rPr>
          <w:rFonts w:hint="eastAsia"/>
          <w:b/>
          <w:bCs/>
          <w:rtl/>
        </w:rPr>
        <w:t>ש</w:t>
      </w:r>
      <w:r w:rsidRPr="00DC3374">
        <w:rPr>
          <w:b/>
          <w:bCs/>
          <w:rtl/>
        </w:rPr>
        <w:t xml:space="preserve">"ח </w:t>
      </w:r>
      <w:r w:rsidRPr="00DC3374">
        <w:rPr>
          <w:rFonts w:hint="eastAsia"/>
          <w:b/>
          <w:bCs/>
          <w:rtl/>
        </w:rPr>
        <w:t>ו</w:t>
      </w:r>
      <w:r w:rsidRPr="00DC3374">
        <w:rPr>
          <w:b/>
          <w:bCs/>
          <w:rtl/>
        </w:rPr>
        <w:t xml:space="preserve">-240 </w:t>
      </w:r>
      <w:r w:rsidRPr="00DC3374">
        <w:rPr>
          <w:rFonts w:hint="eastAsia"/>
          <w:b/>
          <w:bCs/>
          <w:rtl/>
        </w:rPr>
        <w:t>מיליון</w:t>
      </w:r>
      <w:r w:rsidRPr="00DC3374">
        <w:rPr>
          <w:b/>
          <w:bCs/>
          <w:rtl/>
        </w:rPr>
        <w:t xml:space="preserve"> </w:t>
      </w:r>
      <w:r w:rsidRPr="00DC3374">
        <w:rPr>
          <w:rFonts w:hint="eastAsia"/>
          <w:b/>
          <w:bCs/>
          <w:rtl/>
        </w:rPr>
        <w:t>ש</w:t>
      </w:r>
      <w:r w:rsidRPr="00DC3374">
        <w:rPr>
          <w:b/>
          <w:bCs/>
          <w:rtl/>
        </w:rPr>
        <w:t xml:space="preserve">"ח, </w:t>
      </w:r>
      <w:r w:rsidRPr="00DC3374">
        <w:rPr>
          <w:rFonts w:hint="eastAsia"/>
          <w:b/>
          <w:bCs/>
          <w:rtl/>
        </w:rPr>
        <w:t>בהתאמה</w:t>
      </w:r>
      <w:r>
        <w:rPr>
          <w:rStyle w:val="FootnoteReference1"/>
          <w:b/>
          <w:bCs/>
          <w:rtl/>
        </w:rPr>
        <w:footnoteReference w:id="44"/>
      </w:r>
      <w:r w:rsidRPr="00DC3374">
        <w:rPr>
          <w:b/>
          <w:bCs/>
          <w:rtl/>
        </w:rPr>
        <w:t xml:space="preserve">. הוצאות משרד הבריאות לצורך הזה </w:t>
      </w:r>
      <w:r w:rsidRPr="00DC3374">
        <w:rPr>
          <w:rFonts w:hint="cs"/>
          <w:b/>
          <w:bCs/>
          <w:rtl/>
        </w:rPr>
        <w:t>לנוכח</w:t>
      </w:r>
      <w:r w:rsidRPr="00DC3374">
        <w:rPr>
          <w:b/>
          <w:bCs/>
          <w:rtl/>
        </w:rPr>
        <w:t xml:space="preserve"> משבר הקורונה עלו אפוא פי שבעה. </w:t>
      </w:r>
      <w:r w:rsidRPr="00DC3374">
        <w:rPr>
          <w:rFonts w:hint="eastAsia"/>
          <w:b/>
          <w:bCs/>
          <w:rtl/>
        </w:rPr>
        <w:t>רוב</w:t>
      </w:r>
      <w:r w:rsidRPr="00DC3374">
        <w:rPr>
          <w:b/>
          <w:bCs/>
          <w:rtl/>
        </w:rPr>
        <w:t xml:space="preserve"> הוצאות משרד הבריאות על תגבור מערך ההסברה והמידע לציבור במשבר הקורונה </w:t>
      </w:r>
      <w:r w:rsidRPr="00DC3374">
        <w:rPr>
          <w:rFonts w:hint="eastAsia"/>
          <w:b/>
          <w:bCs/>
          <w:rtl/>
        </w:rPr>
        <w:t>שימשו</w:t>
      </w:r>
      <w:r w:rsidRPr="00DC3374">
        <w:rPr>
          <w:b/>
          <w:bCs/>
          <w:rtl/>
        </w:rPr>
        <w:t xml:space="preserve"> </w:t>
      </w:r>
      <w:r w:rsidRPr="00DC3374">
        <w:rPr>
          <w:rFonts w:hint="eastAsia"/>
          <w:b/>
          <w:bCs/>
          <w:rtl/>
        </w:rPr>
        <w:t>להפקה</w:t>
      </w:r>
      <w:r w:rsidRPr="00DC3374">
        <w:rPr>
          <w:b/>
          <w:bCs/>
          <w:rtl/>
        </w:rPr>
        <w:t xml:space="preserve"> </w:t>
      </w:r>
      <w:r w:rsidRPr="00DC3374">
        <w:rPr>
          <w:rFonts w:hint="eastAsia"/>
          <w:b/>
          <w:bCs/>
          <w:rtl/>
        </w:rPr>
        <w:t>והפצה</w:t>
      </w:r>
      <w:r w:rsidRPr="00DC3374">
        <w:rPr>
          <w:b/>
          <w:bCs/>
          <w:rtl/>
        </w:rPr>
        <w:t xml:space="preserve"> </w:t>
      </w:r>
      <w:r w:rsidRPr="00DC3374">
        <w:rPr>
          <w:rFonts w:hint="eastAsia"/>
          <w:b/>
          <w:bCs/>
          <w:rtl/>
        </w:rPr>
        <w:t>של</w:t>
      </w:r>
      <w:r w:rsidRPr="00DC3374">
        <w:rPr>
          <w:b/>
          <w:bCs/>
          <w:rtl/>
        </w:rPr>
        <w:t xml:space="preserve"> </w:t>
      </w:r>
      <w:r w:rsidRPr="00DC3374">
        <w:rPr>
          <w:rFonts w:hint="cs"/>
          <w:b/>
          <w:bCs/>
          <w:rtl/>
        </w:rPr>
        <w:t>מסעות פרסום</w:t>
      </w:r>
      <w:r w:rsidRPr="00DC3374">
        <w:rPr>
          <w:b/>
          <w:bCs/>
          <w:rtl/>
        </w:rPr>
        <w:t xml:space="preserve"> (122 מיליון ש"ח, 51%).</w:t>
      </w:r>
      <w:r w:rsidRPr="00DC3374">
        <w:rPr>
          <w:rtl/>
        </w:rPr>
        <w:t xml:space="preserve"> </w:t>
      </w:r>
      <w:r w:rsidRPr="00DC3374">
        <w:rPr>
          <w:rFonts w:hint="eastAsia"/>
          <w:b/>
          <w:bCs/>
          <w:rtl/>
        </w:rPr>
        <w:t>כמו</w:t>
      </w:r>
      <w:r w:rsidRPr="00DC3374">
        <w:rPr>
          <w:b/>
          <w:bCs/>
          <w:rtl/>
        </w:rPr>
        <w:t xml:space="preserve"> כן </w:t>
      </w:r>
      <w:r w:rsidRPr="00DC3374">
        <w:rPr>
          <w:rFonts w:hint="eastAsia"/>
          <w:b/>
          <w:bCs/>
          <w:rtl/>
        </w:rPr>
        <w:t>ההוצאה</w:t>
      </w:r>
      <w:r w:rsidRPr="00DC3374">
        <w:rPr>
          <w:b/>
          <w:bCs/>
          <w:rtl/>
        </w:rPr>
        <w:t xml:space="preserve"> על </w:t>
      </w:r>
      <w:r w:rsidRPr="00DC3374">
        <w:rPr>
          <w:rFonts w:hint="eastAsia"/>
          <w:b/>
          <w:bCs/>
          <w:rtl/>
        </w:rPr>
        <w:t>הפעלת</w:t>
      </w:r>
      <w:r w:rsidRPr="00DC3374">
        <w:rPr>
          <w:b/>
          <w:bCs/>
          <w:rtl/>
        </w:rPr>
        <w:t xml:space="preserve"> </w:t>
      </w:r>
      <w:r w:rsidRPr="00DC3374">
        <w:rPr>
          <w:rFonts w:hint="eastAsia"/>
          <w:b/>
          <w:bCs/>
          <w:rtl/>
        </w:rPr>
        <w:t>מוקד</w:t>
      </w:r>
      <w:r w:rsidRPr="00DC3374">
        <w:rPr>
          <w:b/>
          <w:bCs/>
          <w:rtl/>
        </w:rPr>
        <w:t xml:space="preserve"> </w:t>
      </w:r>
      <w:r w:rsidRPr="00DC3374">
        <w:rPr>
          <w:rFonts w:hint="eastAsia"/>
          <w:b/>
          <w:bCs/>
          <w:rtl/>
        </w:rPr>
        <w:t>המידע</w:t>
      </w:r>
      <w:r w:rsidRPr="00DC3374">
        <w:rPr>
          <w:b/>
          <w:bCs/>
          <w:rtl/>
        </w:rPr>
        <w:t xml:space="preserve"> </w:t>
      </w:r>
      <w:r w:rsidRPr="00DC3374">
        <w:rPr>
          <w:rFonts w:hint="eastAsia"/>
          <w:b/>
          <w:bCs/>
          <w:rtl/>
        </w:rPr>
        <w:t>הטלפוני</w:t>
      </w:r>
      <w:r w:rsidRPr="00DC3374">
        <w:rPr>
          <w:b/>
          <w:bCs/>
          <w:rtl/>
        </w:rPr>
        <w:t xml:space="preserve"> "קול </w:t>
      </w:r>
      <w:r w:rsidRPr="00DC3374">
        <w:rPr>
          <w:rFonts w:hint="eastAsia"/>
          <w:b/>
          <w:bCs/>
          <w:rtl/>
        </w:rPr>
        <w:t>הבריאות</w:t>
      </w:r>
      <w:r w:rsidRPr="00DC3374">
        <w:rPr>
          <w:b/>
          <w:bCs/>
          <w:rtl/>
        </w:rPr>
        <w:t xml:space="preserve">" בשנת 2020 </w:t>
      </w:r>
      <w:r w:rsidRPr="00DC3374">
        <w:rPr>
          <w:rFonts w:hint="eastAsia"/>
          <w:b/>
          <w:bCs/>
          <w:rtl/>
        </w:rPr>
        <w:t>הייתה</w:t>
      </w:r>
      <w:r w:rsidRPr="00DC3374">
        <w:rPr>
          <w:b/>
          <w:bCs/>
          <w:rtl/>
        </w:rPr>
        <w:t xml:space="preserve"> </w:t>
      </w:r>
      <w:r w:rsidRPr="00DC3374">
        <w:rPr>
          <w:rFonts w:hint="eastAsia"/>
          <w:b/>
          <w:bCs/>
          <w:rtl/>
        </w:rPr>
        <w:t>גבוהה</w:t>
      </w:r>
      <w:r w:rsidRPr="00DC3374">
        <w:rPr>
          <w:b/>
          <w:bCs/>
          <w:rtl/>
        </w:rPr>
        <w:t xml:space="preserve"> </w:t>
      </w:r>
      <w:r w:rsidRPr="00DC3374">
        <w:rPr>
          <w:rFonts w:hint="eastAsia"/>
          <w:b/>
          <w:bCs/>
          <w:rtl/>
        </w:rPr>
        <w:t>פי</w:t>
      </w:r>
      <w:r w:rsidRPr="00DC3374">
        <w:rPr>
          <w:b/>
          <w:bCs/>
          <w:rtl/>
        </w:rPr>
        <w:t xml:space="preserve"> </w:t>
      </w:r>
      <w:r w:rsidRPr="00DC3374">
        <w:rPr>
          <w:rFonts w:hint="eastAsia"/>
          <w:b/>
          <w:bCs/>
          <w:rtl/>
        </w:rPr>
        <w:t>חמישה</w:t>
      </w:r>
      <w:r w:rsidRPr="00DC3374">
        <w:rPr>
          <w:b/>
          <w:bCs/>
          <w:rtl/>
        </w:rPr>
        <w:t xml:space="preserve"> </w:t>
      </w:r>
      <w:r w:rsidRPr="00DC3374">
        <w:rPr>
          <w:rFonts w:hint="eastAsia"/>
          <w:b/>
          <w:bCs/>
          <w:rtl/>
        </w:rPr>
        <w:t>ב</w:t>
      </w:r>
      <w:r w:rsidRPr="00DC3374">
        <w:rPr>
          <w:rFonts w:hint="cs"/>
          <w:b/>
          <w:bCs/>
          <w:rtl/>
        </w:rPr>
        <w:t>השוואה</w:t>
      </w:r>
      <w:r w:rsidRPr="00DC3374">
        <w:rPr>
          <w:b/>
          <w:bCs/>
          <w:rtl/>
        </w:rPr>
        <w:t xml:space="preserve"> </w:t>
      </w:r>
      <w:r w:rsidRPr="00DC3374">
        <w:rPr>
          <w:rFonts w:hint="eastAsia"/>
          <w:b/>
          <w:bCs/>
          <w:rtl/>
        </w:rPr>
        <w:t>להוצאה</w:t>
      </w:r>
      <w:r w:rsidRPr="00DC3374">
        <w:rPr>
          <w:b/>
          <w:bCs/>
          <w:rtl/>
        </w:rPr>
        <w:t xml:space="preserve"> </w:t>
      </w:r>
      <w:r w:rsidRPr="00DC3374">
        <w:rPr>
          <w:rFonts w:hint="eastAsia"/>
          <w:b/>
          <w:bCs/>
          <w:rtl/>
        </w:rPr>
        <w:t>השנתית</w:t>
      </w:r>
      <w:r w:rsidRPr="00DC3374">
        <w:rPr>
          <w:b/>
          <w:bCs/>
          <w:rtl/>
        </w:rPr>
        <w:t xml:space="preserve"> </w:t>
      </w:r>
      <w:r w:rsidRPr="00DC3374">
        <w:rPr>
          <w:rFonts w:hint="eastAsia"/>
          <w:b/>
          <w:bCs/>
          <w:rtl/>
        </w:rPr>
        <w:t>בשגרה</w:t>
      </w:r>
      <w:r w:rsidRPr="00DC3374">
        <w:rPr>
          <w:b/>
          <w:bCs/>
          <w:rtl/>
        </w:rPr>
        <w:t>.</w:t>
      </w:r>
      <w:r w:rsidRPr="00DC3374">
        <w:rPr>
          <w:rtl/>
        </w:rPr>
        <w:t xml:space="preserve"> </w:t>
      </w:r>
    </w:p>
    <w:p w:rsidR="006C1EA1" w:rsidRPr="00DC3374" w:rsidP="00E81188" w14:paraId="25F8D644" w14:textId="7900493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640A327" w14:textId="77777777">
      <w:pPr>
        <w:spacing w:line="269" w:lineRule="auto"/>
        <w:ind w:left="312"/>
        <w:rPr>
          <w:rtl/>
        </w:rPr>
      </w:pPr>
      <w:r w:rsidRPr="00DC3374">
        <w:rPr>
          <w:rFonts w:hint="cs"/>
          <w:rtl/>
        </w:rPr>
        <w:t xml:space="preserve">באמצעות משאבי ההסברה המתוארים לעיל ביצע מערך ההסברה במשרד הבריאות פעולות הסברה רבות בנושא נגיף הקורונה. בין היתר, הפיק המשרד עד סוף אוקטובר 2020 באמצעות </w:t>
      </w:r>
      <w:r w:rsidRPr="00DC3374">
        <w:rPr>
          <w:rFonts w:hint="cs"/>
          <w:rtl/>
        </w:rPr>
        <w:t xml:space="preserve">לפ"ם 47 מסעות פרסום, לכלל האוכלוסייה ולקהלי יעד ייחודיים, וגם הפיץ מסרים באמצעות ספקי שירות המתמחים בהסברה לקהלי יעד ייחודיים. כמו כן בחן המשרד את אפקטיביות ההסברה ב-26 סקרים שערך באמצעות לפ"ם. המשרד השתמש באמצעי הסברה מגוונים, תוך התאמתם לאוכלוסיות השונות במדינת ישראל, ובהם: כלי התקשורת - הכתובה, המשודרת והדיגיטלית; שילוט חוצות; הודעות באמצעות מערכת כריזה; שליחת הודעות קוליות לטלפון הנייד; והסתייעות בידוענים ובמובילי דעת קהל. נוסף על כך פעל המשרד להעברת מידע שוטף לציבור באמצעות מוקד "קול הבריאות"; פורטל האינטרנט המשרדי; פיתוח טכנולוגיות דיגיטליות, כגון אמצעי מענה המבוססים על </w:t>
      </w:r>
      <w:r w:rsidRPr="00DC3374">
        <w:rPr>
          <w:rtl/>
        </w:rPr>
        <w:t xml:space="preserve">בינה מלאכותית ("צ'אט בוט") </w:t>
      </w:r>
      <w:r w:rsidRPr="00DC3374">
        <w:rPr>
          <w:rFonts w:hint="cs"/>
          <w:rtl/>
        </w:rPr>
        <w:t xml:space="preserve">וטפסים מקוונים; וחשבונות ייעודיים שהקים והפעיל ברשתות החברתיות. </w:t>
      </w:r>
    </w:p>
    <w:p w:rsidR="006C1EA1" w:rsidRPr="00DC3374" w:rsidP="00E81188" w14:paraId="08BFEEB5" w14:textId="57F780F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46353992" w14:textId="77777777">
      <w:pPr>
        <w:spacing w:line="269" w:lineRule="auto"/>
        <w:rPr>
          <w:b/>
          <w:bCs/>
          <w:rtl/>
        </w:rPr>
      </w:pPr>
      <w:r w:rsidRPr="00DC3374">
        <w:rPr>
          <w:rFonts w:hint="cs"/>
          <w:b/>
          <w:bCs/>
          <w:rtl/>
        </w:rPr>
        <w:t xml:space="preserve">מן האמור עולה כי עם פרוץ משבר הקורונה, כאשר הוטלה על משרד הבריאות האחריות להובלת ההסברה ומתן המידע לציבור, התשתית הארגונית והמומחיות המקצועית שעמדו לרשות המשרד בתחום ההסברה לא התאימו להיקפה ומורכבותה של המשימה, בין היתר בתחום הטיפול בהסברה לקבוצות שונות באוכלוסייה. בעקבות ההחלטה בעניין הובלת ההסברה פעל משרד הבריאות במהירות להקמת מערך ארגוני ותפקודי אחר, תוך הרחבה ניכרת של המסגרת הארגונית הקיימת ותוך השקעת 240 מיליון ש"ח, בייחוד למימון שירותי ייעוץ, מסעות פרסום ותגבור פעילות המוקד הטלפוני. </w:t>
      </w:r>
    </w:p>
    <w:p w:rsidR="006C1EA1" w:rsidRPr="00DC3374" w:rsidP="00E81188" w14:paraId="02EE6923" w14:textId="607FDBB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F44280E" w14:textId="77777777">
      <w:pPr>
        <w:spacing w:line="269" w:lineRule="auto"/>
        <w:contextualSpacing/>
        <w:rPr>
          <w:rtl/>
        </w:rPr>
      </w:pPr>
      <w:r w:rsidRPr="00DC3374">
        <w:rPr>
          <w:rFonts w:hint="eastAsia"/>
          <w:rtl/>
        </w:rPr>
        <w:t>עוד</w:t>
      </w:r>
      <w:r w:rsidRPr="00DC3374">
        <w:rPr>
          <w:rtl/>
        </w:rPr>
        <w:t xml:space="preserve"> עלה כי </w:t>
      </w:r>
      <w:r w:rsidRPr="00DC3374">
        <w:rPr>
          <w:rFonts w:hint="eastAsia"/>
          <w:rtl/>
        </w:rPr>
        <w:t>המכרז</w:t>
      </w:r>
      <w:r w:rsidRPr="00DC3374">
        <w:rPr>
          <w:rtl/>
        </w:rPr>
        <w:t xml:space="preserve"> להקמת מערך </w:t>
      </w:r>
      <w:r w:rsidRPr="00DC3374">
        <w:rPr>
          <w:rFonts w:hint="eastAsia"/>
          <w:rtl/>
        </w:rPr>
        <w:t>ההסברה</w:t>
      </w:r>
      <w:r w:rsidRPr="00DC3374">
        <w:rPr>
          <w:rtl/>
        </w:rPr>
        <w:t xml:space="preserve"> </w:t>
      </w:r>
      <w:r w:rsidRPr="00DC3374">
        <w:rPr>
          <w:rFonts w:hint="eastAsia"/>
          <w:rtl/>
        </w:rPr>
        <w:t>בקורונה</w:t>
      </w:r>
      <w:r w:rsidRPr="00DC3374">
        <w:rPr>
          <w:rtl/>
        </w:rPr>
        <w:t xml:space="preserve">, </w:t>
      </w:r>
      <w:r w:rsidRPr="00DC3374">
        <w:rPr>
          <w:rFonts w:hint="eastAsia"/>
          <w:rtl/>
        </w:rPr>
        <w:t>שהיקף</w:t>
      </w:r>
      <w:r w:rsidRPr="00DC3374">
        <w:rPr>
          <w:rtl/>
        </w:rPr>
        <w:t xml:space="preserve"> </w:t>
      </w:r>
      <w:r w:rsidRPr="00DC3374">
        <w:rPr>
          <w:rFonts w:hint="eastAsia"/>
          <w:rtl/>
        </w:rPr>
        <w:t>תקציב</w:t>
      </w:r>
      <w:r w:rsidRPr="00DC3374">
        <w:rPr>
          <w:rtl/>
        </w:rPr>
        <w:t xml:space="preserve"> חלק א' שבו הסתכם בכ-10 מ</w:t>
      </w:r>
      <w:r w:rsidRPr="00DC3374">
        <w:rPr>
          <w:rFonts w:hint="eastAsia"/>
          <w:rtl/>
        </w:rPr>
        <w:t>יליון</w:t>
      </w:r>
      <w:r w:rsidRPr="00DC3374">
        <w:rPr>
          <w:rtl/>
        </w:rPr>
        <w:t xml:space="preserve"> ש"ח, </w:t>
      </w:r>
      <w:r w:rsidRPr="00DC3374">
        <w:rPr>
          <w:rFonts w:hint="eastAsia"/>
          <w:rtl/>
        </w:rPr>
        <w:t>התפרסם</w:t>
      </w:r>
      <w:r w:rsidRPr="00DC3374">
        <w:rPr>
          <w:rtl/>
        </w:rPr>
        <w:t xml:space="preserve"> </w:t>
      </w:r>
      <w:r w:rsidRPr="00DC3374">
        <w:rPr>
          <w:rFonts w:hint="eastAsia"/>
          <w:rtl/>
        </w:rPr>
        <w:t>באוקטובר</w:t>
      </w:r>
      <w:r w:rsidRPr="00DC3374">
        <w:rPr>
          <w:rtl/>
        </w:rPr>
        <w:t xml:space="preserve"> 2020 </w:t>
      </w:r>
      <w:r w:rsidRPr="00DC3374">
        <w:rPr>
          <w:rFonts w:hint="eastAsia"/>
          <w:rtl/>
        </w:rPr>
        <w:t>ובמועד</w:t>
      </w:r>
      <w:r w:rsidRPr="00DC3374">
        <w:rPr>
          <w:rtl/>
        </w:rPr>
        <w:t xml:space="preserve"> </w:t>
      </w:r>
      <w:r w:rsidRPr="00DC3374">
        <w:rPr>
          <w:rFonts w:hint="eastAsia"/>
          <w:rtl/>
        </w:rPr>
        <w:t>סיום</w:t>
      </w:r>
      <w:r w:rsidRPr="00DC3374">
        <w:rPr>
          <w:rtl/>
        </w:rPr>
        <w:t xml:space="preserve"> </w:t>
      </w:r>
      <w:r w:rsidRPr="00DC3374">
        <w:rPr>
          <w:rFonts w:hint="eastAsia"/>
          <w:rtl/>
        </w:rPr>
        <w:t>הביקורת</w:t>
      </w:r>
      <w:r w:rsidRPr="00DC3374">
        <w:rPr>
          <w:rtl/>
        </w:rPr>
        <w:t xml:space="preserve"> </w:t>
      </w:r>
      <w:r w:rsidRPr="00DC3374">
        <w:rPr>
          <w:rFonts w:hint="eastAsia"/>
          <w:rtl/>
        </w:rPr>
        <w:t>טרם</w:t>
      </w:r>
      <w:r w:rsidRPr="00DC3374">
        <w:rPr>
          <w:rtl/>
        </w:rPr>
        <w:t xml:space="preserve"> </w:t>
      </w:r>
      <w:r w:rsidRPr="00DC3374">
        <w:rPr>
          <w:rFonts w:hint="eastAsia"/>
          <w:rtl/>
        </w:rPr>
        <w:t>הסתיים</w:t>
      </w:r>
      <w:r w:rsidRPr="00DC3374">
        <w:rPr>
          <w:rtl/>
        </w:rPr>
        <w:t>.</w:t>
      </w:r>
    </w:p>
    <w:p w:rsidR="006C1EA1" w:rsidRPr="00DC3374" w:rsidP="00E81188" w14:paraId="44C14760" w14:textId="77777777">
      <w:pPr>
        <w:spacing w:line="269" w:lineRule="auto"/>
        <w:rPr>
          <w:b/>
          <w:bCs/>
          <w:rtl/>
        </w:rPr>
      </w:pPr>
    </w:p>
    <w:p w:rsidR="006C1EA1" w:rsidRPr="00DC3374" w:rsidP="00E81188" w14:paraId="45DC17C0" w14:textId="77777777">
      <w:pPr>
        <w:pStyle w:val="Heading4"/>
        <w:spacing w:before="0" w:line="269" w:lineRule="auto"/>
        <w:rPr>
          <w:rtl/>
        </w:rPr>
      </w:pPr>
      <w:r w:rsidRPr="00DC3374">
        <w:rPr>
          <w:rFonts w:hint="cs"/>
          <w:rtl/>
        </w:rPr>
        <w:t>מערך ההסברה בפקע"ר</w:t>
      </w:r>
    </w:p>
    <w:p w:rsidR="006C1EA1" w:rsidRPr="00DC3374" w:rsidP="00E81188" w14:paraId="2787ED7A" w14:textId="3116552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81188" w:rsidP="00E81188" w14:paraId="24AE3B29" w14:textId="43A2786E">
      <w:pPr>
        <w:pStyle w:val="ListParagraph"/>
        <w:numPr>
          <w:ilvl w:val="0"/>
          <w:numId w:val="13"/>
        </w:numPr>
        <w:spacing w:line="269" w:lineRule="auto"/>
      </w:pPr>
      <w:r w:rsidRPr="00DC3374">
        <w:rPr>
          <w:rFonts w:hint="cs"/>
          <w:rtl/>
        </w:rPr>
        <w:t xml:space="preserve">את מערך ההסברה בפקע"ר מפעילה מחלקת אוכלוסייה באמצעות יחידת ההסברה. בהתאם לתשתית האסטרטגית של פקע"ר ולתפיסת ההפעלה שגיבש להסברה בחירום, מבנה היחידה כולל מגוון בעלי תפקידים אשר נועדו לספק מענה כולל במסגרת "מעגל ההסברה" - גיבוש והפצת מסרים, בדיקת הטמעתם בשטח ועדכון המסרים בהתאם. בין היתר, עוסקים בעלי התפקידים ביחידה בתחומי הפרסום השונים; בהכשרת מסבירים והפצת מסרים; בניתוח מידע מהשטח ובגיבוש תמונת מצב בעניין הטמעת המסרים; ובמתן מענה שוטף לציבור באמצעות מוקד מידע טלפוני (מוקד 104), ובכתב - במסרונים (הודעות טקסט) וברשתות החברתיות. הענף כולל שלוש זירות בחלוקה גיאוגרפית, שנועדו לספק מענה הסברתי בשעת חירום לכלל האוכלוסייה. כמו כן, בהתאם לתפיסת ההפעלה שגיבש ב-2019, </w:t>
      </w:r>
      <w:r w:rsidRPr="00DC3374">
        <w:rPr>
          <w:rFonts w:hint="eastAsia"/>
          <w:rtl/>
        </w:rPr>
        <w:t>הקים</w:t>
      </w:r>
      <w:r w:rsidRPr="00DC3374">
        <w:rPr>
          <w:rFonts w:hint="cs"/>
          <w:rtl/>
        </w:rPr>
        <w:t xml:space="preserve"> פקע"ר שישה מדורים המיועדים לאוכלוסיות ייחודיות, ובהם מומחי תוכן שתפקידם לספק מענה הסברתי בשעת חירום לאוכלוסיות אלו. זאת, כפי שמתואר בתרשים שלהלן</w:t>
      </w:r>
      <w:r>
        <w:rPr>
          <w:rStyle w:val="FootnoteReference1"/>
          <w:rtl/>
        </w:rPr>
        <w:footnoteReference w:id="45"/>
      </w:r>
      <w:r w:rsidRPr="00DC3374">
        <w:rPr>
          <w:rFonts w:hint="cs"/>
          <w:rtl/>
        </w:rPr>
        <w:t xml:space="preserve">. </w:t>
      </w:r>
    </w:p>
    <w:p w:rsidR="00E81188" w14:paraId="4AF2DFA3" w14:textId="77777777">
      <w:pPr>
        <w:spacing w:line="240" w:lineRule="auto"/>
        <w:ind w:left="720" w:hanging="720"/>
      </w:pPr>
      <w:r>
        <w:br w:type="page"/>
      </w:r>
    </w:p>
    <w:p w:rsidR="006C1EA1" w:rsidRPr="00DC3374" w:rsidP="00E81188" w14:paraId="4B206591" w14:textId="4FEF01F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34E54511" w14:textId="77777777">
      <w:pPr>
        <w:spacing w:line="269" w:lineRule="auto"/>
        <w:jc w:val="center"/>
        <w:rPr>
          <w:b/>
          <w:bCs/>
          <w:rtl/>
        </w:rPr>
      </w:pPr>
      <w:r w:rsidRPr="00DC3374">
        <w:rPr>
          <w:rFonts w:hint="cs"/>
          <w:b/>
          <w:bCs/>
          <w:rtl/>
        </w:rPr>
        <w:t>תרשים 35: מבנה יחידת ההסברה בפקע"ר*</w:t>
      </w:r>
    </w:p>
    <w:p w:rsidR="006C1EA1" w:rsidRPr="00DC3374" w:rsidP="00E81188" w14:paraId="5A976B66" w14:textId="77777777">
      <w:pPr>
        <w:spacing w:line="269" w:lineRule="auto"/>
        <w:jc w:val="center"/>
        <w:rPr>
          <w:b/>
          <w:bCs/>
          <w:rtl/>
        </w:rPr>
      </w:pPr>
      <w:r w:rsidRPr="00DC3374">
        <w:rPr>
          <w:noProof/>
        </w:rPr>
        <w:drawing>
          <wp:inline distT="0" distB="0" distL="0" distR="0">
            <wp:extent cx="4962320" cy="6124575"/>
            <wp:effectExtent l="0" t="0" r="0" b="0"/>
            <wp:docPr id="60" name="תמונה 60" descr="C:\Users\michal_re\AppData\Local\Microsoft\Windows\INetCache\Content.Word\MR-Tarshim-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31071" name="Picture 23" descr="C:\Users\michal_re\AppData\Local\Microsoft\Windows\INetCache\Content.Word\MR-Tarshim-35.jpg"/>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74961" cy="6140177"/>
                    </a:xfrm>
                    <a:prstGeom prst="rect">
                      <a:avLst/>
                    </a:prstGeom>
                    <a:noFill/>
                    <a:ln>
                      <a:noFill/>
                    </a:ln>
                  </pic:spPr>
                </pic:pic>
              </a:graphicData>
            </a:graphic>
          </wp:inline>
        </w:drawing>
      </w:r>
    </w:p>
    <w:p w:rsidR="006C1EA1" w:rsidRPr="00DC3374" w:rsidP="00E81188" w14:paraId="7E001A2B" w14:textId="77777777">
      <w:pPr>
        <w:spacing w:line="269" w:lineRule="auto"/>
        <w:ind w:left="312"/>
        <w:jc w:val="center"/>
        <w:rPr>
          <w:b/>
          <w:bCs/>
          <w:u w:val="single"/>
          <w:rtl/>
        </w:rPr>
      </w:pPr>
    </w:p>
    <w:p w:rsidR="00B12875" w:rsidRPr="00DC3374" w:rsidP="00E266F2" w14:paraId="58BEE455" w14:textId="64977577">
      <w:pPr>
        <w:spacing w:line="269" w:lineRule="auto"/>
        <w:ind w:left="312"/>
        <w:rPr>
          <w:szCs w:val="20"/>
          <w:rtl/>
        </w:rPr>
      </w:pPr>
      <w:r w:rsidRPr="00DC3374">
        <w:rPr>
          <w:rFonts w:hint="cs"/>
          <w:szCs w:val="20"/>
          <w:rtl/>
        </w:rPr>
        <w:t>על פי נתוני פקע"ר, בעיבוד משרד מבקר המדינה.</w:t>
      </w:r>
      <w:r w:rsidRPr="00DC3374">
        <w:rPr>
          <w:rFonts w:hint="cs"/>
          <w:szCs w:val="20"/>
          <w:rtl/>
        </w:rPr>
        <w:t xml:space="preserve"> </w:t>
      </w:r>
      <w:r w:rsidRPr="00DC3374">
        <w:rPr>
          <w:rFonts w:hint="eastAsia"/>
          <w:szCs w:val="20"/>
          <w:rtl/>
        </w:rPr>
        <w:t>יצוין</w:t>
      </w:r>
      <w:r w:rsidRPr="00DC3374">
        <w:rPr>
          <w:szCs w:val="20"/>
          <w:rtl/>
        </w:rPr>
        <w:t xml:space="preserve"> כי </w:t>
      </w:r>
      <w:r w:rsidRPr="00DC3374">
        <w:rPr>
          <w:rFonts w:hint="eastAsia"/>
          <w:szCs w:val="20"/>
          <w:rtl/>
        </w:rPr>
        <w:t>התרשים</w:t>
      </w:r>
      <w:r w:rsidRPr="00DC3374">
        <w:rPr>
          <w:szCs w:val="20"/>
          <w:rtl/>
        </w:rPr>
        <w:t xml:space="preserve"> אינו מציג את היקף כוח האדם - חיילים בשירות סדיר, אנשי קבע ואנשי מילואים, שהקצה פקע"ר להסברה במשבר הקורונה ואת ההוצאה על הפעלתו</w:t>
      </w:r>
      <w:r w:rsidRPr="00DC3374">
        <w:rPr>
          <w:rFonts w:hint="cs"/>
          <w:szCs w:val="20"/>
          <w:rtl/>
        </w:rPr>
        <w:t>.</w:t>
      </w:r>
    </w:p>
    <w:p w:rsidR="006C1EA1" w:rsidRPr="00DC3374" w:rsidP="00E266F2" w14:paraId="39351F66" w14:textId="035CFFC2">
      <w:pPr>
        <w:spacing w:line="269" w:lineRule="auto"/>
        <w:ind w:left="312"/>
        <w:rPr>
          <w:szCs w:val="20"/>
          <w:rtl/>
        </w:rPr>
      </w:pPr>
      <w:r w:rsidRPr="00DC3374">
        <w:rPr>
          <w:rFonts w:hint="cs"/>
          <w:szCs w:val="20"/>
          <w:rtl/>
        </w:rPr>
        <w:t>* בתרשים זה, אג"ם - אגף מבצעים; חמ"ל - חדר מלחמה.</w:t>
      </w:r>
    </w:p>
    <w:p w:rsidR="009A7005" w:rsidRPr="00DC3374" w:rsidP="00E81188" w14:paraId="46026E83" w14:textId="639C8ED6">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A7005" w:rsidRPr="00DC3374" w:rsidP="00E81188" w14:paraId="665664FD" w14:textId="7EE8C105">
      <w:pPr>
        <w:pStyle w:val="ListParagraph"/>
        <w:spacing w:line="269" w:lineRule="auto"/>
        <w:ind w:left="340"/>
        <w:rPr>
          <w:rtl/>
        </w:rPr>
      </w:pPr>
      <w:r w:rsidRPr="00DC3374">
        <w:rPr>
          <w:rFonts w:hint="cs"/>
          <w:rtl/>
        </w:rPr>
        <w:t>נוסף על האחריות לתחום ההסברה, מחלקת האוכלוסייה בפקע"ר אחראית להפעלת תשתית מידע לציבור באמצעות אתר מידע ארצי באינטרנט, אשר הוקם במרץ 2020, במהלך משבר הקורונה</w:t>
      </w:r>
      <w:r w:rsidR="00056C06">
        <w:rPr>
          <w:rFonts w:hint="cs"/>
          <w:rtl/>
        </w:rPr>
        <w:t>.</w:t>
      </w:r>
    </w:p>
    <w:p w:rsidR="006C1EA1" w:rsidRPr="00DC3374" w:rsidP="00E81188" w14:paraId="1B6D301A" w14:textId="371D8FA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46DB2864" w14:textId="77777777">
      <w:pPr>
        <w:pStyle w:val="ListParagraph"/>
        <w:numPr>
          <w:ilvl w:val="0"/>
          <w:numId w:val="13"/>
        </w:numPr>
        <w:spacing w:line="269" w:lineRule="auto"/>
      </w:pPr>
      <w:r w:rsidRPr="00DC3374">
        <w:rPr>
          <w:rFonts w:hint="cs"/>
          <w:rtl/>
        </w:rPr>
        <w:t xml:space="preserve">כאמור, לפי חוק הג"א, פקע"ר אחראי לניהול וארגון התגוננות האוכלוסייה במדינת ישראל במקרה של התקפה צבאית, ובאישור שר הביטחון הוא אחראי לפעולות מצילות נפש ורכוש במקרים נוספים. על פי תוכנית "נחשול בריא", פקע"ר ישמש במשבר פנדמיה שלוחה של מערך ההסברה הלאומי. במסגרת ההחלטה על הובלת ההסברה מפברואר 2020, הוטלה כאמור על </w:t>
      </w:r>
      <w:r w:rsidRPr="00DC3374">
        <w:rPr>
          <w:rFonts w:hint="cs"/>
          <w:rtl/>
        </w:rPr>
        <w:t xml:space="preserve">משרד הבריאות האחריות להובלת ההסברה והעברת המידע וההנחיות לציבור במשבר הקורונה. בהחלטה זו לא נקבע מה יהיו תפקידי פקע"ר, </w:t>
      </w:r>
      <w:r w:rsidRPr="00DC3374">
        <w:rPr>
          <w:rStyle w:val="CommentReference"/>
          <w:rFonts w:hint="cs"/>
          <w:sz w:val="24"/>
          <w:szCs w:val="24"/>
          <w:rtl/>
        </w:rPr>
        <w:t>ו</w:t>
      </w:r>
      <w:r w:rsidRPr="00DC3374">
        <w:rPr>
          <w:rFonts w:hint="cs"/>
          <w:rtl/>
        </w:rPr>
        <w:t xml:space="preserve">על פי החלטת שר הביטחון ממרץ 2020 היה עליו לפעול כגורם מסייע למערכת הבריאות. </w:t>
      </w:r>
    </w:p>
    <w:p w:rsidR="006C1EA1" w:rsidRPr="00DC3374" w:rsidP="00E81188" w14:paraId="60A96116" w14:textId="66D324F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CFE843F" w14:textId="77777777">
      <w:pPr>
        <w:spacing w:line="269" w:lineRule="auto"/>
        <w:ind w:left="312"/>
        <w:rPr>
          <w:rtl/>
        </w:rPr>
      </w:pPr>
      <w:r w:rsidRPr="00DC3374">
        <w:rPr>
          <w:rFonts w:hint="cs"/>
          <w:rtl/>
        </w:rPr>
        <w:t xml:space="preserve">במרץ 2020 הציע פקע"ר למל"ל ולמשרד הבריאות סיוע בהסברה לציבור בנושא הקורונה באמצעות הפעלת מוקד טלפוני ופורטל חירום באינטרנט והפקת סרטונים להפצה באמצעי המדיה השונים. משרד הבריאות לא אימץ את הצעת פקע"ר, ובסיכום מאוקטובר 2020 הועלו על הכתב כאמור תפקידי פקע"ר בתחום ההסברה. </w:t>
      </w:r>
    </w:p>
    <w:p w:rsidR="006C1EA1" w:rsidRPr="00DC3374" w:rsidP="00E81188" w14:paraId="2B245D5F" w14:textId="069EA76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2D1EE259" w14:textId="77777777">
      <w:pPr>
        <w:spacing w:line="269" w:lineRule="auto"/>
        <w:ind w:left="312"/>
        <w:rPr>
          <w:b/>
          <w:bCs/>
          <w:rtl/>
        </w:rPr>
      </w:pPr>
      <w:r w:rsidRPr="00DC3374">
        <w:rPr>
          <w:rFonts w:hint="cs"/>
          <w:b/>
          <w:bCs/>
          <w:rtl/>
        </w:rPr>
        <w:t>על רקע אי-הסדרת חלוקת העבודה בין גורמי ההסברה עד אוקטובר 2020, לרבות בתקופות הסגר הראשון והסגר השני, עלה מן התיעוד כי משרד הבריאות ופקע"ר פעלו בתקופה זו בתיאום חלקי, תוך ביצוע משימות הסברה דומות במקביל.</w:t>
      </w:r>
    </w:p>
    <w:p w:rsidR="006C1EA1" w:rsidRPr="00DC3374" w:rsidP="00E81188" w14:paraId="14DE4C32" w14:textId="6D02228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2F1DE82A" w14:textId="77777777">
      <w:pPr>
        <w:spacing w:line="269" w:lineRule="auto"/>
        <w:ind w:left="312"/>
        <w:rPr>
          <w:b/>
          <w:bCs/>
          <w:rtl/>
        </w:rPr>
      </w:pPr>
      <w:r w:rsidRPr="00DC3374">
        <w:rPr>
          <w:rFonts w:hint="cs"/>
          <w:b/>
          <w:bCs/>
          <w:rtl/>
        </w:rPr>
        <w:t>להלן פירוט הממצאים הנוגעים למסעות ההסברה ותוכניות ההסברה שביצעו משרד הבריאות ופקע"ר באותם נושאים ובכפילות מסוימת</w:t>
      </w:r>
      <w:r>
        <w:rPr>
          <w:rStyle w:val="FootnoteReference1"/>
          <w:b/>
          <w:bCs/>
          <w:rtl/>
        </w:rPr>
        <w:footnoteReference w:id="46"/>
      </w:r>
      <w:r w:rsidRPr="00DC3374">
        <w:rPr>
          <w:rFonts w:hint="cs"/>
          <w:b/>
          <w:bCs/>
          <w:rtl/>
        </w:rPr>
        <w:t xml:space="preserve">: </w:t>
      </w:r>
    </w:p>
    <w:p w:rsidR="006C1EA1" w:rsidRPr="00DC3374" w:rsidP="00E81188" w14:paraId="29607078" w14:textId="49F7A91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73C783EE" w14:textId="6518E782">
      <w:pPr>
        <w:pStyle w:val="ListParagraph"/>
        <w:numPr>
          <w:ilvl w:val="1"/>
          <w:numId w:val="13"/>
        </w:numPr>
        <w:spacing w:line="269" w:lineRule="auto"/>
        <w:ind w:left="709"/>
      </w:pPr>
      <w:r w:rsidRPr="00F26F18">
        <w:rPr>
          <w:rStyle w:val="7"/>
          <w:rFonts w:hint="eastAsia"/>
          <w:rtl/>
        </w:rPr>
        <w:t>הפקת</w:t>
      </w:r>
      <w:r w:rsidRPr="00F26F18">
        <w:rPr>
          <w:rStyle w:val="7"/>
          <w:rtl/>
        </w:rPr>
        <w:t xml:space="preserve"> </w:t>
      </w:r>
      <w:r w:rsidRPr="00F26F18">
        <w:rPr>
          <w:rStyle w:val="7"/>
          <w:rFonts w:hint="eastAsia"/>
          <w:rtl/>
        </w:rPr>
        <w:t>מסעות</w:t>
      </w:r>
      <w:r w:rsidRPr="00F26F18">
        <w:rPr>
          <w:rStyle w:val="7"/>
          <w:rtl/>
        </w:rPr>
        <w:t xml:space="preserve"> </w:t>
      </w:r>
      <w:r w:rsidRPr="00F26F18">
        <w:rPr>
          <w:rStyle w:val="7"/>
          <w:rFonts w:hint="eastAsia"/>
          <w:rtl/>
        </w:rPr>
        <w:t>פרסום</w:t>
      </w:r>
      <w:r w:rsidRPr="00F26F18">
        <w:rPr>
          <w:rStyle w:val="7"/>
          <w:rtl/>
        </w:rPr>
        <w:t xml:space="preserve"> </w:t>
      </w:r>
      <w:r w:rsidRPr="00F26F18">
        <w:rPr>
          <w:rStyle w:val="7"/>
          <w:rFonts w:hint="eastAsia"/>
          <w:rtl/>
        </w:rPr>
        <w:t>ייעודיים</w:t>
      </w:r>
      <w:r w:rsidRPr="00F26F18">
        <w:rPr>
          <w:rStyle w:val="7"/>
          <w:rtl/>
        </w:rPr>
        <w:t xml:space="preserve"> </w:t>
      </w:r>
      <w:r w:rsidRPr="00F26F18">
        <w:rPr>
          <w:rStyle w:val="7"/>
          <w:rFonts w:hint="eastAsia"/>
          <w:rtl/>
        </w:rPr>
        <w:t>והפצת</w:t>
      </w:r>
      <w:r w:rsidRPr="00F26F18">
        <w:rPr>
          <w:rStyle w:val="7"/>
          <w:rtl/>
        </w:rPr>
        <w:t xml:space="preserve"> </w:t>
      </w:r>
      <w:r w:rsidRPr="00F26F18">
        <w:rPr>
          <w:rStyle w:val="7"/>
          <w:rFonts w:hint="eastAsia"/>
          <w:rtl/>
        </w:rPr>
        <w:t>פרסומים</w:t>
      </w:r>
      <w:r w:rsidRPr="00F26F18">
        <w:rPr>
          <w:rStyle w:val="7"/>
          <w:rtl/>
        </w:rPr>
        <w:t xml:space="preserve"> </w:t>
      </w:r>
      <w:r w:rsidRPr="00F26F18">
        <w:rPr>
          <w:rStyle w:val="7"/>
          <w:rFonts w:hint="eastAsia"/>
          <w:rtl/>
        </w:rPr>
        <w:t>בשלבי</w:t>
      </w:r>
      <w:r w:rsidRPr="00F26F18">
        <w:rPr>
          <w:rStyle w:val="7"/>
          <w:rtl/>
        </w:rPr>
        <w:t xml:space="preserve"> </w:t>
      </w:r>
      <w:r w:rsidRPr="00F26F18">
        <w:rPr>
          <w:rStyle w:val="7"/>
          <w:rFonts w:hint="eastAsia"/>
          <w:rtl/>
        </w:rPr>
        <w:t>המשבר</w:t>
      </w:r>
      <w:r w:rsidRPr="00F26F18">
        <w:rPr>
          <w:rStyle w:val="7"/>
          <w:rtl/>
        </w:rPr>
        <w:t xml:space="preserve"> </w:t>
      </w:r>
      <w:r w:rsidRPr="00F26F18">
        <w:rPr>
          <w:rStyle w:val="7"/>
          <w:rFonts w:hint="eastAsia"/>
          <w:rtl/>
        </w:rPr>
        <w:t>השונים</w:t>
      </w:r>
      <w:r w:rsidRPr="00F26F18" w:rsidR="00E81188">
        <w:rPr>
          <w:rStyle w:val="7"/>
          <w:rtl/>
        </w:rPr>
        <w:t>:</w:t>
      </w:r>
      <w:r w:rsidRPr="00DC3374">
        <w:rPr>
          <w:rFonts w:hint="cs"/>
          <w:rtl/>
        </w:rPr>
        <w:t xml:space="preserve"> נמצא כי משרד הבריאות ופקע"ר הפיצו פרסומים בנושא בידוד, הישארות בבית וניקוי משטחים במרץ 2020; פרסומים בנושא ההגבלות על שגרת החיים במועדי חגיגות המימונה וחודש הרמדאן באפריל 2020; פרסומים בנושא ל"ג בעומר במאי 2020; פרסומים בנושא חג הקורבן ביולי 2020; ופרסומים בנושא תקופת "בין הזמנים" באוגוסט 2020. יצוין כי </w:t>
      </w:r>
      <w:r w:rsidRPr="00DC3374">
        <w:rPr>
          <w:rFonts w:hint="eastAsia"/>
          <w:rtl/>
        </w:rPr>
        <w:t>ההוצאה</w:t>
      </w:r>
      <w:r w:rsidRPr="00DC3374">
        <w:rPr>
          <w:rtl/>
        </w:rPr>
        <w:t xml:space="preserve"> של משרד הבריאות על </w:t>
      </w:r>
      <w:r w:rsidRPr="00DC3374">
        <w:rPr>
          <w:rFonts w:hint="eastAsia"/>
          <w:rtl/>
        </w:rPr>
        <w:t>הפרסומים</w:t>
      </w:r>
      <w:r w:rsidRPr="00DC3374">
        <w:rPr>
          <w:rtl/>
        </w:rPr>
        <w:t xml:space="preserve"> </w:t>
      </w:r>
      <w:r w:rsidRPr="00DC3374">
        <w:rPr>
          <w:rFonts w:hint="eastAsia"/>
          <w:rtl/>
        </w:rPr>
        <w:t>האמורים</w:t>
      </w:r>
      <w:r w:rsidRPr="00DC3374">
        <w:rPr>
          <w:rtl/>
        </w:rPr>
        <w:t xml:space="preserve"> </w:t>
      </w:r>
      <w:r w:rsidRPr="00DC3374">
        <w:rPr>
          <w:rFonts w:hint="cs"/>
          <w:rtl/>
        </w:rPr>
        <w:t>הייתה</w:t>
      </w:r>
      <w:r w:rsidRPr="00DC3374">
        <w:rPr>
          <w:rtl/>
        </w:rPr>
        <w:t xml:space="preserve"> </w:t>
      </w:r>
      <w:r w:rsidRPr="00DC3374">
        <w:rPr>
          <w:rFonts w:hint="eastAsia"/>
          <w:rtl/>
        </w:rPr>
        <w:t>כ</w:t>
      </w:r>
      <w:r w:rsidRPr="00DC3374">
        <w:rPr>
          <w:rtl/>
        </w:rPr>
        <w:t xml:space="preserve">-12 </w:t>
      </w:r>
      <w:r w:rsidRPr="00DC3374">
        <w:rPr>
          <w:rFonts w:hint="eastAsia"/>
          <w:rtl/>
        </w:rPr>
        <w:t>מיליון</w:t>
      </w:r>
      <w:r w:rsidRPr="00DC3374">
        <w:rPr>
          <w:rtl/>
        </w:rPr>
        <w:t xml:space="preserve"> </w:t>
      </w:r>
      <w:r w:rsidRPr="00DC3374">
        <w:rPr>
          <w:rFonts w:hint="eastAsia"/>
          <w:rtl/>
        </w:rPr>
        <w:t>ש</w:t>
      </w:r>
      <w:r w:rsidRPr="00DC3374">
        <w:rPr>
          <w:rtl/>
        </w:rPr>
        <w:t xml:space="preserve">"ח. </w:t>
      </w:r>
    </w:p>
    <w:p w:rsidR="006C1EA1" w:rsidRPr="00DC3374" w:rsidP="00E81188" w14:paraId="481D4795" w14:textId="125A967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264FFE5D" w14:textId="77777777">
      <w:pPr>
        <w:spacing w:line="269" w:lineRule="auto"/>
        <w:rPr>
          <w:rtl/>
        </w:rPr>
      </w:pPr>
      <w:r w:rsidRPr="00DC3374">
        <w:rPr>
          <w:rtl/>
        </w:rPr>
        <w:tab/>
      </w:r>
      <w:r w:rsidRPr="00DC3374">
        <w:rPr>
          <w:rFonts w:hint="cs"/>
          <w:rtl/>
        </w:rPr>
        <w:t>להלן תמונות ובהן דוגמאות לפרסומים בנושאים דומים של משרד הבריאות ופקע"ר:</w:t>
      </w:r>
    </w:p>
    <w:p w:rsidR="006C1EA1" w:rsidRPr="00DC3374" w:rsidP="00E81188" w14:paraId="65DE0A74" w14:textId="77777777">
      <w:pPr>
        <w:spacing w:line="269" w:lineRule="auto"/>
        <w:rPr>
          <w:rtl/>
        </w:rPr>
      </w:pPr>
    </w:p>
    <w:p w:rsidR="0092532A" w:rsidRPr="00DC3374" w:rsidP="00E81188" w14:paraId="1243E7B9" w14:textId="77777777">
      <w:pPr>
        <w:spacing w:line="269" w:lineRule="auto"/>
        <w:ind w:left="720" w:hanging="720"/>
        <w:rPr>
          <w:szCs w:val="20"/>
          <w:rtl/>
        </w:rPr>
      </w:pPr>
      <w:r w:rsidRPr="00DC3374">
        <w:rPr>
          <w:rtl/>
        </w:rPr>
        <w:br w:type="page"/>
      </w:r>
    </w:p>
    <w:p w:rsidR="006C1EA1" w:rsidRPr="00DC3374" w:rsidP="00E81188" w14:paraId="521D670B" w14:textId="5BFD36A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4D06EBBC" w14:textId="77777777">
      <w:pPr>
        <w:spacing w:line="269" w:lineRule="auto"/>
        <w:ind w:left="709"/>
        <w:jc w:val="center"/>
        <w:rPr>
          <w:b/>
          <w:bCs/>
          <w:rtl/>
        </w:rPr>
      </w:pPr>
      <w:r w:rsidRPr="00DC3374">
        <w:rPr>
          <w:rFonts w:hint="eastAsia"/>
          <w:b/>
          <w:bCs/>
          <w:rtl/>
        </w:rPr>
        <w:t>תמונה</w:t>
      </w:r>
      <w:r w:rsidRPr="00DC3374">
        <w:rPr>
          <w:b/>
          <w:bCs/>
          <w:rtl/>
        </w:rPr>
        <w:t xml:space="preserve"> 1: </w:t>
      </w:r>
      <w:r w:rsidRPr="00DC3374">
        <w:rPr>
          <w:rFonts w:hint="eastAsia"/>
          <w:b/>
          <w:bCs/>
          <w:rtl/>
        </w:rPr>
        <w:t>דוגמאות</w:t>
      </w:r>
      <w:r w:rsidRPr="00DC3374">
        <w:rPr>
          <w:b/>
          <w:bCs/>
          <w:rtl/>
        </w:rPr>
        <w:t xml:space="preserve"> </w:t>
      </w:r>
      <w:r w:rsidRPr="00DC3374">
        <w:rPr>
          <w:rFonts w:hint="eastAsia"/>
          <w:b/>
          <w:bCs/>
          <w:rtl/>
        </w:rPr>
        <w:t>לפרסומים</w:t>
      </w:r>
      <w:r w:rsidRPr="00DC3374">
        <w:rPr>
          <w:b/>
          <w:bCs/>
          <w:rtl/>
        </w:rPr>
        <w:t xml:space="preserve"> </w:t>
      </w:r>
      <w:r w:rsidRPr="00DC3374">
        <w:rPr>
          <w:rFonts w:hint="eastAsia"/>
          <w:b/>
          <w:bCs/>
          <w:rtl/>
        </w:rPr>
        <w:t>בנושאים</w:t>
      </w:r>
      <w:r w:rsidRPr="00DC3374">
        <w:rPr>
          <w:b/>
          <w:bCs/>
          <w:rtl/>
        </w:rPr>
        <w:t xml:space="preserve"> </w:t>
      </w:r>
      <w:r w:rsidRPr="00DC3374">
        <w:rPr>
          <w:rFonts w:hint="eastAsia"/>
          <w:b/>
          <w:bCs/>
          <w:rtl/>
        </w:rPr>
        <w:t>דומים</w:t>
      </w:r>
      <w:r w:rsidRPr="00DC3374">
        <w:rPr>
          <w:b/>
          <w:bCs/>
          <w:rtl/>
        </w:rPr>
        <w:t xml:space="preserve"> </w:t>
      </w:r>
      <w:r w:rsidRPr="00DC3374">
        <w:rPr>
          <w:rFonts w:hint="eastAsia"/>
          <w:b/>
          <w:bCs/>
          <w:rtl/>
        </w:rPr>
        <w:t>של</w:t>
      </w:r>
      <w:r w:rsidRPr="00DC3374">
        <w:rPr>
          <w:b/>
          <w:bCs/>
          <w:rtl/>
        </w:rPr>
        <w:t xml:space="preserve"> </w:t>
      </w:r>
      <w:r w:rsidRPr="00DC3374">
        <w:rPr>
          <w:rFonts w:hint="eastAsia"/>
          <w:b/>
          <w:bCs/>
          <w:rtl/>
        </w:rPr>
        <w:t>משרד</w:t>
      </w:r>
      <w:r w:rsidRPr="00DC3374">
        <w:rPr>
          <w:b/>
          <w:bCs/>
          <w:rtl/>
        </w:rPr>
        <w:t xml:space="preserve"> </w:t>
      </w:r>
      <w:r w:rsidRPr="00DC3374">
        <w:rPr>
          <w:rFonts w:hint="eastAsia"/>
          <w:b/>
          <w:bCs/>
          <w:rtl/>
        </w:rPr>
        <w:t>הבריאות</w:t>
      </w:r>
      <w:r w:rsidRPr="00DC3374">
        <w:rPr>
          <w:b/>
          <w:bCs/>
          <w:rtl/>
        </w:rPr>
        <w:t xml:space="preserve"> </w:t>
      </w:r>
      <w:r w:rsidRPr="00DC3374">
        <w:rPr>
          <w:rFonts w:hint="eastAsia"/>
          <w:b/>
          <w:bCs/>
          <w:rtl/>
        </w:rPr>
        <w:t>ופקע</w:t>
      </w:r>
      <w:r w:rsidRPr="00DC3374">
        <w:rPr>
          <w:b/>
          <w:bCs/>
          <w:rtl/>
        </w:rPr>
        <w:t>"</w:t>
      </w:r>
      <w:r w:rsidRPr="00DC3374">
        <w:rPr>
          <w:rFonts w:hint="eastAsia"/>
          <w:b/>
          <w:bCs/>
          <w:rtl/>
        </w:rPr>
        <w:t>ר</w:t>
      </w:r>
    </w:p>
    <w:p w:rsidR="006C1EA1" w:rsidRPr="00DC3374" w:rsidP="00E81188" w14:paraId="1D8E63DD" w14:textId="77777777">
      <w:pPr>
        <w:spacing w:line="269" w:lineRule="auto"/>
        <w:ind w:left="709"/>
        <w:jc w:val="center"/>
        <w:rPr>
          <w:rtl/>
        </w:rPr>
      </w:pPr>
      <w:r w:rsidRPr="00DC3374">
        <w:rPr>
          <w:noProof/>
        </w:rPr>
        <w:drawing>
          <wp:inline distT="0" distB="0" distL="0" distR="0">
            <wp:extent cx="5645155" cy="7743825"/>
            <wp:effectExtent l="0" t="0" r="0" b="0"/>
            <wp:docPr id="1743882417" name="תמונה 1743882417" descr="C:\Users\michal_re\AppData\Local\Microsoft\Windows\INetCache\Content.Word\M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78041" name="Picture 25" descr="C:\Users\michal_re\AppData\Local\Microsoft\Windows\INetCache\Content.Word\MR-picture-1.jpg"/>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5670523" cy="7778624"/>
                    </a:xfrm>
                    <a:prstGeom prst="rect">
                      <a:avLst/>
                    </a:prstGeom>
                    <a:noFill/>
                    <a:ln>
                      <a:noFill/>
                    </a:ln>
                  </pic:spPr>
                </pic:pic>
              </a:graphicData>
            </a:graphic>
          </wp:inline>
        </w:drawing>
      </w:r>
    </w:p>
    <w:p w:rsidR="006C1EA1" w:rsidRPr="00DC3374" w:rsidP="00E81188" w14:paraId="7A99E395" w14:textId="114ECE36">
      <w:pPr>
        <w:spacing w:line="269" w:lineRule="auto"/>
        <w:ind w:left="709"/>
        <w:rPr>
          <w:szCs w:val="20"/>
          <w:rtl/>
        </w:rPr>
      </w:pPr>
      <w:r w:rsidRPr="00DC3374">
        <w:rPr>
          <w:rFonts w:hint="cs"/>
          <w:szCs w:val="20"/>
          <w:rtl/>
        </w:rPr>
        <w:t>מתוך ערוץ היוטיוב של משרד הבריאות, ערו</w:t>
      </w:r>
      <w:r w:rsidRPr="00DC3374" w:rsidR="000A09A1">
        <w:rPr>
          <w:rFonts w:hint="cs"/>
          <w:szCs w:val="20"/>
          <w:rtl/>
        </w:rPr>
        <w:t>ץ</w:t>
      </w:r>
      <w:r w:rsidRPr="00DC3374">
        <w:rPr>
          <w:rFonts w:hint="cs"/>
          <w:szCs w:val="20"/>
          <w:rtl/>
        </w:rPr>
        <w:t xml:space="preserve"> היוטיוב של פקע"ר ואתר </w:t>
      </w:r>
      <w:r w:rsidRPr="00DC3374">
        <w:rPr>
          <w:szCs w:val="20"/>
        </w:rPr>
        <w:t>ynet</w:t>
      </w:r>
      <w:r w:rsidRPr="00DC3374">
        <w:rPr>
          <w:rFonts w:hint="cs"/>
          <w:szCs w:val="20"/>
          <w:rtl/>
        </w:rPr>
        <w:t>, בעיבוד משרד מבקר המדינה.</w:t>
      </w:r>
      <w:r w:rsidRPr="00DC3374">
        <w:rPr>
          <w:szCs w:val="20"/>
          <w:rtl/>
        </w:rPr>
        <w:br w:type="page"/>
      </w:r>
    </w:p>
    <w:p w:rsidR="006C1EA1" w:rsidRPr="00DC3374" w:rsidP="00E81188" w14:paraId="7CBCC436" w14:textId="7EB2B179">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70C039D6" w14:textId="507B5472">
      <w:pPr>
        <w:pStyle w:val="ListParagraph"/>
        <w:numPr>
          <w:ilvl w:val="1"/>
          <w:numId w:val="13"/>
        </w:numPr>
        <w:spacing w:line="269" w:lineRule="auto"/>
        <w:rPr>
          <w:b/>
          <w:bCs/>
        </w:rPr>
      </w:pPr>
      <w:r w:rsidRPr="00F26F18">
        <w:rPr>
          <w:rStyle w:val="7"/>
          <w:rFonts w:hint="eastAsia"/>
          <w:rtl/>
        </w:rPr>
        <w:t>בדיקת</w:t>
      </w:r>
      <w:r w:rsidRPr="00F26F18">
        <w:rPr>
          <w:rStyle w:val="7"/>
          <w:rtl/>
        </w:rPr>
        <w:t xml:space="preserve"> </w:t>
      </w:r>
      <w:r w:rsidRPr="00F26F18">
        <w:rPr>
          <w:rStyle w:val="7"/>
          <w:rFonts w:hint="eastAsia"/>
          <w:rtl/>
        </w:rPr>
        <w:t>אפקטיביות</w:t>
      </w:r>
      <w:r w:rsidRPr="00F26F18">
        <w:rPr>
          <w:rStyle w:val="7"/>
          <w:rtl/>
        </w:rPr>
        <w:t xml:space="preserve"> </w:t>
      </w:r>
      <w:r w:rsidRPr="00F26F18">
        <w:rPr>
          <w:rStyle w:val="7"/>
          <w:rFonts w:hint="eastAsia"/>
          <w:rtl/>
        </w:rPr>
        <w:t>ההסברה</w:t>
      </w:r>
      <w:r w:rsidRPr="00F26F18">
        <w:rPr>
          <w:rStyle w:val="7"/>
          <w:rtl/>
        </w:rPr>
        <w:t xml:space="preserve"> </w:t>
      </w:r>
      <w:r w:rsidRPr="00F26F18">
        <w:rPr>
          <w:rStyle w:val="7"/>
          <w:rFonts w:hint="eastAsia"/>
          <w:rtl/>
        </w:rPr>
        <w:t>באמצעות</w:t>
      </w:r>
      <w:r w:rsidRPr="00F26F18">
        <w:rPr>
          <w:rStyle w:val="7"/>
          <w:rtl/>
        </w:rPr>
        <w:t xml:space="preserve"> </w:t>
      </w:r>
      <w:r w:rsidRPr="00F26F18">
        <w:rPr>
          <w:rStyle w:val="7"/>
          <w:rFonts w:hint="eastAsia"/>
          <w:rtl/>
        </w:rPr>
        <w:t>עריכת</w:t>
      </w:r>
      <w:r w:rsidRPr="00F26F18">
        <w:rPr>
          <w:rStyle w:val="7"/>
          <w:rtl/>
        </w:rPr>
        <w:t xml:space="preserve"> </w:t>
      </w:r>
      <w:r w:rsidRPr="00F26F18">
        <w:rPr>
          <w:rStyle w:val="7"/>
          <w:rFonts w:hint="eastAsia"/>
          <w:rtl/>
        </w:rPr>
        <w:t>סקרי</w:t>
      </w:r>
      <w:r w:rsidRPr="00F26F18">
        <w:rPr>
          <w:rStyle w:val="7"/>
          <w:rtl/>
        </w:rPr>
        <w:t xml:space="preserve"> </w:t>
      </w:r>
      <w:r w:rsidRPr="00F26F18">
        <w:rPr>
          <w:rStyle w:val="7"/>
          <w:rFonts w:hint="eastAsia"/>
          <w:rtl/>
        </w:rPr>
        <w:t>דעת</w:t>
      </w:r>
      <w:r w:rsidRPr="00F26F18">
        <w:rPr>
          <w:rStyle w:val="7"/>
          <w:rtl/>
        </w:rPr>
        <w:t xml:space="preserve"> </w:t>
      </w:r>
      <w:r w:rsidRPr="00F26F18">
        <w:rPr>
          <w:rStyle w:val="7"/>
          <w:rFonts w:hint="eastAsia"/>
          <w:rtl/>
        </w:rPr>
        <w:t>קהל</w:t>
      </w:r>
      <w:r w:rsidRPr="00F26F18">
        <w:rPr>
          <w:rStyle w:val="7"/>
          <w:rtl/>
        </w:rPr>
        <w:t xml:space="preserve"> </w:t>
      </w:r>
      <w:r w:rsidRPr="00F26F18">
        <w:rPr>
          <w:rStyle w:val="7"/>
          <w:rFonts w:hint="eastAsia"/>
          <w:rtl/>
        </w:rPr>
        <w:t>וניתוחם</w:t>
      </w:r>
      <w:r w:rsidRPr="00F26F18" w:rsidR="00E81188">
        <w:rPr>
          <w:rStyle w:val="7"/>
          <w:rtl/>
        </w:rPr>
        <w:t>:</w:t>
      </w:r>
      <w:r w:rsidRPr="00DC3374">
        <w:rPr>
          <w:rFonts w:hint="cs"/>
          <w:b/>
          <w:bCs/>
          <w:rtl/>
        </w:rPr>
        <w:t xml:space="preserve"> </w:t>
      </w:r>
      <w:r w:rsidRPr="00DC3374">
        <w:rPr>
          <w:rFonts w:hint="cs"/>
          <w:rtl/>
        </w:rPr>
        <w:t>נמצא כי משרד הבריאות ופקע"ר בחנו את עמדות כלל הציבור, החברה הערבית והחברה החרדית, בנושאים: מידת הציות להנחיות, החסמים לציות להנחיות, מידת האמון בגורמי הממשל, החוסר במידע ותפיסת האיום.</w:t>
      </w:r>
      <w:r w:rsidRPr="00DC3374">
        <w:rPr>
          <w:rFonts w:hint="cs"/>
          <w:b/>
          <w:bCs/>
          <w:rtl/>
        </w:rPr>
        <w:t xml:space="preserve"> </w:t>
      </w:r>
    </w:p>
    <w:p w:rsidR="006C1EA1" w:rsidRPr="00DC3374" w:rsidP="00E81188" w14:paraId="1977A814" w14:textId="1A06355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1E77B8F2" w14:textId="77777777">
      <w:pPr>
        <w:pStyle w:val="ListParagraph"/>
        <w:spacing w:line="269" w:lineRule="auto"/>
        <w:ind w:left="680"/>
        <w:rPr>
          <w:b/>
          <w:bCs/>
        </w:rPr>
      </w:pPr>
      <w:r w:rsidRPr="00DC3374">
        <w:rPr>
          <w:rFonts w:hint="cs"/>
          <w:b/>
          <w:bCs/>
          <w:rtl/>
        </w:rPr>
        <w:t xml:space="preserve">מתחילת משבר הקורונה עד סוף אוקטובר 2020 ערך משרד הבריאות באמצעות לפ"ם 26 סקרים ושילם תמורתם כ-250,000 ש"ח. </w:t>
      </w:r>
      <w:r w:rsidRPr="00DC3374">
        <w:rPr>
          <w:rFonts w:hint="eastAsia"/>
          <w:b/>
          <w:bCs/>
          <w:rtl/>
        </w:rPr>
        <w:t>ב</w:t>
      </w:r>
      <w:r w:rsidRPr="00DC3374">
        <w:rPr>
          <w:rFonts w:hint="cs"/>
          <w:b/>
          <w:bCs/>
          <w:rtl/>
        </w:rPr>
        <w:t xml:space="preserve">תקופה האמורה ערך פקע"ר 38 סקרים ושילם תמורתם כ-800,000 ש"ח. </w:t>
      </w:r>
    </w:p>
    <w:p w:rsidR="006C1EA1" w:rsidRPr="00DC3374" w:rsidP="00E81188" w14:paraId="71FEDFCC" w14:textId="3BF218AB">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9DC84AD" w14:textId="6C80DC67">
      <w:pPr>
        <w:pStyle w:val="ListParagraph"/>
        <w:numPr>
          <w:ilvl w:val="1"/>
          <w:numId w:val="13"/>
        </w:numPr>
        <w:spacing w:line="269" w:lineRule="auto"/>
        <w:rPr>
          <w:b/>
          <w:bCs/>
          <w:rtl/>
        </w:rPr>
      </w:pPr>
      <w:r w:rsidRPr="00F26F18">
        <w:rPr>
          <w:rStyle w:val="7"/>
          <w:rFonts w:hint="eastAsia"/>
          <w:rtl/>
        </w:rPr>
        <w:t>מוקדי</w:t>
      </w:r>
      <w:r w:rsidRPr="00F26F18">
        <w:rPr>
          <w:rStyle w:val="7"/>
          <w:rtl/>
        </w:rPr>
        <w:t xml:space="preserve"> </w:t>
      </w:r>
      <w:r w:rsidRPr="00F26F18">
        <w:rPr>
          <w:rStyle w:val="7"/>
          <w:rFonts w:hint="eastAsia"/>
          <w:rtl/>
        </w:rPr>
        <w:t>מידע</w:t>
      </w:r>
      <w:r w:rsidRPr="00F26F18" w:rsidR="00E81188">
        <w:rPr>
          <w:rStyle w:val="7"/>
          <w:rtl/>
        </w:rPr>
        <w:t>:</w:t>
      </w:r>
      <w:r w:rsidRPr="00DC3374">
        <w:rPr>
          <w:rFonts w:hint="cs"/>
          <w:b/>
          <w:bCs/>
          <w:rtl/>
        </w:rPr>
        <w:t xml:space="preserve"> בהיעדר הסכמה על הפעלת מוקדי מידע משותפים, העביר כל אחד משני הגופים - משרד הבריאות ופקע"ר, מידע לציבור באמצעות הפעלת מוקד מידע טלפוני ואתר אינטרנט ייעודי. במהלך שנת 2020 הפעיל משרד הבריאות מוקד מידע טלפוני ייעודי לקורונה (מוקד 5400*) בהוצאה של 90.8 מיליון ש"ח, וכן הפעיל אתר אינטרנט ייעודי בהוצאה של 11.5 מיליון ש"ח. בתקופה זו הפעיל פקע"ר מוקד מידע טלפוני (מוקד 104) בהוצאה של 3.9 מיליון ש"ח וכן אתר אינטרנט ייעודי בהוצאה של 4.1 מיליון ש"ח.</w:t>
      </w:r>
    </w:p>
    <w:p w:rsidR="006C1EA1" w:rsidRPr="00DC3374" w:rsidP="00E81188" w14:paraId="7BDACC84" w14:textId="0DD4A912">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6C1EA1" w:rsidRPr="00DC3374" w:rsidP="00E81188" w14:paraId="13E4E4D5" w14:textId="45359E2E">
      <w:pPr>
        <w:spacing w:line="269" w:lineRule="auto"/>
        <w:rPr>
          <w:b/>
          <w:bCs/>
          <w:rtl/>
        </w:rPr>
      </w:pPr>
      <w:r w:rsidRPr="00DC3374">
        <w:rPr>
          <w:rFonts w:hint="cs"/>
          <w:b/>
          <w:bCs/>
          <w:rtl/>
        </w:rPr>
        <w:t>מן האמור עולה כי אף שלרשות פקע"ר עמד מערך ההסברה לשעת חירום, והוא קיבל את</w:t>
      </w:r>
      <w:r w:rsidR="009A11FC">
        <w:rPr>
          <w:rFonts w:hint="cs"/>
          <w:b/>
          <w:bCs/>
          <w:rtl/>
        </w:rPr>
        <w:t xml:space="preserve"> </w:t>
      </w:r>
      <w:r w:rsidRPr="00DC3374">
        <w:rPr>
          <w:rFonts w:hint="cs"/>
          <w:b/>
          <w:bCs/>
          <w:rtl/>
        </w:rPr>
        <w:t>אישור שר הביטחון לסייע למשרד הבריאות בהסברה במשבר הקורונה, בפועל במהלך רוב שנת 2020 פעלו משרד הבריאות ופקע"ר בנפרד, תוך הקמת שני מערכי הסברה, השקת מסעות פרסום, ביצוע סקרי דעת קהל וניתוחם והפעלת מוקדי מידע נפרדים לציבור, ותוך השקעת תקציבים נפרדים.</w:t>
      </w:r>
    </w:p>
    <w:p w:rsidR="006C1EA1" w:rsidRPr="00DC3374" w:rsidP="00E81188" w14:paraId="4F2B830A" w14:textId="6A60BC4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534EF14C" w14:textId="77777777">
      <w:pPr>
        <w:spacing w:line="269" w:lineRule="auto"/>
        <w:rPr>
          <w:rtl/>
        </w:rPr>
      </w:pPr>
      <w:r w:rsidRPr="00DC3374">
        <w:rPr>
          <w:rFonts w:hint="cs"/>
          <w:rtl/>
        </w:rPr>
        <w:t>משרד הבריאות מסר בתשובתו כי בנושא המוקדים הטלפוניים בוצעה במרץ 2020 חלוקת אחריות בינו ובין פקע"ר. לפי חלוקה זו, פקע"ר נתן מענה על שאלות בנושאי קורונה, בהתאם להנחיות משרד הבריאות, ועל שאלות בנושאים כגון מלוניות ומתחמי בדיקות, ומוקד משרד הבריאות נתן מענה על שאלות בנושאי קורונה וכן סיפק שירותים נוספים, כגון טיפול בבקשות ליציאה מבידוד. משרד הבריאות הוסיף כי מוקדי המידע לציבור של שני הגופים עבדו בשיתוף פעולה, שהתבטא בהעברת ההנחיות ממשרד הבריאות לפקע"ר ובשיח שאלות ותשובות בין המוקדים.</w:t>
      </w:r>
    </w:p>
    <w:p w:rsidR="006C1EA1" w:rsidRPr="00DC3374" w:rsidP="00E81188" w14:paraId="168BC236" w14:textId="65C48E9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0AA63DAE" w14:textId="77777777">
      <w:pPr>
        <w:spacing w:line="269" w:lineRule="auto"/>
        <w:rPr>
          <w:rtl/>
        </w:rPr>
      </w:pPr>
      <w:r w:rsidRPr="00DC3374">
        <w:rPr>
          <w:rFonts w:hint="cs"/>
          <w:rtl/>
        </w:rPr>
        <w:t>פקע"ר מסר בתשובתו כי לאחר שניתן לו אישור שר הביטחון לסייע למאמץ ההסברה במשבר הקורונה, הוא פעל מתוך גישה מרחיבה לנוכח יכולותיו באירועי חירום והצורך המובהק בכך. פקע"ר מסר עוד כי חלוקת האחריות בין גופי ההסברה במשבר הקורונה הוסדרה בעל פה עוד קודם לגיבוש מסמך הסדרת האחריות בין גופי ההסברה מאוקטובר 2020, וכי הדבר עולה מהמסמך האמור, שבו לגבי חלק ממשימות פקע"ר נכתב "המשך פעילות קיימת", ולגבי חלק אחר נכתב "הרחבת יכולות". פקע"ר ציין כי על פי חלוקת התפקידים המוסכמת, משרד הבריאות ביצע הסברה ברמה הארצית, ופקע"ר ביצע הסברה ברשויות המקומיות. פקע"ר הוסיף כי שני הגופים פעלו בנפרד אך בתיאום מסרים באופן התואם את הנחיות הממשלה לציבור.</w:t>
      </w:r>
    </w:p>
    <w:p w:rsidR="006C1EA1" w:rsidRPr="00DC3374" w:rsidP="00E81188" w14:paraId="2698E832" w14:textId="6B84DFF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A7005" w:rsidRPr="00DC3374" w:rsidP="00E81188" w14:paraId="5310918B" w14:textId="51AB2366">
      <w:pPr>
        <w:spacing w:line="269" w:lineRule="auto"/>
        <w:rPr>
          <w:b/>
          <w:bCs/>
          <w:rtl/>
        </w:rPr>
      </w:pPr>
      <w:r w:rsidRPr="00DC3374">
        <w:rPr>
          <w:b/>
          <w:bCs/>
          <w:rtl/>
        </w:rPr>
        <w:t xml:space="preserve">משרד מבקר המדינה מציין כי תשובות שני הגופים מבטאות הגדרות שונות של חלוקת האחריות שהתקיימה ביניהם עד </w:t>
      </w:r>
      <w:r w:rsidRPr="00DC3374" w:rsidR="001C4E94">
        <w:rPr>
          <w:rFonts w:hint="cs"/>
          <w:b/>
          <w:bCs/>
          <w:rtl/>
        </w:rPr>
        <w:t xml:space="preserve">אוקטובר 2020 - מועד </w:t>
      </w:r>
      <w:r w:rsidRPr="00DC3374">
        <w:rPr>
          <w:b/>
          <w:bCs/>
          <w:rtl/>
        </w:rPr>
        <w:t>גיבוש המסמך המסדיר את חלוקת האחריות</w:t>
      </w:r>
      <w:r w:rsidRPr="00DC3374" w:rsidR="001C4E94">
        <w:rPr>
          <w:rFonts w:hint="cs"/>
          <w:b/>
          <w:bCs/>
          <w:rtl/>
        </w:rPr>
        <w:t xml:space="preserve"> הזו</w:t>
      </w:r>
      <w:r w:rsidRPr="00DC3374">
        <w:rPr>
          <w:b/>
          <w:bCs/>
          <w:rtl/>
        </w:rPr>
        <w:t>, ו</w:t>
      </w:r>
      <w:r w:rsidRPr="00DC3374" w:rsidR="001C4E94">
        <w:rPr>
          <w:rFonts w:hint="cs"/>
          <w:b/>
          <w:bCs/>
          <w:rtl/>
        </w:rPr>
        <w:t xml:space="preserve">הן </w:t>
      </w:r>
      <w:r w:rsidRPr="00DC3374">
        <w:rPr>
          <w:b/>
          <w:bCs/>
          <w:rtl/>
        </w:rPr>
        <w:t>מחדדות את הצורך בהסדרת הנושא גם בנוגע למשברים אזרחיים אחרים.</w:t>
      </w:r>
    </w:p>
    <w:p w:rsidR="006C1EA1" w:rsidRPr="00DC3374" w:rsidP="00E81188" w14:paraId="3DAC50FF" w14:textId="3085B83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D639C2" w:rsidRPr="00DC3374" w:rsidP="00E81188" w14:paraId="3566318E" w14:textId="12F7AFB5">
      <w:pPr>
        <w:spacing w:line="269" w:lineRule="auto"/>
        <w:rPr>
          <w:rFonts w:ascii="Segoe UI Symbol" w:hAnsi="Segoe UI Symbol" w:cs="Segoe UI Symbol"/>
          <w:b/>
          <w:bCs/>
          <w:sz w:val="36"/>
          <w:rtl/>
        </w:rPr>
      </w:pPr>
      <w:r w:rsidRPr="00DC3374">
        <w:rPr>
          <w:b/>
          <w:bCs/>
          <w:rtl/>
        </w:rPr>
        <w:t xml:space="preserve">מומלץ כי משרד רה"ם, שבו הוקם מערך ההסברה, יפעל לגיבוש מתווה מחייב להגדרת "גבולות הגזרה" בין הגופים האחראים להסברה הלאומית באירוע חירום אזרחי, תוך מתן הדעת לתשתית הארגונית העומדת לרשות כל אחד מגופי ההסברה. לאחר שיוגדרו באופן מחייב תחומי האחריות להסברה בחירום של כל אחד מן הגופים, מומלץ כי המשרד יוודא כי גופי ההסברה נערכים לשעת חירום וכי יעמדו </w:t>
      </w:r>
      <w:r w:rsidRPr="00DC3374" w:rsidR="00EE6C14">
        <w:rPr>
          <w:rFonts w:hint="cs"/>
          <w:b/>
          <w:bCs/>
          <w:rtl/>
        </w:rPr>
        <w:t>לרשותם בעת הצורך</w:t>
      </w:r>
      <w:r w:rsidRPr="00DC3374">
        <w:rPr>
          <w:b/>
          <w:bCs/>
          <w:rtl/>
        </w:rPr>
        <w:t xml:space="preserve"> - בתוך זמן קצר וללא היערכות נוספת - אמצעים לוגיסטיים ומקצועיים המתאימים להיקף האחריות שהוטלה עליהם. עוד מומלץ כי מטה ההסברה הלאומי יפעל לתיאום בין כלל גופי ההסברה של משרדי הממשלה באופן שוטף במהלך </w:t>
      </w:r>
      <w:r w:rsidRPr="00DC3374">
        <w:rPr>
          <w:b/>
          <w:bCs/>
          <w:rtl/>
        </w:rPr>
        <w:t xml:space="preserve">המשבר </w:t>
      </w:r>
      <w:r w:rsidRPr="00DC3374">
        <w:rPr>
          <w:b/>
          <w:bCs/>
          <w:rtl/>
        </w:rPr>
        <w:t>ויפעל לפרסום בשגרה של מכרז להקמת מערך הסברה לשעת חירום כבסיס לעיבוי המערך הקיים בעת שיהיה צורך בכך.</w:t>
      </w:r>
    </w:p>
    <w:p w:rsidR="006C1EA1" w:rsidRPr="00DC3374" w:rsidP="00E81188" w14:paraId="62CBAC7C" w14:textId="4C4CB26F">
      <w:pPr>
        <w:spacing w:line="269" w:lineRule="auto"/>
        <w:jc w:val="center"/>
        <w:rPr>
          <w:rFonts w:ascii="Arial" w:hAnsi="Arial" w:cs="Arial"/>
          <w:b/>
          <w:bCs/>
          <w:sz w:val="36"/>
          <w:rtl/>
        </w:rPr>
      </w:pPr>
      <w:r w:rsidRPr="00DC3374">
        <w:rPr>
          <w:rFonts w:ascii="Segoe UI Symbol" w:hAnsi="Segoe UI Symbol" w:cs="Segoe UI Symbol" w:hint="cs"/>
          <w:b/>
          <w:bCs/>
          <w:sz w:val="36"/>
          <w:rtl/>
        </w:rPr>
        <w:t>✰</w:t>
      </w:r>
    </w:p>
    <w:p w:rsidR="006C1EA1" w:rsidRPr="00DC3374" w:rsidP="00E81188" w14:paraId="3AA4F84C" w14:textId="7481C20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C1EA1" w:rsidRPr="00DC3374" w:rsidP="00E81188" w14:paraId="65D660FC" w14:textId="1233761A">
      <w:pPr>
        <w:spacing w:line="269" w:lineRule="auto"/>
        <w:rPr>
          <w:b/>
          <w:bCs/>
          <w:rtl/>
        </w:rPr>
      </w:pPr>
      <w:r w:rsidRPr="00DC3374">
        <w:rPr>
          <w:rFonts w:hint="cs"/>
          <w:b/>
          <w:bCs/>
          <w:rtl/>
        </w:rPr>
        <w:t xml:space="preserve">המענה שנתנה הממשלה לצורך בהסברת משבר הקורונה היה שונה בעיקרו מתכנון ההסברה אשר עמד ביסוד החלטת הממשלה מ-2007 בדבר הקמת מערך ההסברה הלאומי במשרד רה"ם ומהתשתית הארגונית שעמדו לרשות גורמי ההסברה השונים: במערך ההסברה במשרד רה"ם חסרו גורמי מפתח חיוניים לפעילותו; משרד הבריאות נדרש להוביל את ההסברה בלי שעמדו לרשותו תשתית תפקודית וכלים מקצועיים מתאימים; פקע"ר - גוף שבו המדינה השקיעה משאבים רבים לצורך הקמת תשתית ארגונית ומקצועית בתחום ההסברה - הוגדר כגוף מסייע להסברה, ותפקידיו הובהרו רשמית במהלך הגל השני של המגפה, באוקטובר 2020. כתוצאה מהאמור לעיל הושקעו משאבי מדינה רבים להקמת מערך הסברה במשרד הבריאות, בלי להתחשב במשאבים שהמדינה השקיעה זה מכבר בפקע"ר. כמו כן ההיערכות של משרד הבריאות להסברה לציבור, במישור התפקודי ובמישור המקצועי, נעשתה תוך כדי המשבר וללא תיאום מיטבי בין הגופים. </w:t>
      </w:r>
    </w:p>
    <w:p w:rsidR="006C1EA1" w:rsidRPr="00DC3374" w:rsidP="00E81188" w14:paraId="6C539A88" w14:textId="7F42487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P="00E81188" w14:paraId="7D496585" w14:textId="681CC56E">
      <w:pPr>
        <w:spacing w:line="269" w:lineRule="auto"/>
        <w:rPr>
          <w:rFonts w:eastAsiaTheme="majorEastAsia"/>
          <w:bCs/>
          <w:szCs w:val="32"/>
          <w:rtl/>
        </w:rPr>
      </w:pPr>
      <w:r w:rsidRPr="00DC3374">
        <w:rPr>
          <w:rFonts w:hint="cs"/>
          <w:b/>
          <w:bCs/>
          <w:rtl/>
        </w:rPr>
        <w:t>כדי להבטיח שגופי ההסברה יהיו מוכנים למתן מענה הסברתי מיידי ואפקטיבי לציבור באירוע חירום אזרחי בעתיד, מומלץ כי משרד רה"ם, שבמסגרתו הוקם מערך ההסברה הלאומי, יפעל לוודא ביצוע של הפעולות האלה: במישור הבין-ארגוני - הסדרת מתווה מחייב וברור לחלוקת האחריות בין גופי ההסברה השונים; במישור הארגוני - התאמת התשתית הארגונית בכל אחד מגופי ההסברה לאחריות שתוטל עליו במסגרת המתווה האמור; במישור האסטרטגי - גיבוש אסטרטגיה להסברה בחירום, גם על סמך מחקר אוכלוסייה. מומלץ כי משרד רה"ם יפעל לקבוע במסגרת זו עקרונות ושיטות הסברה וינחה את גורמי ההסברה במשרדי הממשלה לגבש תוכניות פעולה בהתאם ולתאם את פעילותם עימו. עוד מומלץ כי גורמי ההסברה במשרדי הממשלה יגבשו תוכניות הסברה לשעת ח</w:t>
      </w:r>
      <w:r w:rsidR="008107D5">
        <w:rPr>
          <w:rFonts w:hint="cs"/>
          <w:b/>
          <w:bCs/>
          <w:rtl/>
        </w:rPr>
        <w:t>י</w:t>
      </w:r>
      <w:r w:rsidRPr="00DC3374">
        <w:rPr>
          <w:rFonts w:hint="cs"/>
          <w:b/>
          <w:bCs/>
          <w:rtl/>
        </w:rPr>
        <w:t xml:space="preserve">רום בתחומי האחריות של משרדיהם. </w:t>
      </w:r>
    </w:p>
    <w:p w:rsidR="009427E0" w:rsidP="00E81188" w14:paraId="32CEECA5" w14:textId="77777777">
      <w:pPr>
        <w:spacing w:line="269" w:lineRule="auto"/>
        <w:rPr>
          <w:rFonts w:eastAsiaTheme="majorEastAsia"/>
          <w:bCs/>
          <w:szCs w:val="32"/>
          <w:rtl/>
        </w:rPr>
      </w:pPr>
    </w:p>
    <w:p w:rsidR="00E92F67" w:rsidRPr="00DC3374" w:rsidP="00E81188" w14:paraId="24681590" w14:textId="77777777">
      <w:pPr>
        <w:pStyle w:val="Heading2"/>
        <w:spacing w:before="0" w:line="269" w:lineRule="auto"/>
        <w:rPr>
          <w:rFonts w:asciiTheme="minorHAnsi" w:hAnsiTheme="minorHAnsi"/>
          <w:rtl/>
        </w:rPr>
      </w:pPr>
      <w:r w:rsidRPr="00DC3374">
        <w:rPr>
          <w:rFonts w:hint="cs"/>
          <w:rtl/>
        </w:rPr>
        <w:t xml:space="preserve">מסירת מידע חיוני והנחיות לציבור </w:t>
      </w:r>
      <w:r w:rsidRPr="00DC3374">
        <w:rPr>
          <w:rFonts w:asciiTheme="minorHAnsi" w:hAnsiTheme="minorHAnsi" w:hint="cs"/>
          <w:rtl/>
        </w:rPr>
        <w:t>באמצעות אתרי האינטרנט והמוקדים הטלפוניים</w:t>
      </w:r>
    </w:p>
    <w:p w:rsidR="00E92F67" w:rsidRPr="00DC3374" w:rsidP="00E81188" w14:paraId="481002A3" w14:textId="008313D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9421270" w14:textId="77777777">
      <w:pPr>
        <w:spacing w:line="269" w:lineRule="auto"/>
        <w:rPr>
          <w:rtl/>
        </w:rPr>
      </w:pPr>
      <w:r w:rsidRPr="00DC3374">
        <w:rPr>
          <w:rFonts w:hint="cs"/>
          <w:rtl/>
        </w:rPr>
        <w:t>תפקיד ההסברה במצבי חירום הוא כאמור להניע את הציבור ביעילות להתנהגות מצילת חיים</w:t>
      </w:r>
      <w:r w:rsidRPr="00DC3374">
        <w:rPr>
          <w:rFonts w:hint="eastAsia"/>
          <w:rtl/>
        </w:rPr>
        <w:t xml:space="preserve"> </w:t>
      </w:r>
      <w:r w:rsidRPr="00DC3374">
        <w:rPr>
          <w:rFonts w:hint="cs"/>
          <w:rtl/>
        </w:rPr>
        <w:t>באמצעות</w:t>
      </w:r>
      <w:r w:rsidRPr="00DC3374">
        <w:rPr>
          <w:rtl/>
        </w:rPr>
        <w:t xml:space="preserve"> </w:t>
      </w:r>
      <w:r w:rsidRPr="00DC3374">
        <w:rPr>
          <w:rFonts w:hint="eastAsia"/>
          <w:rtl/>
        </w:rPr>
        <w:t>העברת</w:t>
      </w:r>
      <w:r w:rsidRPr="00DC3374">
        <w:rPr>
          <w:rtl/>
        </w:rPr>
        <w:t xml:space="preserve"> </w:t>
      </w:r>
      <w:r w:rsidRPr="00DC3374">
        <w:rPr>
          <w:rFonts w:hint="eastAsia"/>
          <w:rtl/>
        </w:rPr>
        <w:t>מידע</w:t>
      </w:r>
      <w:r w:rsidRPr="00DC3374">
        <w:rPr>
          <w:rFonts w:hint="cs"/>
          <w:rtl/>
        </w:rPr>
        <w:t xml:space="preserve"> חיוני</w:t>
      </w:r>
      <w:r w:rsidRPr="00DC3374">
        <w:rPr>
          <w:rtl/>
        </w:rPr>
        <w:t xml:space="preserve">, </w:t>
      </w:r>
      <w:r w:rsidRPr="00DC3374">
        <w:rPr>
          <w:rFonts w:hint="cs"/>
          <w:rtl/>
        </w:rPr>
        <w:t xml:space="preserve">שכנוע הציבור בדבר הצורך לפעול על פי ההנחיות שניתנו לו וחיזוק החוסן הציבורי. </w:t>
      </w:r>
      <w:r w:rsidRPr="00DC3374">
        <w:rPr>
          <w:rtl/>
        </w:rPr>
        <w:t xml:space="preserve">תוכן המידע שיועבר לציבור </w:t>
      </w:r>
      <w:r w:rsidRPr="00DC3374">
        <w:rPr>
          <w:rFonts w:hint="cs"/>
          <w:rtl/>
        </w:rPr>
        <w:t>נועד ל</w:t>
      </w:r>
      <w:r w:rsidRPr="00DC3374">
        <w:rPr>
          <w:rtl/>
        </w:rPr>
        <w:t>סייע בידו להתמודד ביעיל</w:t>
      </w:r>
      <w:r w:rsidRPr="00DC3374">
        <w:rPr>
          <w:rFonts w:hint="cs"/>
          <w:rtl/>
        </w:rPr>
        <w:t>ות</w:t>
      </w:r>
      <w:r w:rsidRPr="00DC3374">
        <w:rPr>
          <w:rtl/>
        </w:rPr>
        <w:t xml:space="preserve"> עם מצבי חירום שונים. </w:t>
      </w:r>
      <w:r w:rsidRPr="00DC3374">
        <w:rPr>
          <w:rFonts w:hint="cs"/>
          <w:rtl/>
        </w:rPr>
        <w:t xml:space="preserve">לצורך השגת מטרת ההסברה נדרש כי </w:t>
      </w:r>
      <w:r w:rsidRPr="00DC3374">
        <w:rPr>
          <w:rFonts w:hint="eastAsia"/>
          <w:rtl/>
        </w:rPr>
        <w:t>המידע</w:t>
      </w:r>
      <w:r w:rsidRPr="00DC3374">
        <w:rPr>
          <w:rtl/>
        </w:rPr>
        <w:t xml:space="preserve"> </w:t>
      </w:r>
      <w:r w:rsidRPr="00DC3374">
        <w:rPr>
          <w:rFonts w:hint="cs"/>
          <w:rtl/>
        </w:rPr>
        <w:t xml:space="preserve">המועבר לציבור יהיה </w:t>
      </w:r>
      <w:r w:rsidRPr="00DC3374">
        <w:rPr>
          <w:rFonts w:hint="eastAsia"/>
          <w:rtl/>
        </w:rPr>
        <w:t>ברור</w:t>
      </w:r>
      <w:r w:rsidRPr="00DC3374">
        <w:rPr>
          <w:rtl/>
        </w:rPr>
        <w:t xml:space="preserve">, </w:t>
      </w:r>
      <w:r w:rsidRPr="00DC3374">
        <w:rPr>
          <w:rFonts w:hint="eastAsia"/>
          <w:rtl/>
        </w:rPr>
        <w:t>אמין</w:t>
      </w:r>
      <w:r w:rsidRPr="00DC3374">
        <w:rPr>
          <w:rFonts w:hint="cs"/>
          <w:rtl/>
        </w:rPr>
        <w:t xml:space="preserve"> ו</w:t>
      </w:r>
      <w:r w:rsidRPr="00DC3374">
        <w:rPr>
          <w:rFonts w:hint="eastAsia"/>
          <w:rtl/>
        </w:rPr>
        <w:t>עקבי</w:t>
      </w:r>
      <w:r w:rsidRPr="00DC3374">
        <w:rPr>
          <w:rtl/>
        </w:rPr>
        <w:t>,</w:t>
      </w:r>
      <w:r w:rsidRPr="00DC3374">
        <w:rPr>
          <w:rFonts w:hint="cs"/>
          <w:rtl/>
        </w:rPr>
        <w:t xml:space="preserve"> ויגיע</w:t>
      </w:r>
      <w:r w:rsidRPr="00DC3374">
        <w:rPr>
          <w:rtl/>
        </w:rPr>
        <w:t xml:space="preserve"> </w:t>
      </w:r>
      <w:r w:rsidRPr="00DC3374">
        <w:rPr>
          <w:rFonts w:hint="eastAsia"/>
          <w:rtl/>
        </w:rPr>
        <w:t>מוקדם</w:t>
      </w:r>
      <w:r w:rsidRPr="00DC3374">
        <w:rPr>
          <w:rtl/>
        </w:rPr>
        <w:t xml:space="preserve"> </w:t>
      </w:r>
      <w:r w:rsidRPr="00DC3374">
        <w:rPr>
          <w:rFonts w:hint="eastAsia"/>
          <w:rtl/>
        </w:rPr>
        <w:t>ככל</w:t>
      </w:r>
      <w:r w:rsidRPr="00DC3374">
        <w:rPr>
          <w:rtl/>
        </w:rPr>
        <w:t xml:space="preserve"> </w:t>
      </w:r>
      <w:r w:rsidRPr="00DC3374">
        <w:rPr>
          <w:rFonts w:hint="eastAsia"/>
          <w:rtl/>
        </w:rPr>
        <w:t>האפשר</w:t>
      </w:r>
      <w:r w:rsidRPr="00DC3374">
        <w:rPr>
          <w:rtl/>
        </w:rPr>
        <w:t xml:space="preserve"> </w:t>
      </w:r>
      <w:r w:rsidRPr="00DC3374">
        <w:rPr>
          <w:rFonts w:hint="eastAsia"/>
          <w:rtl/>
        </w:rPr>
        <w:t>ממקורות</w:t>
      </w:r>
      <w:r w:rsidRPr="00DC3374">
        <w:rPr>
          <w:rtl/>
        </w:rPr>
        <w:t xml:space="preserve"> </w:t>
      </w:r>
      <w:r w:rsidRPr="00DC3374">
        <w:rPr>
          <w:rFonts w:hint="eastAsia"/>
          <w:rtl/>
        </w:rPr>
        <w:t>מוסמכים</w:t>
      </w:r>
      <w:r w:rsidRPr="00DC3374">
        <w:rPr>
          <w:rFonts w:hint="cs"/>
          <w:rtl/>
        </w:rPr>
        <w:t xml:space="preserve">, </w:t>
      </w:r>
      <w:r w:rsidRPr="00DC3374">
        <w:rPr>
          <w:rFonts w:hint="eastAsia"/>
          <w:rtl/>
        </w:rPr>
        <w:t>שנתפסים</w:t>
      </w:r>
      <w:r w:rsidRPr="00DC3374">
        <w:rPr>
          <w:rtl/>
        </w:rPr>
        <w:t xml:space="preserve"> </w:t>
      </w:r>
      <w:r w:rsidRPr="00DC3374">
        <w:rPr>
          <w:rFonts w:hint="eastAsia"/>
          <w:rtl/>
        </w:rPr>
        <w:t>כמקצועיים</w:t>
      </w:r>
      <w:r w:rsidRPr="00DC3374">
        <w:rPr>
          <w:rtl/>
        </w:rPr>
        <w:t xml:space="preserve"> </w:t>
      </w:r>
      <w:r w:rsidRPr="00DC3374">
        <w:rPr>
          <w:rFonts w:hint="eastAsia"/>
          <w:rtl/>
        </w:rPr>
        <w:t>וכאובייקטיביים</w:t>
      </w:r>
      <w:r w:rsidRPr="00DC3374">
        <w:rPr>
          <w:rtl/>
        </w:rPr>
        <w:t xml:space="preserve">. </w:t>
      </w:r>
      <w:r w:rsidRPr="00DC3374">
        <w:rPr>
          <w:rFonts w:hint="eastAsia"/>
          <w:rtl/>
        </w:rPr>
        <w:t>על</w:t>
      </w:r>
      <w:r w:rsidRPr="00DC3374">
        <w:rPr>
          <w:rtl/>
        </w:rPr>
        <w:t xml:space="preserve"> </w:t>
      </w:r>
      <w:r w:rsidRPr="00DC3374">
        <w:rPr>
          <w:rFonts w:hint="eastAsia"/>
          <w:rtl/>
        </w:rPr>
        <w:t>המידע</w:t>
      </w:r>
      <w:r w:rsidRPr="00DC3374">
        <w:rPr>
          <w:rtl/>
        </w:rPr>
        <w:t xml:space="preserve"> </w:t>
      </w:r>
      <w:r w:rsidRPr="00DC3374">
        <w:rPr>
          <w:rFonts w:hint="eastAsia"/>
          <w:rtl/>
        </w:rPr>
        <w:t>להתייחס</w:t>
      </w:r>
      <w:r w:rsidRPr="00DC3374">
        <w:rPr>
          <w:rtl/>
        </w:rPr>
        <w:t xml:space="preserve"> </w:t>
      </w:r>
      <w:r w:rsidRPr="00DC3374">
        <w:rPr>
          <w:rFonts w:hint="eastAsia"/>
          <w:rtl/>
        </w:rPr>
        <w:t>לא</w:t>
      </w:r>
      <w:r w:rsidRPr="00DC3374">
        <w:rPr>
          <w:rtl/>
        </w:rPr>
        <w:t xml:space="preserve"> </w:t>
      </w:r>
      <w:r w:rsidRPr="00DC3374">
        <w:rPr>
          <w:rFonts w:hint="eastAsia"/>
          <w:rtl/>
        </w:rPr>
        <w:t>רק</w:t>
      </w:r>
      <w:r w:rsidRPr="00DC3374">
        <w:rPr>
          <w:rtl/>
        </w:rPr>
        <w:t xml:space="preserve"> </w:t>
      </w:r>
      <w:r w:rsidRPr="00DC3374">
        <w:rPr>
          <w:rFonts w:hint="eastAsia"/>
          <w:rtl/>
        </w:rPr>
        <w:t>לגורם</w:t>
      </w:r>
      <w:r w:rsidRPr="00DC3374">
        <w:rPr>
          <w:rtl/>
        </w:rPr>
        <w:t xml:space="preserve"> </w:t>
      </w:r>
      <w:r w:rsidRPr="00DC3374">
        <w:rPr>
          <w:rFonts w:hint="eastAsia"/>
          <w:rtl/>
        </w:rPr>
        <w:t>הסיכון</w:t>
      </w:r>
      <w:r w:rsidRPr="00DC3374">
        <w:rPr>
          <w:rtl/>
        </w:rPr>
        <w:t xml:space="preserve"> </w:t>
      </w:r>
      <w:r w:rsidRPr="00DC3374">
        <w:rPr>
          <w:rFonts w:hint="eastAsia"/>
          <w:rtl/>
        </w:rPr>
        <w:t>אלא</w:t>
      </w:r>
      <w:r w:rsidRPr="00DC3374">
        <w:rPr>
          <w:rtl/>
        </w:rPr>
        <w:t xml:space="preserve"> </w:t>
      </w:r>
      <w:r w:rsidRPr="00DC3374">
        <w:rPr>
          <w:rFonts w:hint="eastAsia"/>
          <w:rtl/>
        </w:rPr>
        <w:t>גם</w:t>
      </w:r>
      <w:r w:rsidRPr="00DC3374">
        <w:rPr>
          <w:rtl/>
        </w:rPr>
        <w:t xml:space="preserve"> </w:t>
      </w:r>
      <w:r w:rsidRPr="00DC3374">
        <w:rPr>
          <w:rFonts w:hint="eastAsia"/>
          <w:rtl/>
        </w:rPr>
        <w:t>להציע</w:t>
      </w:r>
      <w:r w:rsidRPr="00DC3374">
        <w:rPr>
          <w:rtl/>
        </w:rPr>
        <w:t xml:space="preserve"> </w:t>
      </w:r>
      <w:r w:rsidRPr="00DC3374">
        <w:rPr>
          <w:rFonts w:hint="eastAsia"/>
          <w:rtl/>
        </w:rPr>
        <w:t>דרך</w:t>
      </w:r>
      <w:r w:rsidRPr="00DC3374">
        <w:rPr>
          <w:rtl/>
        </w:rPr>
        <w:t xml:space="preserve"> </w:t>
      </w:r>
      <w:r w:rsidRPr="00DC3374">
        <w:rPr>
          <w:rFonts w:hint="eastAsia"/>
          <w:rtl/>
        </w:rPr>
        <w:t>התגוננות</w:t>
      </w:r>
      <w:r w:rsidRPr="00DC3374">
        <w:rPr>
          <w:rtl/>
        </w:rPr>
        <w:t xml:space="preserve"> </w:t>
      </w:r>
      <w:r w:rsidRPr="00DC3374">
        <w:rPr>
          <w:rFonts w:hint="eastAsia"/>
          <w:rtl/>
        </w:rPr>
        <w:t>יעילה</w:t>
      </w:r>
      <w:r w:rsidRPr="00DC3374">
        <w:rPr>
          <w:rtl/>
        </w:rPr>
        <w:t xml:space="preserve"> </w:t>
      </w:r>
      <w:r w:rsidRPr="00DC3374">
        <w:rPr>
          <w:rFonts w:hint="eastAsia"/>
          <w:rtl/>
        </w:rPr>
        <w:t>ולכלול</w:t>
      </w:r>
      <w:r w:rsidRPr="00DC3374">
        <w:rPr>
          <w:rtl/>
        </w:rPr>
        <w:t xml:space="preserve"> </w:t>
      </w:r>
      <w:r w:rsidRPr="00DC3374">
        <w:rPr>
          <w:rFonts w:hint="eastAsia"/>
          <w:rtl/>
        </w:rPr>
        <w:t>מסר</w:t>
      </w:r>
      <w:r w:rsidRPr="00DC3374">
        <w:rPr>
          <w:rtl/>
        </w:rPr>
        <w:t xml:space="preserve"> </w:t>
      </w:r>
      <w:r w:rsidRPr="00DC3374">
        <w:rPr>
          <w:rFonts w:hint="eastAsia"/>
          <w:rtl/>
        </w:rPr>
        <w:t>מרגיע</w:t>
      </w:r>
      <w:r w:rsidRPr="00DC3374">
        <w:rPr>
          <w:rtl/>
        </w:rPr>
        <w:t xml:space="preserve"> </w:t>
      </w:r>
      <w:r w:rsidRPr="00DC3374">
        <w:rPr>
          <w:rFonts w:hint="eastAsia"/>
          <w:rtl/>
        </w:rPr>
        <w:t>המאשרר</w:t>
      </w:r>
      <w:r w:rsidRPr="00DC3374">
        <w:rPr>
          <w:rtl/>
        </w:rPr>
        <w:t xml:space="preserve"> </w:t>
      </w:r>
      <w:r w:rsidRPr="00DC3374">
        <w:rPr>
          <w:rFonts w:hint="eastAsia"/>
          <w:rtl/>
        </w:rPr>
        <w:t>התנהגות</w:t>
      </w:r>
      <w:r w:rsidRPr="00DC3374">
        <w:rPr>
          <w:rtl/>
        </w:rPr>
        <w:t xml:space="preserve"> </w:t>
      </w:r>
      <w:r w:rsidRPr="00DC3374">
        <w:rPr>
          <w:rFonts w:hint="eastAsia"/>
          <w:rtl/>
        </w:rPr>
        <w:t>רצויה</w:t>
      </w:r>
      <w:r w:rsidRPr="00DC3374">
        <w:rPr>
          <w:rtl/>
        </w:rPr>
        <w:t>.</w:t>
      </w:r>
    </w:p>
    <w:p w:rsidR="00E92F67" w:rsidRPr="00DC3374" w:rsidP="00E81188" w14:paraId="66CA29C1" w14:textId="77777777">
      <w:pPr>
        <w:spacing w:line="269" w:lineRule="auto"/>
        <w:rPr>
          <w:rtl/>
        </w:rPr>
      </w:pPr>
    </w:p>
    <w:p w:rsidR="00E92F67" w:rsidRPr="00DC3374" w:rsidP="00E81188" w14:paraId="74B0AD7F" w14:textId="77777777">
      <w:pPr>
        <w:pStyle w:val="Heading3"/>
        <w:spacing w:before="0" w:line="269" w:lineRule="auto"/>
        <w:rPr>
          <w:rtl/>
        </w:rPr>
      </w:pPr>
      <w:r w:rsidRPr="00DC3374">
        <w:rPr>
          <w:rFonts w:hint="cs"/>
          <w:rtl/>
        </w:rPr>
        <w:t>מסירת מידע לציבור במדינות שונות</w:t>
      </w:r>
    </w:p>
    <w:p w:rsidR="00E92F67" w:rsidRPr="00DC3374" w:rsidP="00E81188" w14:paraId="38FCDFEB" w14:textId="6ADF94E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826FABC" w14:textId="77777777">
      <w:pPr>
        <w:spacing w:line="269" w:lineRule="auto"/>
        <w:rPr>
          <w:rtl/>
        </w:rPr>
      </w:pPr>
      <w:r w:rsidRPr="00DC3374">
        <w:rPr>
          <w:rtl/>
        </w:rPr>
        <w:t xml:space="preserve">מחקר שנערך על ידי "מרכז המידע והידע הלאומי למערכה בקורונה" </w:t>
      </w:r>
      <w:r w:rsidRPr="00DC3374">
        <w:rPr>
          <w:rFonts w:hint="cs"/>
          <w:rtl/>
        </w:rPr>
        <w:t>ואשר פורסם ב</w:t>
      </w:r>
      <w:r w:rsidRPr="00DC3374">
        <w:rPr>
          <w:rtl/>
        </w:rPr>
        <w:t xml:space="preserve">יולי 2020, </w:t>
      </w:r>
      <w:r w:rsidRPr="00DC3374">
        <w:rPr>
          <w:rFonts w:hint="cs"/>
          <w:rtl/>
        </w:rPr>
        <w:t>מציג</w:t>
      </w:r>
      <w:r w:rsidRPr="00DC3374">
        <w:rPr>
          <w:rtl/>
        </w:rPr>
        <w:t xml:space="preserve"> </w:t>
      </w:r>
      <w:r w:rsidRPr="00DC3374">
        <w:rPr>
          <w:rFonts w:hint="cs"/>
          <w:rtl/>
        </w:rPr>
        <w:t>תמונת מצב בדבר אמצעי ההסברה לציבור במדינות שונות</w:t>
      </w:r>
      <w:r>
        <w:rPr>
          <w:rStyle w:val="FootnoteReference1"/>
          <w:rtl/>
        </w:rPr>
        <w:footnoteReference w:id="47"/>
      </w:r>
      <w:r w:rsidRPr="00DC3374">
        <w:rPr>
          <w:rFonts w:hint="cs"/>
          <w:rtl/>
        </w:rPr>
        <w:t xml:space="preserve">. על פי המחקר, מערכי ההסברה המדינתיים במערב ובמזרח הרחוק מתבססים לרוב על אסטרטגיה סדורה, המנוהלת בידי גוף יחיד האחראי ליישומה. לשם רתימת הציבור הושם דגש בשקיפות כלפי הציבור גם באמצעות הצגת </w:t>
      </w:r>
      <w:r w:rsidRPr="00DC3374">
        <w:rPr>
          <w:rFonts w:hint="cs"/>
          <w:rtl/>
        </w:rPr>
        <w:t>מידע תדירה והצגת שיקולי הממשלה בגיבוש ההנחיות. במסגרת זו משתמשים באמצעים שונים, כגון אמצעים חזותיים, יישומונים (אפליקציות) וידוענים</w:t>
      </w:r>
      <w:r>
        <w:rPr>
          <w:rStyle w:val="FootnoteReference1"/>
          <w:rtl/>
        </w:rPr>
        <w:footnoteReference w:id="48"/>
      </w:r>
      <w:r w:rsidRPr="00DC3374">
        <w:rPr>
          <w:rFonts w:hint="cs"/>
          <w:rtl/>
        </w:rPr>
        <w:t xml:space="preserve">. חלק ממסעות ההסברה מוכוונים לקהל יעד ספציפי, וההנחיות מתורגמות לשפות נוספות במידת הצורך. </w:t>
      </w:r>
    </w:p>
    <w:p w:rsidR="00E92F67" w:rsidRPr="00DC3374" w:rsidP="00E81188" w14:paraId="6A6DD942" w14:textId="73F0189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334A673" w14:textId="71C3A7A1">
      <w:pPr>
        <w:spacing w:line="269" w:lineRule="auto"/>
        <w:rPr>
          <w:rtl/>
        </w:rPr>
      </w:pPr>
      <w:r w:rsidRPr="00DC3374">
        <w:rPr>
          <w:rFonts w:hint="cs"/>
          <w:rtl/>
        </w:rPr>
        <w:t xml:space="preserve">עוד נכתב במחקר כי דרך נפוצה להעברת מסרים מטעם הממשלה היא שימוש באמצעי התקשורת המרכזיים במדינה. במרבית ממדינות אירופה שנבחנו במחקר נמסרים עדכונים ישירים מאת נבחרי הציבור; במרבית המדינות האלה התראיינו גורמי ממשל בכירים בעת שינוי משמעותי בהנחיות, לדוגמה, באוסטריה, גרמניה, ספרד וצרפת. </w:t>
      </w:r>
    </w:p>
    <w:p w:rsidR="00E92F67" w:rsidRPr="00DC3374" w:rsidP="00E81188" w14:paraId="65E24BB6" w14:textId="4FF3948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57F7F54" w14:textId="47588C5D">
      <w:pPr>
        <w:spacing w:line="269" w:lineRule="auto"/>
        <w:rPr>
          <w:rtl/>
        </w:rPr>
      </w:pPr>
      <w:r w:rsidRPr="00DC3374">
        <w:rPr>
          <w:rFonts w:hint="cs"/>
          <w:rtl/>
        </w:rPr>
        <w:t>במדינות מזרח אסיה משתמשים ביישומונים ייעודיים ככלי עיקרי לתקשורת שוטפת, ולכן בולט השימוש בהם גם לצורך המאבק בנגיף הקורונה. מרבית היישומונים הוקמו ביוזמת הממשלות או בתמיכתן, והמידע בה</w:t>
      </w:r>
      <w:r w:rsidR="003E587B">
        <w:rPr>
          <w:rFonts w:hint="cs"/>
          <w:rtl/>
        </w:rPr>
        <w:t>ם</w:t>
      </w:r>
      <w:r w:rsidRPr="00DC3374">
        <w:rPr>
          <w:rFonts w:hint="cs"/>
          <w:rtl/>
        </w:rPr>
        <w:t xml:space="preserve"> מבוסס בעיקר על מידע ממשלתי. באירופה, לעומת זאת, משתמשים בעיקר באתרים של משרד הבריאות והגופים האמונים על בריאות הציבור.</w:t>
      </w:r>
    </w:p>
    <w:p w:rsidR="00E92F67" w:rsidRPr="00DC3374" w:rsidP="00E81188" w14:paraId="774476CE" w14:textId="2F1EA4B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88EAD02" w14:textId="77777777">
      <w:pPr>
        <w:spacing w:line="269" w:lineRule="auto"/>
        <w:rPr>
          <w:rtl/>
        </w:rPr>
      </w:pPr>
      <w:r w:rsidRPr="00DC3374">
        <w:rPr>
          <w:rFonts w:hint="cs"/>
          <w:rtl/>
        </w:rPr>
        <w:t xml:space="preserve">הפרסום החזותי הוא כלי משלים לאוכלוסיות שאינן מתעדכנות דרך הפלטפורמות הדיגיטליות. לדוגמה, בדרום קוריאה ויפן הפרסום החזותי כולל תליית מודעות ברחובות, ובהן מידע בנוגע לכללי הריחוק וההיגיינה. בסינגפור אף נתלו כרזות המכילות קוד </w:t>
      </w:r>
      <w:r w:rsidRPr="00DC3374">
        <w:rPr>
          <w:rFonts w:hint="cs"/>
        </w:rPr>
        <w:t>QR</w:t>
      </w:r>
      <w:r w:rsidRPr="00DC3374">
        <w:rPr>
          <w:rFonts w:hint="cs"/>
          <w:rtl/>
        </w:rPr>
        <w:t xml:space="preserve"> לסריקה באמצעות טלפונים סלולריים, המאפשר גישה לאתרי ההסברה. </w:t>
      </w:r>
    </w:p>
    <w:p w:rsidR="00E92F67" w:rsidRPr="00DC3374" w:rsidP="00E81188" w14:paraId="348FD60E" w14:textId="2EF0C4A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D13B6FF" w14:textId="77777777">
      <w:pPr>
        <w:spacing w:line="269" w:lineRule="auto"/>
        <w:rPr>
          <w:rtl/>
        </w:rPr>
      </w:pPr>
      <w:r w:rsidRPr="00DC3374">
        <w:rPr>
          <w:rFonts w:hint="cs"/>
          <w:rtl/>
        </w:rPr>
        <w:t xml:space="preserve">כמאמץ משלים, בחלק מהמדינות משתמשים במסעות פרסום מוכווני קהל יעד כגון צעירים או מבוגרים. לאוכלוסיות העובדים הזרים, לדוגמה, הוקמו תשתיות המספקות מידע באופן שוטף ומותאם באמצעות תרגום התכנים לכמה שפות. </w:t>
      </w:r>
    </w:p>
    <w:p w:rsidR="00E92F67" w:rsidRPr="00DC3374" w:rsidP="00E81188" w14:paraId="48601B4B" w14:textId="77777777">
      <w:pPr>
        <w:spacing w:line="269" w:lineRule="auto"/>
        <w:rPr>
          <w:rtl/>
        </w:rPr>
      </w:pPr>
    </w:p>
    <w:p w:rsidR="00E92F67" w:rsidRPr="00DC3374" w:rsidP="00E81188" w14:paraId="2A03F11A" w14:textId="77777777">
      <w:pPr>
        <w:pStyle w:val="Heading3"/>
        <w:spacing w:before="0" w:line="269" w:lineRule="auto"/>
        <w:rPr>
          <w:rtl/>
        </w:rPr>
      </w:pPr>
      <w:r w:rsidRPr="00DC3374">
        <w:rPr>
          <w:rFonts w:hint="cs"/>
          <w:rtl/>
        </w:rPr>
        <w:t>מסירת מידע לציבור באמצעות אתרי אינטרנט</w:t>
      </w:r>
    </w:p>
    <w:p w:rsidR="00E92F67" w:rsidRPr="00DC3374" w:rsidP="00E81188" w14:paraId="744538A6" w14:textId="730C51D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E9B4014" w14:textId="77777777">
      <w:pPr>
        <w:spacing w:line="269" w:lineRule="auto"/>
        <w:rPr>
          <w:rtl/>
        </w:rPr>
      </w:pPr>
      <w:r w:rsidRPr="00DC3374">
        <w:rPr>
          <w:rFonts w:hint="cs"/>
          <w:rtl/>
        </w:rPr>
        <w:t xml:space="preserve">על פי ההחלטות שקיבלה הממשלה כמפורט להלן, ככלל, יש להנגיש את מכלול המידע הממשלתי לציבור באתר אינטרנט אחד, כדי שהציבור יוכל לקבל מידע על שירותי הממשלה בכללותם, ללא צורך לסקור אתרים של גופים ממשלתיים שונים. </w:t>
      </w:r>
    </w:p>
    <w:p w:rsidR="00E92F67" w:rsidRPr="00DC3374" w:rsidP="00E81188" w14:paraId="44F5F7D6" w14:textId="3BE8AB2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B31ABE7" w14:textId="2B9AA8B0">
      <w:pPr>
        <w:spacing w:line="269" w:lineRule="auto"/>
        <w:rPr>
          <w:rtl/>
        </w:rPr>
      </w:pPr>
      <w:r w:rsidRPr="00DC3374">
        <w:rPr>
          <w:rFonts w:hint="cs"/>
          <w:rtl/>
        </w:rPr>
        <w:t xml:space="preserve">בהחלטת הממשלה מ-2007 נקבעו כללי ההסברה במרחב האינטרנט, ולפיהם יוקם פורום אינטרנטי בראשות ראש מטה ההסברה הלאומי, אשר יכלול את כל גורמי ההסברה הממשלתיים והביטחוניים במטרה לפעול יחד בתיאום. עוד נקבע בהחלטה כי בעת חירום במישור </w:t>
      </w:r>
      <w:r w:rsidRPr="00DC3374">
        <w:rPr>
          <w:rtl/>
        </w:rPr>
        <w:t>הלאומי-אזרחי ישולב כל המידע הרלוונטי מאתרי ה</w:t>
      </w:r>
      <w:r w:rsidRPr="00DC3374">
        <w:rPr>
          <w:rFonts w:hint="cs"/>
          <w:rtl/>
        </w:rPr>
        <w:t>אינטרנט</w:t>
      </w:r>
      <w:r w:rsidRPr="00DC3374">
        <w:rPr>
          <w:rtl/>
        </w:rPr>
        <w:t xml:space="preserve"> של המשרדים הממשלתיים</w:t>
      </w:r>
      <w:r w:rsidRPr="00DC3374">
        <w:rPr>
          <w:rFonts w:hint="cs"/>
          <w:rtl/>
        </w:rPr>
        <w:t xml:space="preserve"> כדי שהציבור יוכל </w:t>
      </w:r>
      <w:r w:rsidRPr="00DC3374">
        <w:rPr>
          <w:rtl/>
        </w:rPr>
        <w:t>למצוא א</w:t>
      </w:r>
      <w:r w:rsidRPr="00DC3374">
        <w:rPr>
          <w:rFonts w:hint="cs"/>
          <w:rtl/>
        </w:rPr>
        <w:t>ו</w:t>
      </w:r>
      <w:r w:rsidRPr="00DC3374">
        <w:rPr>
          <w:rtl/>
        </w:rPr>
        <w:t>ת</w:t>
      </w:r>
      <w:r w:rsidRPr="00DC3374">
        <w:rPr>
          <w:rFonts w:hint="cs"/>
          <w:rtl/>
        </w:rPr>
        <w:t>ו</w:t>
      </w:r>
      <w:r w:rsidRPr="00DC3374">
        <w:rPr>
          <w:rtl/>
        </w:rPr>
        <w:t xml:space="preserve"> </w:t>
      </w:r>
      <w:r w:rsidRPr="00DC3374">
        <w:rPr>
          <w:rFonts w:hint="cs"/>
          <w:rtl/>
        </w:rPr>
        <w:t>בקלות בעת חירום</w:t>
      </w:r>
      <w:r w:rsidRPr="00DC3374">
        <w:rPr>
          <w:rtl/>
        </w:rPr>
        <w:t>.</w:t>
      </w:r>
      <w:r w:rsidRPr="00DC3374">
        <w:rPr>
          <w:rFonts w:hint="cs"/>
          <w:rtl/>
        </w:rPr>
        <w:t xml:space="preserve"> על פי דוח מימון, </w:t>
      </w:r>
      <w:r w:rsidR="00D96D99">
        <w:rPr>
          <w:rFonts w:hint="cs"/>
          <w:rtl/>
        </w:rPr>
        <w:t>שעל בסיסו נוסחה החלטת הממשלה</w:t>
      </w:r>
      <w:r w:rsidRPr="00DC3374">
        <w:rPr>
          <w:rFonts w:hint="cs"/>
          <w:rtl/>
        </w:rPr>
        <w:t>, יש לשלב את המידע הרלוונטי כאמור במערכת מתואמת אחת.</w:t>
      </w:r>
    </w:p>
    <w:p w:rsidR="00E92F67" w:rsidRPr="00DC3374" w:rsidP="00E81188" w14:paraId="2B9C8A9F" w14:textId="63EF0DB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P="00E81188" w14:paraId="2F7EB71A" w14:textId="79C41040">
      <w:pPr>
        <w:spacing w:line="269" w:lineRule="auto"/>
        <w:rPr>
          <w:rtl/>
        </w:rPr>
      </w:pPr>
      <w:r w:rsidRPr="00DC3374">
        <w:rPr>
          <w:rFonts w:hint="cs"/>
          <w:rtl/>
        </w:rPr>
        <w:t>בשנת 2014 החליטה הממשלה כי רשות התקשוב הממשלתי</w:t>
      </w:r>
      <w:r>
        <w:rPr>
          <w:rStyle w:val="FootnoteReference1"/>
          <w:rtl/>
        </w:rPr>
        <w:footnoteReference w:id="49"/>
      </w:r>
      <w:r w:rsidRPr="00DC3374">
        <w:rPr>
          <w:rFonts w:hint="cs"/>
          <w:rtl/>
        </w:rPr>
        <w:t xml:space="preserve"> תקים אתר אינטרנט אחוד לכלל משרדי הממשלה, שינגיש את המידע הממשלתי לציבור בצורה נוחה ופשוטה, מתוך תפיסה שמעמידה את צורכי המשתמש במרכז ובהנחה שהאזרח מעוניין לקבל שירות מהממשלה, ללא קשר למשרד או לגוף האחראים למתן השירות</w:t>
      </w:r>
      <w:r>
        <w:rPr>
          <w:rStyle w:val="FootnoteReference1"/>
          <w:rtl/>
        </w:rPr>
        <w:footnoteReference w:id="50"/>
      </w:r>
      <w:r w:rsidRPr="00DC3374">
        <w:rPr>
          <w:rFonts w:hint="cs"/>
          <w:rtl/>
        </w:rPr>
        <w:t xml:space="preserve">. לנוכח החלטה זו הקימה ב-2015 </w:t>
      </w:r>
      <w:r w:rsidRPr="00DC3374">
        <w:rPr>
          <w:rFonts w:hint="eastAsia"/>
          <w:rtl/>
        </w:rPr>
        <w:t>יחידת</w:t>
      </w:r>
      <w:r w:rsidRPr="00DC3374">
        <w:rPr>
          <w:rtl/>
        </w:rPr>
        <w:t xml:space="preserve"> </w:t>
      </w:r>
      <w:r w:rsidRPr="00DC3374">
        <w:rPr>
          <w:rFonts w:hint="eastAsia"/>
          <w:rtl/>
        </w:rPr>
        <w:t>ממשל</w:t>
      </w:r>
      <w:r w:rsidRPr="00DC3374">
        <w:rPr>
          <w:rtl/>
        </w:rPr>
        <w:t xml:space="preserve"> </w:t>
      </w:r>
      <w:r w:rsidRPr="00DC3374">
        <w:rPr>
          <w:rFonts w:hint="eastAsia"/>
          <w:rtl/>
        </w:rPr>
        <w:t>זמין</w:t>
      </w:r>
      <w:r w:rsidRPr="00DC3374">
        <w:rPr>
          <w:rtl/>
        </w:rPr>
        <w:t xml:space="preserve"> </w:t>
      </w:r>
      <w:r w:rsidRPr="00DC3374">
        <w:rPr>
          <w:rFonts w:hint="eastAsia"/>
          <w:rtl/>
        </w:rPr>
        <w:t>ברשות</w:t>
      </w:r>
      <w:r w:rsidRPr="00DC3374">
        <w:rPr>
          <w:rtl/>
        </w:rPr>
        <w:t xml:space="preserve"> </w:t>
      </w:r>
      <w:r w:rsidRPr="00DC3374">
        <w:rPr>
          <w:rFonts w:hint="eastAsia"/>
          <w:rtl/>
        </w:rPr>
        <w:t>התקשוב</w:t>
      </w:r>
      <w:r w:rsidRPr="00DC3374">
        <w:rPr>
          <w:rtl/>
        </w:rPr>
        <w:t xml:space="preserve"> </w:t>
      </w:r>
      <w:r w:rsidRPr="00DC3374">
        <w:rPr>
          <w:rFonts w:hint="eastAsia"/>
          <w:rtl/>
        </w:rPr>
        <w:t>הממשלתי</w:t>
      </w:r>
      <w:r w:rsidRPr="00DC3374">
        <w:rPr>
          <w:rtl/>
        </w:rPr>
        <w:t xml:space="preserve"> </w:t>
      </w:r>
      <w:r w:rsidRPr="00DC3374">
        <w:rPr>
          <w:rFonts w:hint="cs"/>
          <w:rtl/>
        </w:rPr>
        <w:t xml:space="preserve">את אתר האינטרנט הממשלתי - </w:t>
      </w:r>
      <w:r w:rsidRPr="00DC3374">
        <w:rPr>
          <w:rFonts w:hint="cs"/>
        </w:rPr>
        <w:t>GOV.IL</w:t>
      </w:r>
      <w:r w:rsidRPr="00DC3374">
        <w:rPr>
          <w:rFonts w:hint="cs"/>
          <w:rtl/>
        </w:rPr>
        <w:t xml:space="preserve"> (להלן - האתר הממשלתי האחוד). </w:t>
      </w:r>
    </w:p>
    <w:p w:rsidR="00E81188" w:rsidP="00E81188" w14:paraId="71B053E5" w14:textId="2833E9F7">
      <w:pPr>
        <w:spacing w:line="269" w:lineRule="auto"/>
        <w:rPr>
          <w:rtl/>
        </w:rPr>
      </w:pPr>
    </w:p>
    <w:p w:rsidR="00E81188" w:rsidRPr="00DC3374" w:rsidP="00E81188" w14:paraId="6AA3754E" w14:textId="77777777">
      <w:pPr>
        <w:spacing w:line="269" w:lineRule="auto"/>
        <w:rPr>
          <w:rtl/>
        </w:rPr>
      </w:pPr>
    </w:p>
    <w:p w:rsidR="00E92F67" w:rsidRPr="00DC3374" w:rsidP="00E81188" w14:paraId="2B4322E9" w14:textId="66A3B4F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5B0379" w14:paraId="499EFC8A" w14:textId="290082F7">
      <w:pPr>
        <w:pStyle w:val="ListParagraph"/>
        <w:numPr>
          <w:ilvl w:val="0"/>
          <w:numId w:val="3"/>
        </w:numPr>
        <w:spacing w:line="269" w:lineRule="auto"/>
        <w:rPr>
          <w:rFonts w:asciiTheme="minorHAnsi" w:hAnsiTheme="minorHAnsi"/>
          <w:sz w:val="22"/>
        </w:rPr>
      </w:pPr>
      <w:r w:rsidRPr="00DC3374">
        <w:rPr>
          <w:rFonts w:asciiTheme="minorHAnsi" w:hAnsiTheme="minorHAnsi" w:hint="eastAsia"/>
          <w:sz w:val="22"/>
          <w:rtl/>
        </w:rPr>
        <w:t>כאמור</w:t>
      </w:r>
      <w:r w:rsidRPr="00DC3374">
        <w:rPr>
          <w:rFonts w:asciiTheme="minorHAnsi" w:hAnsiTheme="minorHAnsi"/>
          <w:sz w:val="22"/>
          <w:rtl/>
        </w:rPr>
        <w:t xml:space="preserve">, </w:t>
      </w:r>
      <w:r w:rsidRPr="00DC3374">
        <w:rPr>
          <w:rFonts w:asciiTheme="minorHAnsi" w:hAnsiTheme="minorHAnsi" w:hint="eastAsia"/>
          <w:sz w:val="22"/>
          <w:rtl/>
        </w:rPr>
        <w:t>בפברואר</w:t>
      </w:r>
      <w:r w:rsidRPr="00DC3374">
        <w:rPr>
          <w:rFonts w:asciiTheme="minorHAnsi" w:hAnsiTheme="minorHAnsi"/>
          <w:sz w:val="22"/>
          <w:rtl/>
        </w:rPr>
        <w:t xml:space="preserve"> 2020 </w:t>
      </w:r>
      <w:r w:rsidRPr="00DC3374">
        <w:rPr>
          <w:rFonts w:asciiTheme="minorHAnsi" w:hAnsiTheme="minorHAnsi" w:hint="eastAsia"/>
          <w:sz w:val="22"/>
          <w:rtl/>
        </w:rPr>
        <w:t>הוחלט</w:t>
      </w:r>
      <w:r w:rsidRPr="00DC3374">
        <w:rPr>
          <w:rFonts w:asciiTheme="minorHAnsi" w:hAnsiTheme="minorHAnsi"/>
          <w:sz w:val="22"/>
          <w:rtl/>
        </w:rPr>
        <w:t xml:space="preserve"> </w:t>
      </w:r>
      <w:r w:rsidRPr="00DC3374">
        <w:rPr>
          <w:rFonts w:asciiTheme="minorHAnsi" w:hAnsiTheme="minorHAnsi" w:hint="eastAsia"/>
          <w:sz w:val="22"/>
          <w:rtl/>
        </w:rPr>
        <w:t>להטיל</w:t>
      </w:r>
      <w:r w:rsidRPr="00DC3374">
        <w:rPr>
          <w:rFonts w:asciiTheme="minorHAnsi" w:hAnsiTheme="minorHAnsi"/>
          <w:sz w:val="22"/>
          <w:rtl/>
        </w:rPr>
        <w:t xml:space="preserve"> </w:t>
      </w:r>
      <w:r w:rsidRPr="00DC3374">
        <w:rPr>
          <w:rFonts w:asciiTheme="minorHAnsi" w:hAnsiTheme="minorHAnsi" w:hint="eastAsia"/>
          <w:sz w:val="22"/>
          <w:rtl/>
        </w:rPr>
        <w:t>על</w:t>
      </w:r>
      <w:r w:rsidRPr="00DC3374">
        <w:rPr>
          <w:rFonts w:asciiTheme="minorHAnsi" w:hAnsiTheme="minorHAnsi"/>
          <w:sz w:val="22"/>
          <w:rtl/>
        </w:rPr>
        <w:t xml:space="preserve"> </w:t>
      </w:r>
      <w:r w:rsidRPr="00DC3374">
        <w:rPr>
          <w:rFonts w:asciiTheme="minorHAnsi" w:hAnsiTheme="minorHAnsi" w:hint="eastAsia"/>
          <w:sz w:val="22"/>
          <w:rtl/>
        </w:rPr>
        <w:t>משרד</w:t>
      </w:r>
      <w:r w:rsidRPr="00DC3374">
        <w:rPr>
          <w:rFonts w:asciiTheme="minorHAnsi" w:hAnsiTheme="minorHAnsi"/>
          <w:sz w:val="22"/>
          <w:rtl/>
        </w:rPr>
        <w:t xml:space="preserve"> </w:t>
      </w:r>
      <w:r w:rsidRPr="00DC3374">
        <w:rPr>
          <w:rFonts w:asciiTheme="minorHAnsi" w:hAnsiTheme="minorHAnsi" w:hint="eastAsia"/>
          <w:sz w:val="22"/>
          <w:rtl/>
        </w:rPr>
        <w:t>הבריאות</w:t>
      </w:r>
      <w:r w:rsidRPr="00DC3374">
        <w:rPr>
          <w:rFonts w:asciiTheme="minorHAnsi" w:hAnsiTheme="minorHAnsi"/>
          <w:sz w:val="22"/>
          <w:rtl/>
        </w:rPr>
        <w:t xml:space="preserve"> </w:t>
      </w:r>
      <w:r w:rsidRPr="00DC3374">
        <w:rPr>
          <w:rFonts w:asciiTheme="minorHAnsi" w:hAnsiTheme="minorHAnsi" w:hint="eastAsia"/>
          <w:sz w:val="22"/>
          <w:rtl/>
        </w:rPr>
        <w:t>את</w:t>
      </w:r>
      <w:r w:rsidRPr="00DC3374">
        <w:rPr>
          <w:rFonts w:asciiTheme="minorHAnsi" w:hAnsiTheme="minorHAnsi"/>
          <w:sz w:val="22"/>
          <w:rtl/>
        </w:rPr>
        <w:t xml:space="preserve"> </w:t>
      </w:r>
      <w:r w:rsidRPr="00DC3374">
        <w:rPr>
          <w:rFonts w:asciiTheme="minorHAnsi" w:hAnsiTheme="minorHAnsi" w:hint="eastAsia"/>
          <w:sz w:val="22"/>
          <w:rtl/>
        </w:rPr>
        <w:t>האחריות</w:t>
      </w:r>
      <w:r w:rsidRPr="00DC3374">
        <w:rPr>
          <w:rFonts w:asciiTheme="minorHAnsi" w:hAnsiTheme="minorHAnsi"/>
          <w:sz w:val="22"/>
          <w:rtl/>
        </w:rPr>
        <w:t xml:space="preserve"> </w:t>
      </w:r>
      <w:r w:rsidRPr="00DC3374">
        <w:rPr>
          <w:rFonts w:asciiTheme="minorHAnsi" w:hAnsiTheme="minorHAnsi" w:hint="eastAsia"/>
          <w:sz w:val="22"/>
          <w:rtl/>
        </w:rPr>
        <w:t>להובלת</w:t>
      </w:r>
      <w:r w:rsidRPr="00DC3374">
        <w:rPr>
          <w:rFonts w:asciiTheme="minorHAnsi" w:hAnsiTheme="minorHAnsi"/>
          <w:sz w:val="22"/>
          <w:rtl/>
        </w:rPr>
        <w:t xml:space="preserve"> </w:t>
      </w:r>
      <w:r w:rsidRPr="00DC3374">
        <w:rPr>
          <w:rFonts w:asciiTheme="minorHAnsi" w:hAnsiTheme="minorHAnsi" w:hint="eastAsia"/>
          <w:sz w:val="22"/>
          <w:rtl/>
        </w:rPr>
        <w:t>משבר</w:t>
      </w:r>
      <w:r w:rsidRPr="00DC3374">
        <w:rPr>
          <w:rFonts w:asciiTheme="minorHAnsi" w:hAnsiTheme="minorHAnsi" w:hint="cs"/>
          <w:sz w:val="22"/>
          <w:rtl/>
        </w:rPr>
        <w:t xml:space="preserve"> הקורונה</w:t>
      </w:r>
      <w:r w:rsidRPr="00DC3374">
        <w:rPr>
          <w:rFonts w:asciiTheme="minorHAnsi" w:hAnsiTheme="minorHAnsi"/>
          <w:sz w:val="22"/>
          <w:rtl/>
        </w:rPr>
        <w:t xml:space="preserve"> </w:t>
      </w:r>
      <w:r w:rsidRPr="00DC3374">
        <w:rPr>
          <w:rFonts w:asciiTheme="minorHAnsi" w:hAnsiTheme="minorHAnsi" w:hint="eastAsia"/>
          <w:sz w:val="22"/>
          <w:rtl/>
        </w:rPr>
        <w:t>בהיבט</w:t>
      </w:r>
      <w:r w:rsidRPr="00DC3374">
        <w:rPr>
          <w:rFonts w:asciiTheme="minorHAnsi" w:hAnsiTheme="minorHAnsi"/>
          <w:sz w:val="22"/>
          <w:rtl/>
        </w:rPr>
        <w:t xml:space="preserve"> </w:t>
      </w:r>
      <w:r w:rsidRPr="00DC3374">
        <w:rPr>
          <w:rFonts w:asciiTheme="minorHAnsi" w:hAnsiTheme="minorHAnsi" w:hint="eastAsia"/>
          <w:sz w:val="22"/>
          <w:rtl/>
        </w:rPr>
        <w:t>המקצועי</w:t>
      </w:r>
      <w:r w:rsidRPr="00DC3374">
        <w:rPr>
          <w:rFonts w:asciiTheme="minorHAnsi" w:hAnsiTheme="minorHAnsi"/>
          <w:sz w:val="22"/>
          <w:rtl/>
        </w:rPr>
        <w:t xml:space="preserve"> </w:t>
      </w:r>
      <w:r w:rsidRPr="00DC3374">
        <w:rPr>
          <w:rFonts w:asciiTheme="minorHAnsi" w:hAnsiTheme="minorHAnsi" w:hint="cs"/>
          <w:sz w:val="22"/>
          <w:rtl/>
        </w:rPr>
        <w:t>ואת האחריות</w:t>
      </w:r>
      <w:r w:rsidRPr="00DC3374">
        <w:rPr>
          <w:rFonts w:asciiTheme="minorHAnsi" w:hAnsiTheme="minorHAnsi"/>
          <w:sz w:val="22"/>
          <w:rtl/>
        </w:rPr>
        <w:t xml:space="preserve"> </w:t>
      </w:r>
      <w:r w:rsidRPr="00DC3374">
        <w:rPr>
          <w:rFonts w:asciiTheme="minorHAnsi" w:hAnsiTheme="minorHAnsi" w:hint="cs"/>
          <w:sz w:val="22"/>
          <w:rtl/>
        </w:rPr>
        <w:t>להובלת</w:t>
      </w:r>
      <w:r w:rsidRPr="00DC3374">
        <w:rPr>
          <w:rFonts w:asciiTheme="minorHAnsi" w:hAnsiTheme="minorHAnsi"/>
          <w:sz w:val="22"/>
          <w:rtl/>
        </w:rPr>
        <w:t xml:space="preserve"> </w:t>
      </w:r>
      <w:r w:rsidRPr="00DC3374">
        <w:rPr>
          <w:rFonts w:asciiTheme="minorHAnsi" w:hAnsiTheme="minorHAnsi" w:hint="eastAsia"/>
          <w:sz w:val="22"/>
          <w:rtl/>
        </w:rPr>
        <w:t>ההסברה</w:t>
      </w:r>
      <w:r w:rsidRPr="00DC3374">
        <w:rPr>
          <w:rFonts w:asciiTheme="minorHAnsi" w:hAnsiTheme="minorHAnsi"/>
          <w:sz w:val="22"/>
          <w:rtl/>
        </w:rPr>
        <w:t xml:space="preserve"> </w:t>
      </w:r>
      <w:r w:rsidRPr="00DC3374">
        <w:rPr>
          <w:rFonts w:asciiTheme="minorHAnsi" w:hAnsiTheme="minorHAnsi" w:hint="eastAsia"/>
          <w:sz w:val="22"/>
          <w:rtl/>
        </w:rPr>
        <w:t>לציבור</w:t>
      </w:r>
      <w:r w:rsidRPr="00DC3374">
        <w:rPr>
          <w:rFonts w:asciiTheme="minorHAnsi" w:hAnsiTheme="minorHAnsi"/>
          <w:sz w:val="22"/>
          <w:rtl/>
        </w:rPr>
        <w:t xml:space="preserve">, </w:t>
      </w:r>
      <w:r w:rsidRPr="00DC3374">
        <w:rPr>
          <w:rFonts w:asciiTheme="minorHAnsi" w:hAnsiTheme="minorHAnsi" w:hint="eastAsia"/>
          <w:sz w:val="22"/>
          <w:rtl/>
        </w:rPr>
        <w:t>בסיוע</w:t>
      </w:r>
      <w:r w:rsidRPr="00DC3374">
        <w:rPr>
          <w:rFonts w:asciiTheme="minorHAnsi" w:hAnsiTheme="minorHAnsi"/>
          <w:sz w:val="22"/>
          <w:rtl/>
        </w:rPr>
        <w:t xml:space="preserve"> </w:t>
      </w:r>
      <w:r w:rsidRPr="00DC3374">
        <w:rPr>
          <w:rFonts w:asciiTheme="minorHAnsi" w:hAnsiTheme="minorHAnsi" w:hint="eastAsia"/>
          <w:sz w:val="22"/>
          <w:rtl/>
        </w:rPr>
        <w:t>מטה</w:t>
      </w:r>
      <w:r w:rsidRPr="00DC3374">
        <w:rPr>
          <w:rFonts w:asciiTheme="minorHAnsi" w:hAnsiTheme="minorHAnsi"/>
          <w:sz w:val="22"/>
          <w:rtl/>
        </w:rPr>
        <w:t xml:space="preserve"> </w:t>
      </w:r>
      <w:r w:rsidRPr="00DC3374">
        <w:rPr>
          <w:rFonts w:asciiTheme="minorHAnsi" w:hAnsiTheme="minorHAnsi" w:hint="eastAsia"/>
          <w:sz w:val="22"/>
          <w:rtl/>
        </w:rPr>
        <w:t>ההסברה</w:t>
      </w:r>
      <w:r w:rsidRPr="00DC3374">
        <w:rPr>
          <w:rFonts w:asciiTheme="minorHAnsi" w:hAnsiTheme="minorHAnsi"/>
          <w:sz w:val="22"/>
          <w:rtl/>
        </w:rPr>
        <w:t xml:space="preserve"> </w:t>
      </w:r>
      <w:r w:rsidRPr="00DC3374">
        <w:rPr>
          <w:rFonts w:asciiTheme="minorHAnsi" w:hAnsiTheme="minorHAnsi" w:hint="eastAsia"/>
          <w:sz w:val="22"/>
          <w:rtl/>
        </w:rPr>
        <w:t>הלאומי</w:t>
      </w:r>
      <w:r w:rsidRPr="00DC3374">
        <w:rPr>
          <w:rFonts w:asciiTheme="minorHAnsi" w:hAnsiTheme="minorHAnsi"/>
          <w:sz w:val="22"/>
          <w:rtl/>
        </w:rPr>
        <w:t xml:space="preserve"> </w:t>
      </w:r>
      <w:r w:rsidRPr="00DC3374">
        <w:rPr>
          <w:rFonts w:asciiTheme="minorHAnsi" w:hAnsiTheme="minorHAnsi" w:hint="eastAsia"/>
          <w:sz w:val="22"/>
          <w:rtl/>
        </w:rPr>
        <w:t>ומפקדת</w:t>
      </w:r>
      <w:r w:rsidRPr="00DC3374">
        <w:rPr>
          <w:rFonts w:asciiTheme="minorHAnsi" w:hAnsiTheme="minorHAnsi"/>
          <w:sz w:val="22"/>
          <w:rtl/>
        </w:rPr>
        <w:t xml:space="preserve"> </w:t>
      </w:r>
      <w:r w:rsidRPr="00DC3374">
        <w:rPr>
          <w:rFonts w:asciiTheme="minorHAnsi" w:hAnsiTheme="minorHAnsi" w:hint="eastAsia"/>
          <w:sz w:val="22"/>
          <w:rtl/>
        </w:rPr>
        <w:t>קצין</w:t>
      </w:r>
      <w:r w:rsidRPr="00DC3374">
        <w:rPr>
          <w:rFonts w:asciiTheme="minorHAnsi" w:hAnsiTheme="minorHAnsi"/>
          <w:sz w:val="22"/>
          <w:rtl/>
        </w:rPr>
        <w:t xml:space="preserve"> </w:t>
      </w:r>
      <w:r w:rsidRPr="00DC3374">
        <w:rPr>
          <w:rFonts w:asciiTheme="minorHAnsi" w:hAnsiTheme="minorHAnsi" w:hint="eastAsia"/>
          <w:sz w:val="22"/>
          <w:rtl/>
        </w:rPr>
        <w:t>רפואה</w:t>
      </w:r>
      <w:r w:rsidRPr="00DC3374">
        <w:rPr>
          <w:rFonts w:asciiTheme="minorHAnsi" w:hAnsiTheme="minorHAnsi"/>
          <w:sz w:val="22"/>
          <w:rtl/>
        </w:rPr>
        <w:t xml:space="preserve"> </w:t>
      </w:r>
      <w:r w:rsidRPr="00DC3374">
        <w:rPr>
          <w:rFonts w:asciiTheme="minorHAnsi" w:hAnsiTheme="minorHAnsi" w:hint="eastAsia"/>
          <w:sz w:val="22"/>
          <w:rtl/>
        </w:rPr>
        <w:t>ראשי</w:t>
      </w:r>
      <w:r w:rsidRPr="00DC3374">
        <w:rPr>
          <w:rFonts w:asciiTheme="minorHAnsi" w:hAnsiTheme="minorHAnsi"/>
          <w:sz w:val="22"/>
          <w:rtl/>
        </w:rPr>
        <w:t xml:space="preserve"> </w:t>
      </w:r>
      <w:r w:rsidRPr="00DC3374">
        <w:rPr>
          <w:rFonts w:asciiTheme="minorHAnsi" w:hAnsiTheme="minorHAnsi" w:hint="eastAsia"/>
          <w:sz w:val="22"/>
          <w:rtl/>
        </w:rPr>
        <w:t>בצה</w:t>
      </w:r>
      <w:r w:rsidRPr="00DC3374">
        <w:rPr>
          <w:rFonts w:asciiTheme="minorHAnsi" w:hAnsiTheme="minorHAnsi"/>
          <w:sz w:val="22"/>
          <w:rtl/>
        </w:rPr>
        <w:t xml:space="preserve">"ל. </w:t>
      </w:r>
      <w:r w:rsidRPr="00DC3374">
        <w:rPr>
          <w:rFonts w:asciiTheme="minorHAnsi" w:hAnsiTheme="minorHAnsi" w:hint="cs"/>
          <w:sz w:val="22"/>
          <w:rtl/>
        </w:rPr>
        <w:t xml:space="preserve">במרץ 2020 </w:t>
      </w:r>
      <w:r w:rsidRPr="00DC3374">
        <w:rPr>
          <w:rFonts w:hint="cs"/>
          <w:rtl/>
        </w:rPr>
        <w:t>אישר</w:t>
      </w:r>
      <w:r w:rsidRPr="00DC3374">
        <w:rPr>
          <w:rtl/>
        </w:rPr>
        <w:t xml:space="preserve"> </w:t>
      </w:r>
      <w:r w:rsidRPr="00DC3374">
        <w:rPr>
          <w:rFonts w:hint="eastAsia"/>
          <w:rtl/>
        </w:rPr>
        <w:t>שר</w:t>
      </w:r>
      <w:r w:rsidRPr="00DC3374">
        <w:rPr>
          <w:rtl/>
        </w:rPr>
        <w:t xml:space="preserve"> הביטחון </w:t>
      </w:r>
      <w:r w:rsidRPr="00DC3374">
        <w:rPr>
          <w:rFonts w:hint="eastAsia"/>
          <w:rtl/>
        </w:rPr>
        <w:t>כי</w:t>
      </w:r>
      <w:r w:rsidRPr="00DC3374">
        <w:rPr>
          <w:rtl/>
        </w:rPr>
        <w:t xml:space="preserve"> </w:t>
      </w:r>
      <w:r w:rsidRPr="00DC3374">
        <w:rPr>
          <w:rFonts w:hint="eastAsia"/>
          <w:rtl/>
        </w:rPr>
        <w:t>פקע</w:t>
      </w:r>
      <w:r w:rsidRPr="00DC3374">
        <w:rPr>
          <w:rtl/>
        </w:rPr>
        <w:t xml:space="preserve">"ר </w:t>
      </w:r>
      <w:r w:rsidRPr="00DC3374">
        <w:rPr>
          <w:rFonts w:hint="eastAsia"/>
          <w:rtl/>
        </w:rPr>
        <w:t>יפעל</w:t>
      </w:r>
      <w:r w:rsidRPr="00DC3374">
        <w:rPr>
          <w:rtl/>
        </w:rPr>
        <w:t xml:space="preserve"> </w:t>
      </w:r>
      <w:r w:rsidRPr="00DC3374">
        <w:rPr>
          <w:rFonts w:hint="cs"/>
          <w:rtl/>
        </w:rPr>
        <w:t>כ</w:t>
      </w:r>
      <w:r w:rsidRPr="00DC3374">
        <w:rPr>
          <w:rFonts w:hint="eastAsia"/>
          <w:rtl/>
        </w:rPr>
        <w:t>גורם</w:t>
      </w:r>
      <w:r w:rsidRPr="00DC3374">
        <w:rPr>
          <w:rtl/>
        </w:rPr>
        <w:t xml:space="preserve"> </w:t>
      </w:r>
      <w:r w:rsidRPr="00DC3374">
        <w:rPr>
          <w:rFonts w:hint="eastAsia"/>
          <w:rtl/>
        </w:rPr>
        <w:t>מסייע</w:t>
      </w:r>
      <w:r w:rsidRPr="00DC3374">
        <w:rPr>
          <w:rtl/>
        </w:rPr>
        <w:t xml:space="preserve"> למערכת הבריאות</w:t>
      </w:r>
      <w:r w:rsidRPr="00DC3374">
        <w:rPr>
          <w:rFonts w:asciiTheme="minorHAnsi" w:hAnsiTheme="minorHAnsi" w:hint="cs"/>
          <w:sz w:val="22"/>
          <w:rtl/>
        </w:rPr>
        <w:t xml:space="preserve"> </w:t>
      </w:r>
      <w:r w:rsidRPr="00DC3374">
        <w:rPr>
          <w:rFonts w:asciiTheme="minorHAnsi" w:hAnsiTheme="minorHAnsi"/>
          <w:sz w:val="22"/>
          <w:rtl/>
        </w:rPr>
        <w:t>לטיפול באירוע התפרצות נגיף הקורונה</w:t>
      </w:r>
      <w:r w:rsidRPr="00DC3374">
        <w:rPr>
          <w:rtl/>
        </w:rPr>
        <w:t xml:space="preserve">. </w:t>
      </w:r>
    </w:p>
    <w:p w:rsidR="00E92F67" w:rsidRPr="00DC3374" w:rsidP="00E81188" w14:paraId="734B274D" w14:textId="7C152D7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52FA7C4" w14:textId="77777777">
      <w:pPr>
        <w:pStyle w:val="ListParagraph"/>
        <w:spacing w:line="269" w:lineRule="auto"/>
        <w:ind w:left="340"/>
      </w:pPr>
      <w:r w:rsidRPr="00DC3374">
        <w:rPr>
          <w:rFonts w:hint="cs"/>
          <w:rtl/>
        </w:rPr>
        <w:t>בחודש מרץ 2020 הציע פקע"ר למשרד הבריאות סיוע בתחום ההסברה באמצעים האלה: הפעלת מוקד טלפוני לשימוש הציבור, הקמת אתר אינטרנט כאתר חירום לאומי והפצת סרטונים באמצעי המדיה השונים. פקע"ר פירט בהצעתו כי המוקד הטלפוני יהיה בעל שלוחות לכלל המוקדים הטלפוניים הפועלים מטעם הממשלה, ובהם אלו של משרד הבריאות ומגן דוד אדום לישראל (מד"א), ובמסגרתו יינתנו שני סוגים של מענה: האחד - מענה לשאלות בתחום הרפואי אשר יינתן באמצעות נציגי משרד הבריאות ומד"א, והשני - מענה לשאלות בתחום ההתנהלות היום-יומית של הציבור בשגרת החיים החדשה אשר יינתן באמצעות נציגי פקע"ר.</w:t>
      </w:r>
      <w:r w:rsidRPr="00DC3374">
        <w:rPr>
          <w:rStyle w:val="FootnoteReference1"/>
          <w:rtl/>
        </w:rPr>
        <w:t xml:space="preserve"> </w:t>
      </w:r>
    </w:p>
    <w:p w:rsidR="00E92F67" w:rsidRPr="00DC3374" w:rsidP="00E81188" w14:paraId="3043C82C" w14:textId="10C319BA">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362FBC7" w14:textId="77777777">
      <w:pPr>
        <w:pStyle w:val="ListParagraph"/>
        <w:spacing w:line="269" w:lineRule="auto"/>
        <w:ind w:left="340"/>
        <w:rPr>
          <w:rtl/>
        </w:rPr>
      </w:pPr>
      <w:r w:rsidRPr="00DC3374">
        <w:rPr>
          <w:rFonts w:hint="cs"/>
          <w:rtl/>
        </w:rPr>
        <w:t xml:space="preserve">באותו החודש (מרץ 2020) </w:t>
      </w:r>
      <w:r w:rsidRPr="00DC3374">
        <w:rPr>
          <w:rtl/>
        </w:rPr>
        <w:t xml:space="preserve">התגלעה מחלוקת בין משרד הבריאות לפקע"ר </w:t>
      </w:r>
      <w:r w:rsidRPr="00DC3374">
        <w:rPr>
          <w:rFonts w:hint="cs"/>
          <w:rtl/>
        </w:rPr>
        <w:t xml:space="preserve">בנוגע לשאלה </w:t>
      </w:r>
      <w:r w:rsidRPr="00DC3374">
        <w:rPr>
          <w:rtl/>
        </w:rPr>
        <w:t>האם יש להפעיל מוקד טלפוני ו</w:t>
      </w:r>
      <w:r w:rsidRPr="00DC3374">
        <w:rPr>
          <w:rFonts w:hint="cs"/>
          <w:rtl/>
        </w:rPr>
        <w:t>מקוון</w:t>
      </w:r>
      <w:r w:rsidRPr="00DC3374">
        <w:rPr>
          <w:rtl/>
        </w:rPr>
        <w:t xml:space="preserve"> אחוד</w:t>
      </w:r>
      <w:r w:rsidRPr="00DC3374">
        <w:rPr>
          <w:rFonts w:hint="cs"/>
          <w:rtl/>
        </w:rPr>
        <w:t xml:space="preserve">, ואם כן - </w:t>
      </w:r>
      <w:r w:rsidRPr="00DC3374">
        <w:rPr>
          <w:rtl/>
        </w:rPr>
        <w:t>מי הגורם שיפעילו</w:t>
      </w:r>
      <w:r w:rsidRPr="00DC3374">
        <w:rPr>
          <w:rFonts w:hint="cs"/>
          <w:rtl/>
        </w:rPr>
        <w:t xml:space="preserve">. לנוכח אי-הסכמה בעניין זה, משרד הבריאות ופקע"ר הפעילו בנפרד מוקדים טלפונים ואתרי </w:t>
      </w:r>
      <w:r w:rsidRPr="00DC3374">
        <w:rPr>
          <w:rtl/>
        </w:rPr>
        <w:t>אינטרנט</w:t>
      </w:r>
      <w:r w:rsidRPr="00DC3374">
        <w:rPr>
          <w:rFonts w:hint="cs"/>
          <w:rtl/>
        </w:rPr>
        <w:t xml:space="preserve"> עבור הציבור: משרד הבריאות הפעיל מוקד טלפוני (5400*) ואתר </w:t>
      </w:r>
      <w:r w:rsidRPr="00DC3374">
        <w:rPr>
          <w:rtl/>
        </w:rPr>
        <w:t>אינטרנט</w:t>
      </w:r>
      <w:r w:rsidRPr="00DC3374">
        <w:rPr>
          <w:rFonts w:hint="cs"/>
          <w:rtl/>
        </w:rPr>
        <w:t xml:space="preserve"> (להלן - אתר משרד הבריאות), וגם פקע"ר הפעיל מוקד טלפוני (104) ואתר </w:t>
      </w:r>
      <w:r w:rsidRPr="00DC3374">
        <w:rPr>
          <w:rtl/>
        </w:rPr>
        <w:t xml:space="preserve">אינטרנט </w:t>
      </w:r>
      <w:r w:rsidRPr="00DC3374">
        <w:rPr>
          <w:rFonts w:hint="cs"/>
          <w:rtl/>
        </w:rPr>
        <w:t>("פורטל החירום הלאומי") (להלן - אתר פקע"ר).</w:t>
      </w:r>
      <w:r w:rsidRPr="00DC3374">
        <w:rPr>
          <w:rFonts w:ascii="Arial" w:hAnsi="Arial" w:cs="Arial"/>
          <w:color w:val="1F497D"/>
          <w:sz w:val="22"/>
          <w:szCs w:val="22"/>
          <w:rtl/>
        </w:rPr>
        <w:t xml:space="preserve"> </w:t>
      </w:r>
    </w:p>
    <w:p w:rsidR="00E92F67" w:rsidRPr="00DC3374" w:rsidP="00E81188" w14:paraId="7761D92E" w14:textId="2A91A8C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FD5BC62" w14:textId="77777777">
      <w:pPr>
        <w:pStyle w:val="ListParagraph"/>
        <w:numPr>
          <w:ilvl w:val="0"/>
          <w:numId w:val="3"/>
        </w:numPr>
        <w:spacing w:line="269" w:lineRule="auto"/>
      </w:pPr>
      <w:r w:rsidRPr="00DC3374">
        <w:rPr>
          <w:rFonts w:asciiTheme="minorHAnsi" w:hAnsiTheme="minorHAnsi" w:hint="cs"/>
          <w:sz w:val="22"/>
          <w:rtl/>
        </w:rPr>
        <w:t xml:space="preserve">במהלך משבר הקורונה </w:t>
      </w:r>
      <w:r w:rsidRPr="00DC3374">
        <w:rPr>
          <w:rFonts w:hint="cs"/>
          <w:rtl/>
        </w:rPr>
        <w:t>שימש האתר הממשלתי האחוד ערוץ המרכז את רוב המידע של משרדי הממשלה בנושא ההתמודדות עם נגיף הקורונה, ובכלל זה של משרד הבריאות, משרד רה"ם, משרד האוצר ורשות האוכלוסין וההגירה.</w:t>
      </w:r>
      <w:r w:rsidRPr="00DC3374">
        <w:rPr>
          <w:rFonts w:asciiTheme="minorHAnsi" w:hAnsiTheme="minorHAnsi" w:hint="cs"/>
          <w:sz w:val="22"/>
          <w:rtl/>
        </w:rPr>
        <w:t xml:space="preserve"> באתר הוצג לציבור מידע מפורט מטעם משרדי הממשלה. </w:t>
      </w:r>
      <w:r w:rsidRPr="00DC3374">
        <w:rPr>
          <w:rFonts w:asciiTheme="minorHAnsi" w:hAnsiTheme="minorHAnsi"/>
          <w:sz w:val="22"/>
          <w:rtl/>
        </w:rPr>
        <w:t xml:space="preserve">לדוגמה, מידע בתחום התעסוקה, העסקים והתעשייה; ההנחיות לשוהים בבידוד; </w:t>
      </w:r>
      <w:r w:rsidRPr="00DC3374">
        <w:rPr>
          <w:rFonts w:asciiTheme="minorHAnsi" w:hAnsiTheme="minorHAnsi" w:hint="cs"/>
          <w:sz w:val="22"/>
          <w:rtl/>
        </w:rPr>
        <w:t xml:space="preserve">מידע </w:t>
      </w:r>
      <w:r w:rsidRPr="00DC3374">
        <w:rPr>
          <w:rFonts w:asciiTheme="minorHAnsi" w:hAnsiTheme="minorHAnsi"/>
          <w:sz w:val="22"/>
          <w:rtl/>
        </w:rPr>
        <w:t xml:space="preserve">בתחום הכניסה </w:t>
      </w:r>
      <w:r w:rsidRPr="00DC3374">
        <w:rPr>
          <w:rFonts w:asciiTheme="minorHAnsi" w:hAnsiTheme="minorHAnsi" w:hint="cs"/>
          <w:sz w:val="22"/>
          <w:rtl/>
        </w:rPr>
        <w:t xml:space="preserve">לארץ </w:t>
      </w:r>
      <w:r w:rsidRPr="00DC3374">
        <w:rPr>
          <w:rFonts w:asciiTheme="minorHAnsi" w:hAnsiTheme="minorHAnsi"/>
          <w:sz w:val="22"/>
          <w:rtl/>
        </w:rPr>
        <w:t>והיציאה מ</w:t>
      </w:r>
      <w:r w:rsidRPr="00DC3374">
        <w:rPr>
          <w:rFonts w:asciiTheme="minorHAnsi" w:hAnsiTheme="minorHAnsi" w:hint="cs"/>
          <w:sz w:val="22"/>
          <w:rtl/>
        </w:rPr>
        <w:t>מנה ו</w:t>
      </w:r>
      <w:r w:rsidRPr="00DC3374">
        <w:rPr>
          <w:rFonts w:asciiTheme="minorHAnsi" w:hAnsiTheme="minorHAnsi"/>
          <w:sz w:val="22"/>
          <w:rtl/>
        </w:rPr>
        <w:t xml:space="preserve">בתחום הלימודים וההשכלה; וכן מידע שריכז מרכז המידע והידע הלאומי </w:t>
      </w:r>
      <w:r w:rsidRPr="00DC3374">
        <w:rPr>
          <w:rFonts w:asciiTheme="minorHAnsi" w:hAnsiTheme="minorHAnsi" w:hint="cs"/>
          <w:sz w:val="22"/>
          <w:rtl/>
        </w:rPr>
        <w:t xml:space="preserve">בנוגע </w:t>
      </w:r>
      <w:r w:rsidRPr="00DC3374">
        <w:rPr>
          <w:rFonts w:asciiTheme="minorHAnsi" w:hAnsiTheme="minorHAnsi"/>
          <w:sz w:val="22"/>
          <w:rtl/>
        </w:rPr>
        <w:t>ל</w:t>
      </w:r>
      <w:r w:rsidRPr="00DC3374">
        <w:rPr>
          <w:rFonts w:asciiTheme="minorHAnsi" w:hAnsiTheme="minorHAnsi" w:hint="cs"/>
          <w:sz w:val="22"/>
          <w:rtl/>
        </w:rPr>
        <w:t>מאבק</w:t>
      </w:r>
      <w:r w:rsidRPr="00DC3374">
        <w:rPr>
          <w:rFonts w:asciiTheme="minorHAnsi" w:hAnsiTheme="minorHAnsi"/>
          <w:sz w:val="22"/>
          <w:rtl/>
        </w:rPr>
        <w:t xml:space="preserve"> בקורונה. </w:t>
      </w:r>
      <w:r w:rsidRPr="00DC3374">
        <w:rPr>
          <w:rFonts w:hint="cs"/>
          <w:rtl/>
        </w:rPr>
        <w:t xml:space="preserve">להלן הקישורים למידע בנושא הקורונה, כפי שהוצגו באתר: </w:t>
      </w:r>
    </w:p>
    <w:p w:rsidR="00E92F67" w:rsidRPr="00DC3374" w:rsidP="00E81188" w14:paraId="45A8F369" w14:textId="5CBA932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D8EEE10" w14:textId="77777777">
      <w:pPr>
        <w:spacing w:line="269" w:lineRule="auto"/>
        <w:jc w:val="center"/>
        <w:rPr>
          <w:b/>
          <w:bCs/>
          <w:rtl/>
        </w:rPr>
      </w:pPr>
      <w:r w:rsidRPr="00DC3374">
        <w:rPr>
          <w:rFonts w:hint="cs"/>
          <w:b/>
          <w:bCs/>
          <w:rtl/>
        </w:rPr>
        <w:t>תמונה 2: הקישורים למידע בנושא הקורונה באתר הממשלתי האחוד</w:t>
      </w:r>
    </w:p>
    <w:p w:rsidR="00E92F67" w:rsidRPr="00DC3374" w:rsidP="00E81188" w14:paraId="6F4FE3BB" w14:textId="77777777">
      <w:pPr>
        <w:spacing w:line="269" w:lineRule="auto"/>
        <w:jc w:val="center"/>
        <w:rPr>
          <w:szCs w:val="20"/>
          <w:rtl/>
        </w:rPr>
      </w:pPr>
      <w:r w:rsidRPr="00DC3374">
        <w:rPr>
          <w:noProof/>
        </w:rPr>
        <w:drawing>
          <wp:inline distT="0" distB="0" distL="0" distR="0">
            <wp:extent cx="5214787" cy="2772000"/>
            <wp:effectExtent l="0" t="0" r="5080" b="9525"/>
            <wp:docPr id="61" name="תמונה 61" descr="C:\Users\haim_sha\AppData\Local\Microsoft\Windows\INetCache\Content.Word\M_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14317" name="Picture 9" descr="C:\Users\haim_sha\AppData\Local\Microsoft\Windows\INetCache\Content.Word\M_PIC-2.jpg"/>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4787" cy="2772000"/>
                    </a:xfrm>
                    <a:prstGeom prst="rect">
                      <a:avLst/>
                    </a:prstGeom>
                    <a:noFill/>
                    <a:ln>
                      <a:noFill/>
                    </a:ln>
                  </pic:spPr>
                </pic:pic>
              </a:graphicData>
            </a:graphic>
          </wp:inline>
        </w:drawing>
      </w:r>
    </w:p>
    <w:p w:rsidR="00E92F67" w:rsidP="00E81188" w14:paraId="66E069F4" w14:textId="6DE4C1C8">
      <w:pPr>
        <w:spacing w:line="269" w:lineRule="auto"/>
        <w:jc w:val="left"/>
        <w:rPr>
          <w:szCs w:val="20"/>
          <w:rtl/>
        </w:rPr>
      </w:pPr>
      <w:r w:rsidRPr="00DC3374">
        <w:rPr>
          <w:rFonts w:hint="cs"/>
          <w:szCs w:val="20"/>
          <w:rtl/>
        </w:rPr>
        <w:t xml:space="preserve">מתוך אתר </w:t>
      </w:r>
      <w:r w:rsidRPr="00DC3374">
        <w:rPr>
          <w:szCs w:val="20"/>
        </w:rPr>
        <w:t>GOV.IL</w:t>
      </w:r>
      <w:r w:rsidRPr="00DC3374">
        <w:rPr>
          <w:rFonts w:hint="cs"/>
          <w:szCs w:val="20"/>
          <w:rtl/>
        </w:rPr>
        <w:t xml:space="preserve">, </w:t>
      </w:r>
      <w:r w:rsidRPr="00DC3374">
        <w:rPr>
          <w:szCs w:val="20"/>
        </w:rPr>
        <w:t>https://www.gov.il/he/lifeevents/corona-gov-main</w:t>
      </w:r>
      <w:r w:rsidRPr="00DC3374">
        <w:rPr>
          <w:rFonts w:hint="cs"/>
          <w:szCs w:val="20"/>
          <w:rtl/>
        </w:rPr>
        <w:t>, 21.3.21.</w:t>
      </w:r>
    </w:p>
    <w:p w:rsidR="00E81188" w:rsidP="00E81188" w14:paraId="7BEB0A04" w14:textId="77777777">
      <w:pPr>
        <w:spacing w:line="269" w:lineRule="auto"/>
        <w:jc w:val="left"/>
        <w:rPr>
          <w:szCs w:val="20"/>
          <w:rtl/>
        </w:rPr>
      </w:pPr>
    </w:p>
    <w:p w:rsidR="00F7485C" w:rsidRPr="00DC3374" w:rsidP="00E81188" w14:paraId="5C485004" w14:textId="3D6CC98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92F67" w:rsidRPr="00DC3374" w:rsidP="00E81188" w14:paraId="1E2FA038" w14:textId="77777777">
      <w:pPr>
        <w:pStyle w:val="ListParagraph"/>
        <w:numPr>
          <w:ilvl w:val="0"/>
          <w:numId w:val="3"/>
        </w:numPr>
        <w:spacing w:line="269" w:lineRule="auto"/>
      </w:pPr>
      <w:r w:rsidRPr="00DC3374">
        <w:rPr>
          <w:rFonts w:hint="cs"/>
          <w:rtl/>
        </w:rPr>
        <w:t>באמצע חודש מרץ 2020 דנו</w:t>
      </w:r>
      <w:r w:rsidRPr="00DC3374">
        <w:rPr>
          <w:rtl/>
        </w:rPr>
        <w:t xml:space="preserve"> נציגי </w:t>
      </w:r>
      <w:r w:rsidRPr="00DC3374">
        <w:rPr>
          <w:rFonts w:hint="cs"/>
          <w:rtl/>
        </w:rPr>
        <w:t>רשות התקשוב הממשלתי</w:t>
      </w:r>
      <w:r w:rsidRPr="00DC3374">
        <w:rPr>
          <w:rtl/>
        </w:rPr>
        <w:t xml:space="preserve"> </w:t>
      </w:r>
      <w:r w:rsidRPr="00DC3374">
        <w:rPr>
          <w:rFonts w:hint="cs"/>
          <w:rtl/>
        </w:rPr>
        <w:t>ו</w:t>
      </w:r>
      <w:r w:rsidRPr="00DC3374">
        <w:rPr>
          <w:rtl/>
        </w:rPr>
        <w:t xml:space="preserve">נציגי </w:t>
      </w:r>
      <w:r w:rsidRPr="00DC3374">
        <w:rPr>
          <w:rFonts w:hint="eastAsia"/>
          <w:rtl/>
        </w:rPr>
        <w:t>פקע</w:t>
      </w:r>
      <w:r w:rsidRPr="00DC3374">
        <w:rPr>
          <w:rtl/>
        </w:rPr>
        <w:t>"ר</w:t>
      </w:r>
      <w:r w:rsidRPr="00DC3374">
        <w:rPr>
          <w:rFonts w:hint="cs"/>
          <w:rtl/>
        </w:rPr>
        <w:t xml:space="preserve"> באפשרות להשתמש באתר הממשלתי האחוד כפלטפורמה </w:t>
      </w:r>
      <w:r w:rsidRPr="00DC3374">
        <w:rPr>
          <w:rtl/>
        </w:rPr>
        <w:t xml:space="preserve">להקמת </w:t>
      </w:r>
      <w:r w:rsidRPr="00DC3374">
        <w:rPr>
          <w:rFonts w:hint="cs"/>
          <w:rtl/>
        </w:rPr>
        <w:t xml:space="preserve">אתר פקע"ר, אך כעבור כמה ימים הודיע פקע"ר לרשות התקשוב הממשלתי כי הוא </w:t>
      </w:r>
      <w:r w:rsidRPr="00DC3374">
        <w:rPr>
          <w:rFonts w:hint="eastAsia"/>
          <w:rtl/>
        </w:rPr>
        <w:t>יקים</w:t>
      </w:r>
      <w:r w:rsidRPr="00DC3374">
        <w:rPr>
          <w:rtl/>
        </w:rPr>
        <w:t xml:space="preserve"> </w:t>
      </w:r>
      <w:r w:rsidRPr="00DC3374">
        <w:rPr>
          <w:rFonts w:hint="cs"/>
          <w:rtl/>
        </w:rPr>
        <w:t xml:space="preserve">את אתר פקע"ר </w:t>
      </w:r>
      <w:r w:rsidRPr="00DC3374">
        <w:rPr>
          <w:rtl/>
        </w:rPr>
        <w:t>בנפרד</w:t>
      </w:r>
      <w:r w:rsidRPr="00DC3374">
        <w:rPr>
          <w:rFonts w:hint="cs"/>
          <w:rtl/>
        </w:rPr>
        <w:t xml:space="preserve"> מהאתר הממשלתי</w:t>
      </w:r>
      <w:r w:rsidRPr="00DC3374">
        <w:rPr>
          <w:rtl/>
        </w:rPr>
        <w:t>.</w:t>
      </w:r>
      <w:r w:rsidRPr="00DC3374">
        <w:rPr>
          <w:rFonts w:hint="cs"/>
          <w:rtl/>
        </w:rPr>
        <w:t xml:space="preserve"> </w:t>
      </w:r>
    </w:p>
    <w:p w:rsidR="00E92F67" w:rsidRPr="00DC3374" w:rsidP="00E81188" w14:paraId="24223B45" w14:textId="77777777">
      <w:pPr>
        <w:spacing w:line="269" w:lineRule="auto"/>
        <w:rPr>
          <w:rtl/>
        </w:rPr>
      </w:pPr>
    </w:p>
    <w:p w:rsidR="00E92F67" w:rsidRPr="00DC3374" w:rsidP="00E81188" w14:paraId="50487F03" w14:textId="77777777">
      <w:pPr>
        <w:pStyle w:val="Heading4"/>
        <w:spacing w:before="0" w:line="269" w:lineRule="auto"/>
      </w:pPr>
      <w:r w:rsidRPr="00DC3374">
        <w:rPr>
          <w:rFonts w:hint="cs"/>
          <w:rtl/>
        </w:rPr>
        <w:t>המידע על משבר הקורונה באתר משרד הבריאות ובאתר פקע"ר</w:t>
      </w:r>
    </w:p>
    <w:p w:rsidR="00E92F67" w:rsidRPr="00DC3374" w:rsidP="00E81188" w14:paraId="083D71BB" w14:textId="0973AB82">
      <w:pPr>
        <w:pStyle w:val="a"/>
        <w:spacing w:line="269" w:lineRule="auto"/>
        <w:rPr>
          <w:rStyle w:val="5"/>
          <w:rFonts w:eastAsiaTheme="minorHAnsi"/>
          <w:bCs w:val="0"/>
          <w:spacing w:val="0"/>
        </w:rPr>
      </w:pPr>
      <w:r w:rsidRPr="00DC3374">
        <w:rPr>
          <w:rStyle w:val="5"/>
          <w:rFonts w:eastAsiaTheme="minorHAnsi"/>
          <w:bCs w:val="0"/>
          <w:spacing w:val="0"/>
          <w:rtl/>
        </w:rPr>
        <w:fldChar w:fldCharType="begin"/>
      </w:r>
      <w:r w:rsidRPr="00DC3374">
        <w:rPr>
          <w:rStyle w:val="5"/>
          <w:rFonts w:eastAsiaTheme="minorHAnsi"/>
          <w:bCs w:val="0"/>
          <w:spacing w:val="0"/>
          <w:rtl/>
        </w:rPr>
        <w:instrText xml:space="preserve"> </w:instrText>
      </w:r>
      <w:r w:rsidRPr="00DC3374">
        <w:rPr>
          <w:rStyle w:val="5"/>
          <w:rFonts w:eastAsiaTheme="minorHAnsi"/>
          <w:bCs w:val="0"/>
          <w:spacing w:val="0"/>
        </w:rPr>
        <w:instrText>AUTONUMLGL \e  \* MERGEFORMAT</w:instrText>
      </w:r>
      <w:r w:rsidRPr="00DC3374">
        <w:rPr>
          <w:rStyle w:val="5"/>
          <w:rFonts w:eastAsiaTheme="minorHAnsi"/>
          <w:bCs w:val="0"/>
          <w:spacing w:val="0"/>
          <w:rtl/>
        </w:rPr>
        <w:instrText xml:space="preserve"> </w:instrText>
      </w:r>
      <w:r w:rsidRPr="00DC3374">
        <w:rPr>
          <w:rStyle w:val="5"/>
          <w:rFonts w:eastAsiaTheme="minorHAnsi"/>
          <w:bCs w:val="0"/>
          <w:spacing w:val="0"/>
          <w:rtl/>
        </w:rPr>
        <w:fldChar w:fldCharType="end"/>
      </w:r>
    </w:p>
    <w:p w:rsidR="00E92F67" w:rsidRPr="00DC3374" w:rsidP="00E81188" w14:paraId="3840CC08" w14:textId="77777777">
      <w:pPr>
        <w:spacing w:line="269" w:lineRule="auto"/>
        <w:rPr>
          <w:rStyle w:val="5"/>
          <w:rFonts w:eastAsiaTheme="minorHAnsi"/>
          <w:bCs w:val="0"/>
          <w:spacing w:val="0"/>
          <w:szCs w:val="20"/>
        </w:rPr>
      </w:pPr>
      <w:r w:rsidRPr="00DC3374">
        <w:rPr>
          <w:rStyle w:val="5"/>
          <w:rFonts w:eastAsiaTheme="minorHAnsi" w:hint="cs"/>
          <w:bCs w:val="0"/>
          <w:spacing w:val="0"/>
          <w:rtl/>
        </w:rPr>
        <w:t>להלן פירוט המידע המוצג באתרי האינטרנט של משרד הבריאות ופקע"ר בנוגע למשבר הקורונה ונתונים על עלויות הפעלתם:</w:t>
      </w:r>
    </w:p>
    <w:p w:rsidR="00E92F67" w:rsidRPr="00DC3374" w:rsidP="00E81188" w14:paraId="28E0121E" w14:textId="79FB90AC">
      <w:pPr>
        <w:pStyle w:val="a"/>
        <w:spacing w:line="269" w:lineRule="auto"/>
        <w:rPr>
          <w:rStyle w:val="5"/>
          <w:rFonts w:eastAsiaTheme="minorHAnsi"/>
          <w:bCs w:val="0"/>
          <w:spacing w:val="0"/>
        </w:rPr>
      </w:pPr>
      <w:r w:rsidRPr="00DC3374">
        <w:rPr>
          <w:rStyle w:val="5"/>
          <w:rFonts w:eastAsiaTheme="minorHAnsi"/>
          <w:bCs w:val="0"/>
          <w:spacing w:val="0"/>
          <w:rtl/>
        </w:rPr>
        <w:fldChar w:fldCharType="begin"/>
      </w:r>
      <w:r w:rsidRPr="00DC3374">
        <w:rPr>
          <w:rStyle w:val="5"/>
          <w:rFonts w:eastAsiaTheme="minorHAnsi"/>
          <w:bCs w:val="0"/>
          <w:spacing w:val="0"/>
          <w:rtl/>
        </w:rPr>
        <w:instrText xml:space="preserve"> </w:instrText>
      </w:r>
      <w:r w:rsidRPr="00DC3374">
        <w:rPr>
          <w:rStyle w:val="5"/>
          <w:rFonts w:eastAsiaTheme="minorHAnsi"/>
          <w:bCs w:val="0"/>
          <w:spacing w:val="0"/>
        </w:rPr>
        <w:instrText>AUTONUMLGL \e  \* MERGEFORMAT</w:instrText>
      </w:r>
      <w:r w:rsidRPr="00DC3374">
        <w:rPr>
          <w:rStyle w:val="5"/>
          <w:rFonts w:eastAsiaTheme="minorHAnsi"/>
          <w:bCs w:val="0"/>
          <w:spacing w:val="0"/>
          <w:rtl/>
        </w:rPr>
        <w:instrText xml:space="preserve"> </w:instrText>
      </w:r>
      <w:r w:rsidRPr="00DC3374">
        <w:rPr>
          <w:rStyle w:val="5"/>
          <w:rFonts w:eastAsiaTheme="minorHAnsi"/>
          <w:bCs w:val="0"/>
          <w:spacing w:val="0"/>
          <w:rtl/>
        </w:rPr>
        <w:fldChar w:fldCharType="end"/>
      </w:r>
    </w:p>
    <w:p w:rsidR="00E92F67" w:rsidRPr="00DC3374" w:rsidP="00E81188" w14:paraId="3723E01E" w14:textId="77777777">
      <w:pPr>
        <w:pStyle w:val="ListParagraph"/>
        <w:numPr>
          <w:ilvl w:val="0"/>
          <w:numId w:val="18"/>
        </w:numPr>
        <w:spacing w:line="269" w:lineRule="auto"/>
        <w:rPr>
          <w:b/>
          <w:rtl/>
        </w:rPr>
      </w:pPr>
      <w:r w:rsidRPr="00F26F18">
        <w:rPr>
          <w:rStyle w:val="7"/>
          <w:rFonts w:hint="eastAsia"/>
          <w:rtl/>
        </w:rPr>
        <w:t>אתר</w:t>
      </w:r>
      <w:r w:rsidRPr="00F26F18">
        <w:rPr>
          <w:rStyle w:val="7"/>
          <w:rtl/>
        </w:rPr>
        <w:t xml:space="preserve"> </w:t>
      </w:r>
      <w:r w:rsidRPr="00F26F18">
        <w:rPr>
          <w:rStyle w:val="7"/>
          <w:rFonts w:hint="eastAsia"/>
          <w:rtl/>
        </w:rPr>
        <w:t>משרד</w:t>
      </w:r>
      <w:r w:rsidRPr="00F26F18">
        <w:rPr>
          <w:rStyle w:val="7"/>
          <w:rtl/>
        </w:rPr>
        <w:t xml:space="preserve"> </w:t>
      </w:r>
      <w:r w:rsidRPr="00F26F18">
        <w:rPr>
          <w:rStyle w:val="7"/>
          <w:rFonts w:hint="eastAsia"/>
          <w:rtl/>
        </w:rPr>
        <w:t>הבריאות</w:t>
      </w:r>
      <w:r w:rsidRPr="00F26F18">
        <w:rPr>
          <w:rStyle w:val="7"/>
          <w:rtl/>
        </w:rPr>
        <w:t>:</w:t>
      </w:r>
      <w:r w:rsidRPr="00DC3374">
        <w:rPr>
          <w:rFonts w:hint="cs"/>
          <w:rtl/>
        </w:rPr>
        <w:t xml:space="preserve"> בסוף ינואר 2020 עדכן משרד הבריאות את המידע באתר המשרד בנושא הקורונה והמשיך לעדכן אותו לאורך כל תקופת המשבר. </w:t>
      </w:r>
      <w:r w:rsidRPr="00DC3374">
        <w:rPr>
          <w:rtl/>
        </w:rPr>
        <w:t xml:space="preserve">אולם עקב עומסים רבים ולאחר </w:t>
      </w:r>
      <w:r w:rsidRPr="00DC3374">
        <w:rPr>
          <w:rFonts w:hint="cs"/>
          <w:rtl/>
        </w:rPr>
        <w:t xml:space="preserve">כמה </w:t>
      </w:r>
      <w:r w:rsidRPr="00DC3374">
        <w:rPr>
          <w:rtl/>
        </w:rPr>
        <w:t xml:space="preserve">"נפילות" של </w:t>
      </w:r>
      <w:r w:rsidRPr="00DC3374">
        <w:rPr>
          <w:rFonts w:hint="cs"/>
          <w:rtl/>
        </w:rPr>
        <w:t>אתר משרד הבריאות, חלק מהמידע הועבר בתחילת חודש מרץ 2020 לאתר האינטרנט הממשלתי האחוד (</w:t>
      </w:r>
      <w:r w:rsidRPr="00DC3374">
        <w:rPr>
          <w:rtl/>
        </w:rPr>
        <w:t xml:space="preserve">תשתית ממשל זמין </w:t>
      </w:r>
      <w:r w:rsidRPr="00DC3374">
        <w:t>GOV.IL</w:t>
      </w:r>
      <w:r w:rsidRPr="00DC3374">
        <w:rPr>
          <w:rFonts w:hint="cs"/>
          <w:rtl/>
        </w:rPr>
        <w:t>)</w:t>
      </w:r>
      <w:r>
        <w:rPr>
          <w:rStyle w:val="FootnoteReference1"/>
          <w:rtl/>
        </w:rPr>
        <w:footnoteReference w:id="51"/>
      </w:r>
      <w:r w:rsidRPr="00DC3374">
        <w:rPr>
          <w:rFonts w:hint="cs"/>
          <w:rtl/>
        </w:rPr>
        <w:t>.</w:t>
      </w:r>
    </w:p>
    <w:p w:rsidR="00E92F67" w:rsidRPr="00DC3374" w:rsidP="00E81188" w14:paraId="7659A2DB" w14:textId="013DA96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7C9A218" w14:textId="630EAA5C">
      <w:pPr>
        <w:spacing w:line="269" w:lineRule="auto"/>
        <w:ind w:left="312"/>
        <w:rPr>
          <w:rtl/>
        </w:rPr>
      </w:pPr>
      <w:r w:rsidRPr="00DC3374">
        <w:rPr>
          <w:rFonts w:hint="cs"/>
          <w:rtl/>
        </w:rPr>
        <w:t xml:space="preserve">נכון לינואר 2021, </w:t>
      </w:r>
      <w:r w:rsidRPr="00DC3374">
        <w:rPr>
          <w:rtl/>
        </w:rPr>
        <w:t xml:space="preserve">אתר המשרד </w:t>
      </w:r>
      <w:r w:rsidRPr="00DC3374">
        <w:rPr>
          <w:rFonts w:hint="cs"/>
          <w:rtl/>
        </w:rPr>
        <w:t>ה</w:t>
      </w:r>
      <w:r w:rsidRPr="00DC3374">
        <w:rPr>
          <w:rtl/>
        </w:rPr>
        <w:t>כיל מאות עמודי תוכן, עלוני מידע, מסמכי הנחיות וטפסים ייעודיים.</w:t>
      </w:r>
      <w:r w:rsidRPr="00DC3374">
        <w:rPr>
          <w:rFonts w:hint="cs"/>
          <w:rtl/>
        </w:rPr>
        <w:t xml:space="preserve"> ה</w:t>
      </w:r>
      <w:r w:rsidRPr="00DC3374">
        <w:rPr>
          <w:rtl/>
        </w:rPr>
        <w:t xml:space="preserve">מידע </w:t>
      </w:r>
      <w:r w:rsidR="006B48BD">
        <w:rPr>
          <w:rFonts w:hint="cs"/>
          <w:rtl/>
        </w:rPr>
        <w:t>י</w:t>
      </w:r>
      <w:r w:rsidRPr="00DC3374">
        <w:rPr>
          <w:rtl/>
        </w:rPr>
        <w:t xml:space="preserve">תעדכן באופן שוטף, נתמך בתרגום לשפות ערבית, אנגלית ורוסית, לצד תרגום בסיסי לשפות נוספות, ונצפה על ידי מיליוני גולשים. </w:t>
      </w:r>
      <w:r w:rsidRPr="00DC3374">
        <w:rPr>
          <w:rFonts w:hint="cs"/>
          <w:rtl/>
        </w:rPr>
        <w:t xml:space="preserve">האתר סיפק מידע בנושאים שונים, ובהם: הנחיות לשגרה בזמן משבר הקורונה, איתור אזורים גיאוגרפיים שנחשפו לנגיף הקורונה, קישור לתמונת מצב יומית על הקורונה בישראל (כגון מידע על מספר המאומתים, הנפטרים והמחלימים), מידע בנוגע לתוכנית העוסקת בהגנה על קשישים מפני המחלה, מידע לנדרשים להיות בבידוד ומידע בנוגע לחיסונים ולמצב המתחסנים. </w:t>
      </w:r>
    </w:p>
    <w:p w:rsidR="00E92F67" w:rsidRPr="00DC3374" w:rsidP="00E81188" w14:paraId="3D5C5A58" w14:textId="55D3A292">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B02C3D4" w14:textId="77777777">
      <w:pPr>
        <w:pStyle w:val="ListParagraph"/>
        <w:numPr>
          <w:ilvl w:val="0"/>
          <w:numId w:val="18"/>
        </w:numPr>
        <w:spacing w:line="269" w:lineRule="auto"/>
        <w:rPr>
          <w:rFonts w:asciiTheme="minorHAnsi" w:hAnsiTheme="minorHAnsi"/>
          <w:b/>
          <w:sz w:val="22"/>
          <w:rtl/>
        </w:rPr>
      </w:pPr>
      <w:r w:rsidRPr="00F26F18">
        <w:rPr>
          <w:rStyle w:val="7"/>
          <w:rFonts w:hint="eastAsia"/>
          <w:rtl/>
        </w:rPr>
        <w:t>אתר</w:t>
      </w:r>
      <w:r w:rsidRPr="00F26F18">
        <w:rPr>
          <w:rStyle w:val="7"/>
          <w:rtl/>
        </w:rPr>
        <w:t xml:space="preserve"> </w:t>
      </w:r>
      <w:r w:rsidRPr="00F26F18">
        <w:rPr>
          <w:rStyle w:val="7"/>
          <w:rFonts w:hint="eastAsia"/>
          <w:rtl/>
        </w:rPr>
        <w:t>פקע</w:t>
      </w:r>
      <w:r w:rsidRPr="00F26F18">
        <w:rPr>
          <w:rStyle w:val="7"/>
          <w:rtl/>
        </w:rPr>
        <w:t>"ר:</w:t>
      </w:r>
      <w:r w:rsidRPr="00DC3374">
        <w:rPr>
          <w:rFonts w:hint="cs"/>
          <w:bCs/>
          <w:rtl/>
        </w:rPr>
        <w:t xml:space="preserve"> </w:t>
      </w:r>
      <w:r w:rsidRPr="00DC3374">
        <w:rPr>
          <w:rFonts w:hint="cs"/>
          <w:rtl/>
        </w:rPr>
        <w:t>פקע"ר פיתח את האתר</w:t>
      </w:r>
      <w:r w:rsidRPr="00DC3374">
        <w:rPr>
          <w:rtl/>
        </w:rPr>
        <w:t xml:space="preserve"> של</w:t>
      </w:r>
      <w:r w:rsidRPr="00DC3374">
        <w:rPr>
          <w:rFonts w:hint="cs"/>
          <w:rtl/>
        </w:rPr>
        <w:t>ו</w:t>
      </w:r>
      <w:r w:rsidRPr="00DC3374">
        <w:rPr>
          <w:rtl/>
        </w:rPr>
        <w:t xml:space="preserve"> </w:t>
      </w:r>
      <w:r w:rsidRPr="00DC3374">
        <w:rPr>
          <w:rFonts w:hint="cs"/>
          <w:rtl/>
        </w:rPr>
        <w:t xml:space="preserve">והשיקו לראשונה </w:t>
      </w:r>
      <w:r w:rsidRPr="00DC3374">
        <w:rPr>
          <w:rtl/>
        </w:rPr>
        <w:t xml:space="preserve">באמצע חודש מרץ </w:t>
      </w:r>
      <w:r w:rsidRPr="00DC3374">
        <w:rPr>
          <w:rFonts w:hint="cs"/>
          <w:rtl/>
        </w:rPr>
        <w:t xml:space="preserve">2020 על תשתית של פקע"ר ולא באתר הממשלתי האחוד. אתר פקע"ר הוקם ביוזמת משרד רה"ם ומטה ההסברה הלאומי שבו, והוא מרכז </w:t>
      </w:r>
      <w:r w:rsidRPr="00DC3374">
        <w:rPr>
          <w:rtl/>
        </w:rPr>
        <w:t>מידע והנחיות של הממשלה</w:t>
      </w:r>
      <w:r w:rsidRPr="00DC3374">
        <w:rPr>
          <w:rFonts w:hint="cs"/>
          <w:rtl/>
        </w:rPr>
        <w:t xml:space="preserve"> בנוגע למשבר</w:t>
      </w:r>
      <w:r w:rsidRPr="00DC3374">
        <w:rPr>
          <w:rtl/>
        </w:rPr>
        <w:t xml:space="preserve"> ו</w:t>
      </w:r>
      <w:r w:rsidRPr="00DC3374">
        <w:rPr>
          <w:rFonts w:hint="cs"/>
          <w:rtl/>
        </w:rPr>
        <w:t>מ</w:t>
      </w:r>
      <w:r w:rsidRPr="00DC3374">
        <w:rPr>
          <w:rtl/>
        </w:rPr>
        <w:t xml:space="preserve">ציג </w:t>
      </w:r>
      <w:r w:rsidRPr="00DC3374">
        <w:rPr>
          <w:rFonts w:hint="cs"/>
          <w:rtl/>
        </w:rPr>
        <w:t>דרכי</w:t>
      </w:r>
      <w:r w:rsidRPr="00DC3374">
        <w:rPr>
          <w:rtl/>
        </w:rPr>
        <w:t xml:space="preserve"> התמודדות </w:t>
      </w:r>
      <w:r w:rsidRPr="00DC3374">
        <w:rPr>
          <w:rFonts w:hint="cs"/>
          <w:rtl/>
        </w:rPr>
        <w:t xml:space="preserve">עם המחלה ועם השינויים שחלו בשגרת החיים לצורך </w:t>
      </w:r>
      <w:r w:rsidRPr="00DC3374">
        <w:rPr>
          <w:rFonts w:hint="eastAsia"/>
          <w:rtl/>
        </w:rPr>
        <w:t>מניעת</w:t>
      </w:r>
      <w:r w:rsidRPr="00DC3374">
        <w:rPr>
          <w:rtl/>
        </w:rPr>
        <w:t xml:space="preserve"> </w:t>
      </w:r>
      <w:r w:rsidRPr="00DC3374">
        <w:rPr>
          <w:rFonts w:hint="eastAsia"/>
          <w:rtl/>
        </w:rPr>
        <w:t>התפשטות</w:t>
      </w:r>
      <w:r w:rsidRPr="00DC3374">
        <w:rPr>
          <w:rtl/>
        </w:rPr>
        <w:t xml:space="preserve"> הקורונה.</w:t>
      </w:r>
      <w:r w:rsidRPr="00DC3374">
        <w:rPr>
          <w:rFonts w:hint="cs"/>
          <w:rtl/>
        </w:rPr>
        <w:t xml:space="preserve"> האתר</w:t>
      </w:r>
      <w:r w:rsidRPr="00DC3374">
        <w:rPr>
          <w:rtl/>
        </w:rPr>
        <w:t xml:space="preserve"> התעדכן לאורך תקופת המשבר, </w:t>
      </w:r>
      <w:r w:rsidRPr="00DC3374">
        <w:rPr>
          <w:rFonts w:hint="eastAsia"/>
          <w:rtl/>
        </w:rPr>
        <w:t>ונכון</w:t>
      </w:r>
      <w:r w:rsidRPr="00DC3374">
        <w:rPr>
          <w:rtl/>
        </w:rPr>
        <w:t xml:space="preserve"> </w:t>
      </w:r>
      <w:r w:rsidRPr="00DC3374">
        <w:rPr>
          <w:rFonts w:hint="eastAsia"/>
          <w:rtl/>
        </w:rPr>
        <w:t>ל</w:t>
      </w:r>
      <w:r w:rsidRPr="00DC3374">
        <w:rPr>
          <w:rFonts w:hint="cs"/>
          <w:rtl/>
        </w:rPr>
        <w:t xml:space="preserve">אמצע </w:t>
      </w:r>
      <w:r w:rsidRPr="00DC3374">
        <w:rPr>
          <w:rFonts w:hint="eastAsia"/>
          <w:rtl/>
        </w:rPr>
        <w:t>ינואר</w:t>
      </w:r>
      <w:r w:rsidRPr="00DC3374">
        <w:rPr>
          <w:rtl/>
        </w:rPr>
        <w:t xml:space="preserve"> 2021, </w:t>
      </w:r>
      <w:r w:rsidRPr="00DC3374">
        <w:rPr>
          <w:rFonts w:hint="cs"/>
          <w:rtl/>
        </w:rPr>
        <w:t xml:space="preserve">במהלך הסגר השלישי, </w:t>
      </w:r>
      <w:r w:rsidRPr="00DC3374">
        <w:rPr>
          <w:rFonts w:hint="eastAsia"/>
          <w:rtl/>
        </w:rPr>
        <w:t>ניתן</w:t>
      </w:r>
      <w:r w:rsidRPr="00DC3374">
        <w:rPr>
          <w:rtl/>
        </w:rPr>
        <w:t xml:space="preserve"> </w:t>
      </w:r>
      <w:r w:rsidRPr="00DC3374">
        <w:rPr>
          <w:rFonts w:hint="eastAsia"/>
          <w:rtl/>
        </w:rPr>
        <w:t>היה</w:t>
      </w:r>
      <w:r w:rsidRPr="00DC3374">
        <w:rPr>
          <w:rtl/>
        </w:rPr>
        <w:t xml:space="preserve"> </w:t>
      </w:r>
      <w:r w:rsidRPr="00DC3374">
        <w:rPr>
          <w:rFonts w:hint="eastAsia"/>
          <w:rtl/>
        </w:rPr>
        <w:t>למצוא</w:t>
      </w:r>
      <w:r w:rsidRPr="00DC3374">
        <w:rPr>
          <w:rtl/>
        </w:rPr>
        <w:t xml:space="preserve"> </w:t>
      </w:r>
      <w:r w:rsidRPr="00DC3374">
        <w:rPr>
          <w:rFonts w:hint="cs"/>
          <w:rtl/>
        </w:rPr>
        <w:t xml:space="preserve">בו </w:t>
      </w:r>
      <w:r w:rsidRPr="00DC3374">
        <w:rPr>
          <w:rFonts w:hint="eastAsia"/>
          <w:rtl/>
        </w:rPr>
        <w:t>מידע</w:t>
      </w:r>
      <w:r w:rsidRPr="00DC3374">
        <w:rPr>
          <w:rtl/>
        </w:rPr>
        <w:t xml:space="preserve"> </w:t>
      </w:r>
      <w:r w:rsidRPr="00DC3374">
        <w:rPr>
          <w:rFonts w:hint="eastAsia"/>
          <w:rtl/>
        </w:rPr>
        <w:t>בנוגע</w:t>
      </w:r>
      <w:r w:rsidRPr="00DC3374">
        <w:rPr>
          <w:rtl/>
        </w:rPr>
        <w:t xml:space="preserve"> </w:t>
      </w:r>
      <w:r w:rsidRPr="00DC3374">
        <w:rPr>
          <w:rFonts w:hint="eastAsia"/>
          <w:rtl/>
        </w:rPr>
        <w:t>להנחיות</w:t>
      </w:r>
      <w:r w:rsidRPr="00DC3374">
        <w:rPr>
          <w:rtl/>
        </w:rPr>
        <w:t xml:space="preserve"> </w:t>
      </w:r>
      <w:r w:rsidRPr="00DC3374">
        <w:rPr>
          <w:rFonts w:hint="eastAsia"/>
          <w:rtl/>
        </w:rPr>
        <w:t>הממשלה</w:t>
      </w:r>
      <w:r w:rsidRPr="00DC3374">
        <w:rPr>
          <w:rFonts w:hint="cs"/>
          <w:rtl/>
        </w:rPr>
        <w:t xml:space="preserve"> ו</w:t>
      </w:r>
      <w:r w:rsidRPr="00DC3374">
        <w:rPr>
          <w:rFonts w:hint="eastAsia"/>
          <w:rtl/>
        </w:rPr>
        <w:t>ל</w:t>
      </w:r>
      <w:r w:rsidRPr="00DC3374">
        <w:rPr>
          <w:rFonts w:hint="cs"/>
          <w:rtl/>
        </w:rPr>
        <w:t>שגרת העבודה</w:t>
      </w:r>
      <w:r w:rsidRPr="00DC3374">
        <w:rPr>
          <w:rtl/>
        </w:rPr>
        <w:t xml:space="preserve">, </w:t>
      </w:r>
      <w:r w:rsidRPr="00DC3374">
        <w:rPr>
          <w:rFonts w:hint="eastAsia"/>
          <w:rtl/>
        </w:rPr>
        <w:t>מידע</w:t>
      </w:r>
      <w:r w:rsidRPr="00DC3374">
        <w:rPr>
          <w:rtl/>
        </w:rPr>
        <w:t xml:space="preserve"> </w:t>
      </w:r>
      <w:r w:rsidRPr="00DC3374">
        <w:rPr>
          <w:rFonts w:hint="eastAsia"/>
          <w:rtl/>
        </w:rPr>
        <w:t>בנוגע</w:t>
      </w:r>
      <w:r w:rsidRPr="00DC3374">
        <w:rPr>
          <w:rtl/>
        </w:rPr>
        <w:t xml:space="preserve"> </w:t>
      </w:r>
      <w:r w:rsidRPr="00DC3374">
        <w:rPr>
          <w:rFonts w:hint="eastAsia"/>
          <w:rtl/>
        </w:rPr>
        <w:t>למתחמי</w:t>
      </w:r>
      <w:r w:rsidRPr="00DC3374">
        <w:rPr>
          <w:rtl/>
        </w:rPr>
        <w:t xml:space="preserve"> </w:t>
      </w:r>
      <w:r w:rsidRPr="00DC3374">
        <w:rPr>
          <w:rFonts w:hint="eastAsia"/>
          <w:rtl/>
        </w:rPr>
        <w:t>בדיקות</w:t>
      </w:r>
      <w:r w:rsidRPr="00DC3374">
        <w:rPr>
          <w:rtl/>
        </w:rPr>
        <w:t xml:space="preserve"> </w:t>
      </w:r>
      <w:r w:rsidRPr="00DC3374">
        <w:rPr>
          <w:rFonts w:hint="eastAsia"/>
          <w:rtl/>
        </w:rPr>
        <w:t>הקורונה</w:t>
      </w:r>
      <w:r w:rsidRPr="00DC3374">
        <w:rPr>
          <w:rFonts w:hint="cs"/>
          <w:rtl/>
        </w:rPr>
        <w:t xml:space="preserve">, </w:t>
      </w:r>
      <w:r w:rsidRPr="00DC3374">
        <w:rPr>
          <w:rFonts w:hint="eastAsia"/>
          <w:rtl/>
        </w:rPr>
        <w:t>מידע</w:t>
      </w:r>
      <w:r w:rsidRPr="00DC3374">
        <w:rPr>
          <w:rtl/>
        </w:rPr>
        <w:t xml:space="preserve"> </w:t>
      </w:r>
      <w:r w:rsidRPr="00DC3374">
        <w:rPr>
          <w:rFonts w:hint="cs"/>
          <w:rtl/>
        </w:rPr>
        <w:t xml:space="preserve">ספציפי </w:t>
      </w:r>
      <w:r w:rsidRPr="00DC3374">
        <w:rPr>
          <w:rFonts w:hint="eastAsia"/>
          <w:rtl/>
        </w:rPr>
        <w:t>לציבור</w:t>
      </w:r>
      <w:r w:rsidRPr="00DC3374">
        <w:rPr>
          <w:rtl/>
        </w:rPr>
        <w:t xml:space="preserve"> </w:t>
      </w:r>
      <w:r w:rsidRPr="00DC3374">
        <w:rPr>
          <w:rFonts w:hint="eastAsia"/>
          <w:rtl/>
        </w:rPr>
        <w:t>החרדי</w:t>
      </w:r>
      <w:r w:rsidRPr="00DC3374">
        <w:rPr>
          <w:rtl/>
        </w:rPr>
        <w:t xml:space="preserve"> </w:t>
      </w:r>
      <w:r w:rsidRPr="00DC3374">
        <w:rPr>
          <w:rFonts w:hint="eastAsia"/>
          <w:rtl/>
        </w:rPr>
        <w:t>ועוד</w:t>
      </w:r>
      <w:r w:rsidRPr="00DC3374">
        <w:rPr>
          <w:rFonts w:asciiTheme="minorHAnsi" w:hAnsiTheme="minorHAnsi"/>
          <w:b/>
          <w:sz w:val="22"/>
          <w:rtl/>
        </w:rPr>
        <w:t>.</w:t>
      </w:r>
      <w:r w:rsidRPr="00DC3374">
        <w:rPr>
          <w:rFonts w:hint="eastAsia"/>
          <w:rtl/>
        </w:rPr>
        <w:t xml:space="preserve"> </w:t>
      </w:r>
    </w:p>
    <w:p w:rsidR="00E92F67" w:rsidRPr="00DC3374" w:rsidP="00E81188" w14:paraId="541F5808" w14:textId="0B884EC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18117B4" w14:textId="77777777">
      <w:pPr>
        <w:pStyle w:val="ListParagraph"/>
        <w:spacing w:line="269" w:lineRule="auto"/>
        <w:ind w:left="340"/>
        <w:rPr>
          <w:rtl/>
        </w:rPr>
      </w:pPr>
      <w:r w:rsidRPr="00DC3374">
        <w:rPr>
          <w:rFonts w:hint="cs"/>
          <w:rtl/>
        </w:rPr>
        <w:t>בשנת 2020 השקיע פקע"ר 4.1 מיליון ש"ח באתר שלו</w:t>
      </w:r>
      <w:r>
        <w:rPr>
          <w:rStyle w:val="FootnoteReference1"/>
          <w:rtl/>
        </w:rPr>
        <w:footnoteReference w:id="52"/>
      </w:r>
      <w:r w:rsidRPr="00DC3374">
        <w:rPr>
          <w:rFonts w:hint="cs"/>
          <w:rtl/>
        </w:rPr>
        <w:t>, ומשרד הבריאות השקיע כ-11.5 מיליון ש"ח באתר שלו.</w:t>
      </w:r>
    </w:p>
    <w:p w:rsidR="00E92F67" w:rsidRPr="00DC3374" w:rsidP="00E81188" w14:paraId="60772456" w14:textId="56E9A12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5B9F02D" w14:textId="77777777">
      <w:pPr>
        <w:spacing w:line="269" w:lineRule="auto"/>
        <w:ind w:left="312"/>
        <w:rPr>
          <w:b/>
          <w:bCs/>
          <w:rtl/>
        </w:rPr>
      </w:pPr>
      <w:r w:rsidRPr="00DC3374">
        <w:rPr>
          <w:b/>
          <w:bCs/>
          <w:rtl/>
        </w:rPr>
        <w:t xml:space="preserve">בביקורת עלה כי משרד הבריאות השקיע באתר שלו 11.5 מיליון ש"ח לצורך התאמתו למשבר הקורונה, ובמרץ 2020 הועבר חלק מהמידע שהיה בו לאתר האחוד. בו-זמנית הקים פקע"ר </w:t>
      </w:r>
      <w:r w:rsidRPr="00DC3374">
        <w:rPr>
          <w:rFonts w:hint="cs"/>
          <w:b/>
          <w:bCs/>
          <w:rtl/>
        </w:rPr>
        <w:t>ביוזמת</w:t>
      </w:r>
      <w:r w:rsidRPr="00DC3374">
        <w:rPr>
          <w:b/>
          <w:bCs/>
          <w:rtl/>
        </w:rPr>
        <w:t xml:space="preserve"> משרד רה"ם </w:t>
      </w:r>
      <w:r w:rsidRPr="00DC3374">
        <w:rPr>
          <w:rFonts w:hint="cs"/>
          <w:b/>
          <w:bCs/>
          <w:rtl/>
        </w:rPr>
        <w:t>ו</w:t>
      </w:r>
      <w:r w:rsidRPr="00DC3374">
        <w:rPr>
          <w:b/>
          <w:bCs/>
          <w:rtl/>
        </w:rPr>
        <w:t xml:space="preserve">מטה ההסברה הלאומי </w:t>
      </w:r>
      <w:r w:rsidRPr="00DC3374">
        <w:rPr>
          <w:rFonts w:hint="cs"/>
          <w:b/>
          <w:bCs/>
          <w:rtl/>
        </w:rPr>
        <w:t xml:space="preserve">שבו, </w:t>
      </w:r>
      <w:r w:rsidRPr="00DC3374">
        <w:rPr>
          <w:b/>
          <w:bCs/>
          <w:rtl/>
        </w:rPr>
        <w:t xml:space="preserve">אתר לצורך מתן מידע לציבור בנוגע למשבר הקורונה בעלות של 4.1 מיליון ש"ח. </w:t>
      </w:r>
    </w:p>
    <w:p w:rsidR="00E92F67" w:rsidRPr="00DC3374" w:rsidP="00E81188" w14:paraId="593FCEA1" w14:textId="77777777">
      <w:pPr>
        <w:spacing w:line="269" w:lineRule="auto"/>
        <w:ind w:left="312"/>
        <w:rPr>
          <w:b/>
          <w:bCs/>
          <w:rtl/>
        </w:rPr>
      </w:pPr>
    </w:p>
    <w:p w:rsidR="00E92F67" w:rsidRPr="00DC3374" w:rsidP="00E81188" w14:paraId="7FE6DFFC" w14:textId="77777777">
      <w:pPr>
        <w:pStyle w:val="Heading4"/>
        <w:spacing w:before="0" w:line="269" w:lineRule="auto"/>
        <w:rPr>
          <w:rtl/>
        </w:rPr>
      </w:pPr>
      <w:r w:rsidRPr="00DC3374">
        <w:rPr>
          <w:rFonts w:hint="cs"/>
          <w:rtl/>
        </w:rPr>
        <w:t>חפיפה חלקית בין המידע המוצג באתר משרד הבריאות לבין אתר פקע"ר</w:t>
      </w:r>
    </w:p>
    <w:p w:rsidR="00E92F67" w:rsidRPr="00DC3374" w:rsidP="00E81188" w14:paraId="572BBD28" w14:textId="3A53DAB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4404960D" w14:textId="77777777">
      <w:pPr>
        <w:pStyle w:val="ListParagraph"/>
        <w:numPr>
          <w:ilvl w:val="0"/>
          <w:numId w:val="19"/>
        </w:numPr>
        <w:spacing w:line="269" w:lineRule="auto"/>
        <w:rPr>
          <w:rtl/>
        </w:rPr>
      </w:pPr>
      <w:r w:rsidRPr="00DC3374">
        <w:rPr>
          <w:rFonts w:hint="cs"/>
          <w:rtl/>
        </w:rPr>
        <w:t xml:space="preserve">באוקטובר 2020 פעלו כאמור מטה ההסברה במשרד רה"ם, משרד הבריאות ופקע"ר להסדרת </w:t>
      </w:r>
      <w:r w:rsidRPr="00DC3374">
        <w:rPr>
          <w:rtl/>
        </w:rPr>
        <w:t>חלוקת האחריות בי</w:t>
      </w:r>
      <w:r w:rsidRPr="00DC3374">
        <w:rPr>
          <w:rFonts w:hint="cs"/>
          <w:rtl/>
        </w:rPr>
        <w:t>ניהם בכל הנוגע ל</w:t>
      </w:r>
      <w:r w:rsidRPr="00DC3374">
        <w:rPr>
          <w:rtl/>
        </w:rPr>
        <w:t>הסברה במשבר הקורונה</w:t>
      </w:r>
      <w:r w:rsidRPr="00DC3374">
        <w:rPr>
          <w:rFonts w:hint="cs"/>
          <w:rtl/>
        </w:rPr>
        <w:t>. במסמך שהם גיבשו כאמור לצורך זה נקבע כי משרד הבריאות ימשיך בתפעול אתר האינטרנט שלו המציג מידע על משבר הקורונה, ופקע"ר ימשיך ב"מינוף וניהול הפורטל כשער מידע אינטרנטי להנגשת המידע הדרוש לציבור הישראלי באירוע קורונה בקישוריות לאתרי משרדי הממשלה (המשך פעילות קיימת והעצמתה)", כלומר במינוף האתר שפקע"ר הקים וניהל.</w:t>
      </w:r>
    </w:p>
    <w:p w:rsidR="00E92F67" w:rsidRPr="00DC3374" w:rsidP="00E81188" w14:paraId="7EFD477C" w14:textId="649618B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5AC6D49" w14:textId="77777777">
      <w:pPr>
        <w:spacing w:line="269" w:lineRule="auto"/>
        <w:ind w:left="312"/>
        <w:rPr>
          <w:b/>
          <w:bCs/>
          <w:rtl/>
        </w:rPr>
      </w:pPr>
      <w:r w:rsidRPr="00DC3374">
        <w:rPr>
          <w:rFonts w:hint="cs"/>
          <w:b/>
          <w:bCs/>
          <w:rtl/>
        </w:rPr>
        <w:t xml:space="preserve">עולה אפוא כי גם לאחר הסדרת גבולות הגזרה של הטיפול בהסברת המשבר באוקטובר 2020 לא נקבעו גבולות גזרה בין פעולות משרד הבריאות ופקע"ר להנגשת מידע מטעם הממשלה באתרי האינטרנט. שני הגופים הונחו, על פי מסמך ההסדרה האמור שגיבשו מטה ההסברה, משרד הבריאות ופקע"ר, להמשיך בפעילותם באתרים שונים, ופקע"ר אף הונחה להעצים את המידע באתרו. </w:t>
      </w:r>
    </w:p>
    <w:p w:rsidR="00E92F67" w:rsidRPr="00DC3374" w:rsidP="00E81188" w14:paraId="52E9727E" w14:textId="4028AC1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0DA37F8" w14:textId="77777777">
      <w:pPr>
        <w:pStyle w:val="ListParagraph"/>
        <w:numPr>
          <w:ilvl w:val="0"/>
          <w:numId w:val="19"/>
        </w:numPr>
        <w:spacing w:line="269" w:lineRule="auto"/>
        <w:rPr>
          <w:rFonts w:asciiTheme="minorHAnsi" w:hAnsiTheme="minorHAnsi"/>
          <w:sz w:val="22"/>
          <w:rtl/>
        </w:rPr>
      </w:pPr>
      <w:r w:rsidRPr="00DC3374">
        <w:rPr>
          <w:rFonts w:asciiTheme="minorHAnsi" w:hAnsiTheme="minorHAnsi" w:hint="eastAsia"/>
          <w:sz w:val="22"/>
          <w:rtl/>
        </w:rPr>
        <w:t>בחינת</w:t>
      </w:r>
      <w:r w:rsidRPr="00DC3374">
        <w:rPr>
          <w:rFonts w:asciiTheme="minorHAnsi" w:hAnsiTheme="minorHAnsi"/>
          <w:sz w:val="22"/>
          <w:rtl/>
        </w:rPr>
        <w:t xml:space="preserve"> </w:t>
      </w:r>
      <w:r w:rsidRPr="00DC3374">
        <w:rPr>
          <w:rFonts w:asciiTheme="minorHAnsi" w:hAnsiTheme="minorHAnsi" w:hint="eastAsia"/>
          <w:sz w:val="22"/>
          <w:rtl/>
        </w:rPr>
        <w:t>האתר</w:t>
      </w:r>
      <w:r w:rsidRPr="00DC3374">
        <w:rPr>
          <w:rFonts w:asciiTheme="minorHAnsi" w:hAnsiTheme="minorHAnsi"/>
          <w:sz w:val="22"/>
          <w:rtl/>
        </w:rPr>
        <w:t xml:space="preserve"> </w:t>
      </w:r>
      <w:r w:rsidRPr="00DC3374">
        <w:rPr>
          <w:rFonts w:asciiTheme="minorHAnsi" w:hAnsiTheme="minorHAnsi" w:hint="eastAsia"/>
          <w:sz w:val="22"/>
          <w:rtl/>
        </w:rPr>
        <w:t>הממשלתי</w:t>
      </w:r>
      <w:r w:rsidRPr="00DC3374">
        <w:rPr>
          <w:rFonts w:asciiTheme="minorHAnsi" w:hAnsiTheme="minorHAnsi"/>
          <w:sz w:val="22"/>
          <w:rtl/>
        </w:rPr>
        <w:t xml:space="preserve"> </w:t>
      </w:r>
      <w:r w:rsidRPr="00DC3374">
        <w:rPr>
          <w:rFonts w:asciiTheme="minorHAnsi" w:hAnsiTheme="minorHAnsi" w:hint="eastAsia"/>
          <w:sz w:val="22"/>
          <w:rtl/>
        </w:rPr>
        <w:t>האחוד</w:t>
      </w:r>
      <w:r w:rsidRPr="00DC3374">
        <w:rPr>
          <w:rFonts w:asciiTheme="minorHAnsi" w:hAnsiTheme="minorHAnsi"/>
          <w:sz w:val="22"/>
          <w:rtl/>
        </w:rPr>
        <w:t xml:space="preserve"> </w:t>
      </w:r>
      <w:r w:rsidRPr="00DC3374">
        <w:rPr>
          <w:rFonts w:asciiTheme="minorHAnsi" w:hAnsiTheme="minorHAnsi" w:hint="eastAsia"/>
          <w:sz w:val="22"/>
          <w:rtl/>
        </w:rPr>
        <w:t>ו</w:t>
      </w:r>
      <w:r w:rsidRPr="00DC3374">
        <w:rPr>
          <w:rFonts w:asciiTheme="minorHAnsi" w:hAnsiTheme="minorHAnsi" w:hint="cs"/>
          <w:sz w:val="22"/>
          <w:rtl/>
        </w:rPr>
        <w:t>אתר</w:t>
      </w:r>
      <w:r w:rsidRPr="00DC3374">
        <w:rPr>
          <w:rFonts w:asciiTheme="minorHAnsi" w:hAnsiTheme="minorHAnsi"/>
          <w:sz w:val="22"/>
          <w:rtl/>
        </w:rPr>
        <w:t xml:space="preserve"> </w:t>
      </w:r>
      <w:r w:rsidRPr="00DC3374">
        <w:rPr>
          <w:rFonts w:asciiTheme="minorHAnsi" w:hAnsiTheme="minorHAnsi" w:hint="eastAsia"/>
          <w:sz w:val="22"/>
          <w:rtl/>
        </w:rPr>
        <w:t>פקע</w:t>
      </w:r>
      <w:r w:rsidRPr="00DC3374">
        <w:rPr>
          <w:rFonts w:asciiTheme="minorHAnsi" w:hAnsiTheme="minorHAnsi"/>
          <w:sz w:val="22"/>
          <w:rtl/>
        </w:rPr>
        <w:t>"ר</w:t>
      </w:r>
      <w:r>
        <w:rPr>
          <w:rStyle w:val="FootnoteReference1"/>
          <w:rFonts w:asciiTheme="minorHAnsi" w:hAnsiTheme="minorHAnsi"/>
          <w:sz w:val="22"/>
          <w:rtl/>
        </w:rPr>
        <w:footnoteReference w:id="53"/>
      </w:r>
      <w:r w:rsidRPr="00DC3374">
        <w:rPr>
          <w:rFonts w:asciiTheme="minorHAnsi" w:hAnsiTheme="minorHAnsi"/>
          <w:sz w:val="22"/>
          <w:rtl/>
        </w:rPr>
        <w:t xml:space="preserve"> העלתה </w:t>
      </w:r>
      <w:r w:rsidRPr="00DC3374">
        <w:rPr>
          <w:rFonts w:asciiTheme="minorHAnsi" w:hAnsiTheme="minorHAnsi" w:hint="eastAsia"/>
          <w:sz w:val="22"/>
          <w:rtl/>
        </w:rPr>
        <w:t>כי</w:t>
      </w:r>
      <w:r w:rsidRPr="00DC3374">
        <w:rPr>
          <w:rFonts w:asciiTheme="minorHAnsi" w:hAnsiTheme="minorHAnsi"/>
          <w:sz w:val="22"/>
          <w:rtl/>
        </w:rPr>
        <w:t xml:space="preserve"> קיימת חפיפה בין </w:t>
      </w:r>
      <w:r w:rsidRPr="00DC3374">
        <w:rPr>
          <w:rFonts w:asciiTheme="minorHAnsi" w:hAnsiTheme="minorHAnsi" w:hint="cs"/>
          <w:sz w:val="22"/>
          <w:rtl/>
        </w:rPr>
        <w:t xml:space="preserve">עיקרי </w:t>
      </w:r>
      <w:r w:rsidRPr="00DC3374">
        <w:rPr>
          <w:rFonts w:asciiTheme="minorHAnsi" w:hAnsiTheme="minorHAnsi"/>
          <w:sz w:val="22"/>
          <w:rtl/>
        </w:rPr>
        <w:t xml:space="preserve">המידע </w:t>
      </w:r>
      <w:r w:rsidRPr="00DC3374">
        <w:rPr>
          <w:rFonts w:asciiTheme="minorHAnsi" w:hAnsiTheme="minorHAnsi" w:hint="eastAsia"/>
          <w:sz w:val="22"/>
          <w:rtl/>
        </w:rPr>
        <w:t>שמשרד</w:t>
      </w:r>
      <w:r w:rsidRPr="00DC3374">
        <w:rPr>
          <w:rFonts w:asciiTheme="minorHAnsi" w:hAnsiTheme="minorHAnsi"/>
          <w:sz w:val="22"/>
          <w:rtl/>
        </w:rPr>
        <w:t xml:space="preserve"> </w:t>
      </w:r>
      <w:r w:rsidRPr="00DC3374">
        <w:rPr>
          <w:rFonts w:asciiTheme="minorHAnsi" w:hAnsiTheme="minorHAnsi" w:hint="eastAsia"/>
          <w:sz w:val="22"/>
          <w:rtl/>
        </w:rPr>
        <w:t>הבריאות</w:t>
      </w:r>
      <w:r w:rsidRPr="00DC3374">
        <w:rPr>
          <w:rFonts w:asciiTheme="minorHAnsi" w:hAnsiTheme="minorHAnsi"/>
          <w:sz w:val="22"/>
          <w:rtl/>
        </w:rPr>
        <w:t xml:space="preserve"> </w:t>
      </w:r>
      <w:r w:rsidRPr="00DC3374">
        <w:rPr>
          <w:rFonts w:asciiTheme="minorHAnsi" w:hAnsiTheme="minorHAnsi" w:hint="eastAsia"/>
          <w:sz w:val="22"/>
          <w:rtl/>
        </w:rPr>
        <w:t>מציג</w:t>
      </w:r>
      <w:r w:rsidRPr="00DC3374">
        <w:rPr>
          <w:rFonts w:asciiTheme="minorHAnsi" w:hAnsiTheme="minorHAnsi"/>
          <w:sz w:val="22"/>
          <w:rtl/>
        </w:rPr>
        <w:t xml:space="preserve"> </w:t>
      </w:r>
      <w:r w:rsidRPr="00DC3374">
        <w:rPr>
          <w:rFonts w:asciiTheme="minorHAnsi" w:hAnsiTheme="minorHAnsi" w:hint="eastAsia"/>
          <w:sz w:val="22"/>
          <w:rtl/>
        </w:rPr>
        <w:t>באתר</w:t>
      </w:r>
      <w:r w:rsidRPr="00DC3374">
        <w:rPr>
          <w:rFonts w:asciiTheme="minorHAnsi" w:hAnsiTheme="minorHAnsi"/>
          <w:sz w:val="22"/>
          <w:rtl/>
        </w:rPr>
        <w:t xml:space="preserve"> </w:t>
      </w:r>
      <w:r w:rsidRPr="00DC3374">
        <w:rPr>
          <w:rFonts w:asciiTheme="minorHAnsi" w:hAnsiTheme="minorHAnsi" w:hint="eastAsia"/>
          <w:sz w:val="22"/>
          <w:rtl/>
        </w:rPr>
        <w:t>הממשלתי</w:t>
      </w:r>
      <w:r w:rsidRPr="00DC3374">
        <w:rPr>
          <w:rFonts w:asciiTheme="minorHAnsi" w:hAnsiTheme="minorHAnsi"/>
          <w:sz w:val="22"/>
          <w:rtl/>
        </w:rPr>
        <w:t xml:space="preserve"> </w:t>
      </w:r>
      <w:r w:rsidRPr="00DC3374">
        <w:rPr>
          <w:rFonts w:asciiTheme="minorHAnsi" w:hAnsiTheme="minorHAnsi" w:hint="eastAsia"/>
          <w:sz w:val="22"/>
          <w:rtl/>
        </w:rPr>
        <w:t>האחוד</w:t>
      </w:r>
      <w:r w:rsidRPr="00DC3374">
        <w:rPr>
          <w:rFonts w:asciiTheme="minorHAnsi" w:hAnsiTheme="minorHAnsi"/>
          <w:sz w:val="22"/>
          <w:rtl/>
        </w:rPr>
        <w:t xml:space="preserve"> </w:t>
      </w:r>
      <w:r w:rsidRPr="00DC3374">
        <w:rPr>
          <w:rFonts w:asciiTheme="minorHAnsi" w:hAnsiTheme="minorHAnsi" w:hint="eastAsia"/>
          <w:sz w:val="22"/>
          <w:rtl/>
        </w:rPr>
        <w:t>לבין</w:t>
      </w:r>
      <w:r w:rsidRPr="00DC3374">
        <w:rPr>
          <w:rFonts w:asciiTheme="minorHAnsi" w:hAnsiTheme="minorHAnsi"/>
          <w:sz w:val="22"/>
          <w:rtl/>
        </w:rPr>
        <w:t xml:space="preserve"> </w:t>
      </w:r>
      <w:r w:rsidRPr="00DC3374">
        <w:rPr>
          <w:rFonts w:asciiTheme="minorHAnsi" w:hAnsiTheme="minorHAnsi" w:hint="cs"/>
          <w:sz w:val="22"/>
          <w:rtl/>
        </w:rPr>
        <w:t xml:space="preserve">עיקרי </w:t>
      </w:r>
      <w:r w:rsidRPr="00DC3374">
        <w:rPr>
          <w:rFonts w:asciiTheme="minorHAnsi" w:hAnsiTheme="minorHAnsi" w:hint="eastAsia"/>
          <w:sz w:val="22"/>
          <w:rtl/>
        </w:rPr>
        <w:t>המידע</w:t>
      </w:r>
      <w:r w:rsidRPr="00DC3374">
        <w:rPr>
          <w:rFonts w:asciiTheme="minorHAnsi" w:hAnsiTheme="minorHAnsi"/>
          <w:sz w:val="22"/>
          <w:rtl/>
        </w:rPr>
        <w:t xml:space="preserve"> </w:t>
      </w:r>
      <w:r w:rsidRPr="00DC3374">
        <w:rPr>
          <w:rFonts w:asciiTheme="minorHAnsi" w:hAnsiTheme="minorHAnsi" w:hint="eastAsia"/>
          <w:sz w:val="22"/>
          <w:rtl/>
        </w:rPr>
        <w:t>ש</w:t>
      </w:r>
      <w:r w:rsidRPr="00DC3374">
        <w:rPr>
          <w:rFonts w:asciiTheme="minorHAnsi" w:hAnsiTheme="minorHAnsi"/>
          <w:sz w:val="22"/>
          <w:rtl/>
        </w:rPr>
        <w:t xml:space="preserve">פקע"ר </w:t>
      </w:r>
      <w:r w:rsidRPr="00DC3374">
        <w:rPr>
          <w:rFonts w:asciiTheme="minorHAnsi" w:hAnsiTheme="minorHAnsi" w:hint="eastAsia"/>
          <w:sz w:val="22"/>
          <w:rtl/>
        </w:rPr>
        <w:t>מציג</w:t>
      </w:r>
      <w:r w:rsidRPr="00DC3374">
        <w:rPr>
          <w:rFonts w:asciiTheme="minorHAnsi" w:hAnsiTheme="minorHAnsi"/>
          <w:sz w:val="22"/>
          <w:rtl/>
        </w:rPr>
        <w:t xml:space="preserve"> </w:t>
      </w:r>
      <w:r w:rsidRPr="00DC3374">
        <w:rPr>
          <w:rFonts w:asciiTheme="minorHAnsi" w:hAnsiTheme="minorHAnsi" w:hint="eastAsia"/>
          <w:sz w:val="22"/>
          <w:rtl/>
        </w:rPr>
        <w:t>באתר</w:t>
      </w:r>
      <w:r w:rsidRPr="00DC3374">
        <w:rPr>
          <w:rFonts w:asciiTheme="minorHAnsi" w:hAnsiTheme="minorHAnsi"/>
          <w:sz w:val="22"/>
          <w:rtl/>
        </w:rPr>
        <w:t xml:space="preserve"> </w:t>
      </w:r>
      <w:r w:rsidRPr="00DC3374">
        <w:rPr>
          <w:rFonts w:asciiTheme="minorHAnsi" w:hAnsiTheme="minorHAnsi" w:hint="eastAsia"/>
          <w:sz w:val="22"/>
          <w:rtl/>
        </w:rPr>
        <w:t>שלו</w:t>
      </w:r>
      <w:r w:rsidRPr="00DC3374">
        <w:rPr>
          <w:rFonts w:asciiTheme="minorHAnsi" w:hAnsiTheme="minorHAnsi"/>
          <w:sz w:val="22"/>
          <w:rtl/>
        </w:rPr>
        <w:t xml:space="preserve">. </w:t>
      </w:r>
      <w:r w:rsidRPr="00DC3374">
        <w:rPr>
          <w:rFonts w:asciiTheme="minorHAnsi" w:hAnsiTheme="minorHAnsi" w:hint="eastAsia"/>
          <w:sz w:val="22"/>
          <w:rtl/>
        </w:rPr>
        <w:t>תחומי</w:t>
      </w:r>
      <w:r w:rsidRPr="00DC3374">
        <w:rPr>
          <w:rFonts w:asciiTheme="minorHAnsi" w:hAnsiTheme="minorHAnsi"/>
          <w:sz w:val="22"/>
          <w:rtl/>
        </w:rPr>
        <w:t xml:space="preserve"> המידע </w:t>
      </w:r>
      <w:r w:rsidRPr="00DC3374">
        <w:rPr>
          <w:rFonts w:asciiTheme="minorHAnsi" w:hAnsiTheme="minorHAnsi" w:hint="cs"/>
          <w:sz w:val="22"/>
          <w:rtl/>
        </w:rPr>
        <w:t xml:space="preserve">שאותרו </w:t>
      </w:r>
      <w:r w:rsidRPr="00DC3374">
        <w:rPr>
          <w:rFonts w:asciiTheme="minorHAnsi" w:hAnsiTheme="minorHAnsi"/>
          <w:sz w:val="22"/>
          <w:rtl/>
        </w:rPr>
        <w:t xml:space="preserve">- החופף וזה שאינו חופף - מוצגים </w:t>
      </w:r>
      <w:r w:rsidRPr="00DC3374">
        <w:rPr>
          <w:rFonts w:asciiTheme="minorHAnsi" w:hAnsiTheme="minorHAnsi" w:hint="eastAsia"/>
          <w:sz w:val="22"/>
          <w:rtl/>
        </w:rPr>
        <w:t>בתרשים</w:t>
      </w:r>
      <w:r w:rsidRPr="00DC3374">
        <w:rPr>
          <w:rFonts w:asciiTheme="minorHAnsi" w:hAnsiTheme="minorHAnsi"/>
          <w:sz w:val="22"/>
          <w:rtl/>
        </w:rPr>
        <w:t xml:space="preserve"> </w:t>
      </w:r>
      <w:r w:rsidRPr="00DC3374">
        <w:rPr>
          <w:rFonts w:asciiTheme="minorHAnsi" w:hAnsiTheme="minorHAnsi" w:hint="cs"/>
          <w:sz w:val="22"/>
          <w:rtl/>
        </w:rPr>
        <w:t>ש</w:t>
      </w:r>
      <w:r w:rsidRPr="00DC3374">
        <w:rPr>
          <w:rFonts w:asciiTheme="minorHAnsi" w:hAnsiTheme="minorHAnsi" w:hint="eastAsia"/>
          <w:sz w:val="22"/>
          <w:rtl/>
        </w:rPr>
        <w:t>להלן</w:t>
      </w:r>
      <w:r w:rsidRPr="00DC3374">
        <w:rPr>
          <w:rFonts w:asciiTheme="minorHAnsi" w:hAnsiTheme="minorHAnsi"/>
          <w:sz w:val="22"/>
          <w:rtl/>
        </w:rPr>
        <w:t>.</w:t>
      </w:r>
    </w:p>
    <w:p w:rsidR="00E92F67" w:rsidRPr="00DC3374" w:rsidP="00C706E3" w14:paraId="1967555C" w14:textId="7BB4558E">
      <w:pPr>
        <w:spacing w:line="269" w:lineRule="auto"/>
        <w:ind w:left="720" w:hanging="720"/>
        <w:rPr>
          <w:rFonts w:asciiTheme="minorHAnsi" w:hAnsiTheme="minorHAnsi"/>
          <w:b/>
          <w:bCs/>
          <w:sz w:val="22"/>
          <w:rtl/>
        </w:rPr>
      </w:pPr>
      <w:r w:rsidRPr="00DC3374">
        <w:rPr>
          <w:rtl/>
        </w:rPr>
        <w:br w:type="page"/>
      </w: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C426159" w14:textId="77777777">
      <w:pPr>
        <w:spacing w:line="269" w:lineRule="auto"/>
        <w:jc w:val="center"/>
        <w:rPr>
          <w:b/>
          <w:bCs/>
          <w:rtl/>
        </w:rPr>
      </w:pPr>
      <w:r w:rsidRPr="00DC3374">
        <w:rPr>
          <w:rFonts w:hint="cs"/>
          <w:b/>
          <w:bCs/>
          <w:rtl/>
        </w:rPr>
        <w:t xml:space="preserve">תרשים 36: עיקרי המידע המוצג באתר משרד הבריאות ובאתר פקע"ר, </w:t>
      </w:r>
    </w:p>
    <w:p w:rsidR="00E92F67" w:rsidRPr="00DC3374" w:rsidP="00E81188" w14:paraId="099D4C48" w14:textId="77777777">
      <w:pPr>
        <w:spacing w:line="269" w:lineRule="auto"/>
        <w:jc w:val="center"/>
        <w:rPr>
          <w:b/>
          <w:bCs/>
          <w:rtl/>
        </w:rPr>
      </w:pPr>
      <w:r w:rsidRPr="00DC3374">
        <w:rPr>
          <w:rFonts w:hint="eastAsia"/>
          <w:b/>
          <w:bCs/>
          <w:rtl/>
        </w:rPr>
        <w:t>לרבות</w:t>
      </w:r>
      <w:r w:rsidRPr="00DC3374">
        <w:rPr>
          <w:b/>
          <w:bCs/>
          <w:rtl/>
        </w:rPr>
        <w:t xml:space="preserve"> </w:t>
      </w:r>
      <w:r w:rsidRPr="00DC3374">
        <w:rPr>
          <w:rFonts w:hint="eastAsia"/>
          <w:b/>
          <w:bCs/>
          <w:rtl/>
        </w:rPr>
        <w:t>מידע</w:t>
      </w:r>
      <w:r w:rsidRPr="00DC3374">
        <w:rPr>
          <w:b/>
          <w:bCs/>
          <w:rtl/>
        </w:rPr>
        <w:t xml:space="preserve"> </w:t>
      </w:r>
      <w:r w:rsidRPr="00DC3374">
        <w:rPr>
          <w:rFonts w:hint="eastAsia"/>
          <w:b/>
          <w:bCs/>
          <w:rtl/>
        </w:rPr>
        <w:t>חופף</w:t>
      </w:r>
      <w:r w:rsidRPr="00DC3374">
        <w:rPr>
          <w:b/>
          <w:bCs/>
          <w:rtl/>
        </w:rPr>
        <w:t xml:space="preserve"> </w:t>
      </w:r>
      <w:r w:rsidRPr="00DC3374">
        <w:rPr>
          <w:rFonts w:hint="eastAsia"/>
          <w:b/>
          <w:bCs/>
          <w:rtl/>
        </w:rPr>
        <w:t>בשני</w:t>
      </w:r>
      <w:r w:rsidRPr="00DC3374">
        <w:rPr>
          <w:b/>
          <w:bCs/>
          <w:rtl/>
        </w:rPr>
        <w:t xml:space="preserve"> </w:t>
      </w:r>
      <w:r w:rsidRPr="00DC3374">
        <w:rPr>
          <w:rFonts w:hint="eastAsia"/>
          <w:b/>
          <w:bCs/>
          <w:rtl/>
        </w:rPr>
        <w:t>האתרים</w:t>
      </w:r>
    </w:p>
    <w:p w:rsidR="00E92F67" w:rsidRPr="00DC3374" w:rsidP="00E81188" w14:paraId="72841B6D" w14:textId="77777777">
      <w:pPr>
        <w:spacing w:line="269" w:lineRule="auto"/>
        <w:jc w:val="center"/>
        <w:rPr>
          <w:b/>
          <w:bCs/>
          <w:rtl/>
        </w:rPr>
      </w:pPr>
      <w:r w:rsidRPr="00DC3374">
        <w:rPr>
          <w:b/>
          <w:bCs/>
          <w:noProof/>
        </w:rPr>
        <w:drawing>
          <wp:inline distT="0" distB="0" distL="0" distR="0">
            <wp:extent cx="5212080" cy="6583680"/>
            <wp:effectExtent l="0" t="0" r="7620" b="762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08729" name="Picture 7"/>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2080" cy="6583680"/>
                    </a:xfrm>
                    <a:prstGeom prst="rect">
                      <a:avLst/>
                    </a:prstGeom>
                    <a:noFill/>
                    <a:ln>
                      <a:noFill/>
                    </a:ln>
                  </pic:spPr>
                </pic:pic>
              </a:graphicData>
            </a:graphic>
          </wp:inline>
        </w:drawing>
      </w:r>
    </w:p>
    <w:p w:rsidR="00E92F67" w:rsidRPr="00DC3374" w:rsidP="00E81188" w14:paraId="511D2A6B" w14:textId="64364E00">
      <w:pPr>
        <w:spacing w:line="269" w:lineRule="auto"/>
        <w:rPr>
          <w:rFonts w:asciiTheme="minorHAnsi" w:hAnsiTheme="minorHAnsi"/>
          <w:b/>
          <w:bCs/>
          <w:szCs w:val="20"/>
          <w:rtl/>
        </w:rPr>
      </w:pPr>
      <w:r>
        <w:rPr>
          <w:rFonts w:asciiTheme="minorHAnsi" w:hAnsiTheme="minorHAnsi" w:hint="cs"/>
          <w:szCs w:val="20"/>
          <w:rtl/>
        </w:rPr>
        <w:t xml:space="preserve"> </w:t>
      </w:r>
      <w:r w:rsidRPr="00DC3374">
        <w:rPr>
          <w:rFonts w:asciiTheme="minorHAnsi" w:hAnsiTheme="minorHAnsi" w:hint="cs"/>
          <w:szCs w:val="20"/>
          <w:rtl/>
        </w:rPr>
        <w:t>המקור: אתר משרד הבריאות ואתר פקע"ר, 21.03.21.</w:t>
      </w:r>
    </w:p>
    <w:p w:rsidR="00E92F67" w:rsidRPr="00DC3374" w:rsidP="00E81188" w14:paraId="66F13498" w14:textId="1EF97C3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4E7B905F" w14:textId="77777777">
      <w:pPr>
        <w:spacing w:line="269" w:lineRule="auto"/>
        <w:ind w:left="312"/>
        <w:rPr>
          <w:b/>
          <w:bCs/>
          <w:rtl/>
        </w:rPr>
      </w:pPr>
      <w:r w:rsidRPr="00DC3374">
        <w:rPr>
          <w:rFonts w:hint="eastAsia"/>
          <w:b/>
          <w:bCs/>
          <w:rtl/>
        </w:rPr>
        <w:t>מהתרשים</w:t>
      </w:r>
      <w:r w:rsidRPr="00DC3374">
        <w:rPr>
          <w:b/>
          <w:bCs/>
          <w:rtl/>
        </w:rPr>
        <w:t xml:space="preserve"> עולה כי </w:t>
      </w:r>
      <w:r w:rsidRPr="00DC3374">
        <w:rPr>
          <w:rFonts w:hint="eastAsia"/>
          <w:b/>
          <w:bCs/>
          <w:rtl/>
        </w:rPr>
        <w:t>קיימת</w:t>
      </w:r>
      <w:r w:rsidRPr="00DC3374">
        <w:rPr>
          <w:b/>
          <w:bCs/>
          <w:rtl/>
        </w:rPr>
        <w:t xml:space="preserve"> חפיפה של מידע מטעם הממשלה </w:t>
      </w:r>
      <w:r w:rsidRPr="00DC3374">
        <w:rPr>
          <w:rFonts w:hint="cs"/>
          <w:b/>
          <w:bCs/>
          <w:rtl/>
        </w:rPr>
        <w:t xml:space="preserve">לציבור </w:t>
      </w:r>
      <w:r w:rsidRPr="00DC3374">
        <w:rPr>
          <w:rFonts w:hint="eastAsia"/>
          <w:b/>
          <w:bCs/>
          <w:rtl/>
        </w:rPr>
        <w:t>בין</w:t>
      </w:r>
      <w:r w:rsidRPr="00DC3374">
        <w:rPr>
          <w:b/>
          <w:bCs/>
          <w:rtl/>
        </w:rPr>
        <w:t xml:space="preserve"> </w:t>
      </w:r>
      <w:r w:rsidRPr="00DC3374">
        <w:rPr>
          <w:rFonts w:hint="eastAsia"/>
          <w:b/>
          <w:bCs/>
          <w:rtl/>
        </w:rPr>
        <w:t>שני</w:t>
      </w:r>
      <w:r w:rsidRPr="00DC3374">
        <w:rPr>
          <w:b/>
          <w:bCs/>
          <w:rtl/>
        </w:rPr>
        <w:t xml:space="preserve"> האתרים - </w:t>
      </w:r>
      <w:r w:rsidRPr="00DC3374">
        <w:rPr>
          <w:rFonts w:hint="eastAsia"/>
          <w:b/>
          <w:bCs/>
          <w:rtl/>
        </w:rPr>
        <w:t>האתר</w:t>
      </w:r>
      <w:r w:rsidRPr="00DC3374">
        <w:rPr>
          <w:b/>
          <w:bCs/>
          <w:rtl/>
        </w:rPr>
        <w:t xml:space="preserve"> </w:t>
      </w:r>
      <w:r w:rsidRPr="00DC3374">
        <w:rPr>
          <w:rFonts w:hint="eastAsia"/>
          <w:b/>
          <w:bCs/>
          <w:rtl/>
        </w:rPr>
        <w:t>הממשלתי</w:t>
      </w:r>
      <w:r w:rsidRPr="00DC3374">
        <w:rPr>
          <w:b/>
          <w:bCs/>
          <w:rtl/>
        </w:rPr>
        <w:t xml:space="preserve"> </w:t>
      </w:r>
      <w:r w:rsidRPr="00DC3374">
        <w:rPr>
          <w:rFonts w:hint="eastAsia"/>
          <w:b/>
          <w:bCs/>
          <w:rtl/>
        </w:rPr>
        <w:t>האחוד</w:t>
      </w:r>
      <w:r w:rsidRPr="00DC3374">
        <w:rPr>
          <w:b/>
          <w:bCs/>
          <w:rtl/>
        </w:rPr>
        <w:t xml:space="preserve"> </w:t>
      </w:r>
      <w:r w:rsidRPr="00DC3374">
        <w:rPr>
          <w:rFonts w:hint="eastAsia"/>
          <w:b/>
          <w:bCs/>
          <w:rtl/>
        </w:rPr>
        <w:t>ו</w:t>
      </w:r>
      <w:r w:rsidRPr="00DC3374">
        <w:rPr>
          <w:rFonts w:hint="cs"/>
          <w:b/>
          <w:bCs/>
          <w:rtl/>
        </w:rPr>
        <w:t>אתר פקע"ר</w:t>
      </w:r>
      <w:r w:rsidRPr="00DC3374">
        <w:rPr>
          <w:b/>
          <w:bCs/>
          <w:rtl/>
        </w:rPr>
        <w:t xml:space="preserve"> - </w:t>
      </w:r>
      <w:r w:rsidRPr="00DC3374">
        <w:rPr>
          <w:rFonts w:hint="eastAsia"/>
          <w:b/>
          <w:bCs/>
          <w:rtl/>
        </w:rPr>
        <w:t>בנוגע</w:t>
      </w:r>
      <w:r w:rsidRPr="00DC3374">
        <w:rPr>
          <w:b/>
          <w:bCs/>
          <w:rtl/>
        </w:rPr>
        <w:t xml:space="preserve"> ל-10 מ-17 </w:t>
      </w:r>
      <w:r w:rsidRPr="00DC3374">
        <w:rPr>
          <w:rFonts w:hint="cs"/>
          <w:b/>
          <w:bCs/>
          <w:rtl/>
        </w:rPr>
        <w:t>ה</w:t>
      </w:r>
      <w:r w:rsidRPr="00DC3374">
        <w:rPr>
          <w:b/>
          <w:bCs/>
          <w:rtl/>
        </w:rPr>
        <w:t xml:space="preserve">תחומים </w:t>
      </w:r>
      <w:r w:rsidRPr="00DC3374">
        <w:rPr>
          <w:rFonts w:hint="cs"/>
          <w:b/>
          <w:bCs/>
          <w:rtl/>
        </w:rPr>
        <w:t xml:space="preserve">שאותרו והנוגעים </w:t>
      </w:r>
      <w:r w:rsidRPr="00DC3374">
        <w:rPr>
          <w:b/>
          <w:bCs/>
          <w:rtl/>
        </w:rPr>
        <w:t xml:space="preserve">למשבר הקורונה. </w:t>
      </w:r>
    </w:p>
    <w:p w:rsidR="00E92F67" w:rsidRPr="00DC3374" w:rsidP="00E81188" w14:paraId="755E6E97" w14:textId="77777777">
      <w:pPr>
        <w:spacing w:line="269" w:lineRule="auto"/>
        <w:ind w:left="720" w:hanging="720"/>
        <w:rPr>
          <w:szCs w:val="20"/>
          <w:rtl/>
        </w:rPr>
      </w:pPr>
      <w:r w:rsidRPr="00DC3374">
        <w:rPr>
          <w:rtl/>
        </w:rPr>
        <w:br w:type="page"/>
      </w:r>
    </w:p>
    <w:p w:rsidR="00E92F67" w:rsidRPr="00DC3374" w:rsidP="00E81188" w14:paraId="42C58E24" w14:textId="4173A3C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FEADB83" w14:textId="77777777">
      <w:pPr>
        <w:spacing w:line="269" w:lineRule="auto"/>
        <w:rPr>
          <w:rtl/>
        </w:rPr>
      </w:pPr>
      <w:r w:rsidRPr="00DC3374">
        <w:rPr>
          <w:rFonts w:hint="cs"/>
          <w:b/>
          <w:bCs/>
          <w:rtl/>
        </w:rPr>
        <w:t xml:space="preserve">בביקורת </w:t>
      </w:r>
      <w:r w:rsidRPr="00DC3374">
        <w:rPr>
          <w:rFonts w:hint="eastAsia"/>
          <w:b/>
          <w:bCs/>
          <w:rtl/>
        </w:rPr>
        <w:t>עלה</w:t>
      </w:r>
      <w:r w:rsidRPr="00DC3374">
        <w:rPr>
          <w:rFonts w:hint="cs"/>
          <w:b/>
          <w:bCs/>
          <w:rtl/>
        </w:rPr>
        <w:t xml:space="preserve"> כי </w:t>
      </w:r>
      <w:r w:rsidRPr="00DC3374">
        <w:rPr>
          <w:b/>
          <w:bCs/>
          <w:rtl/>
        </w:rPr>
        <w:t xml:space="preserve">הקמת </w:t>
      </w:r>
      <w:r w:rsidRPr="00DC3374">
        <w:rPr>
          <w:rFonts w:hint="cs"/>
          <w:b/>
          <w:bCs/>
          <w:rtl/>
        </w:rPr>
        <w:t>אתר פקע"ר</w:t>
      </w:r>
      <w:r w:rsidRPr="00DC3374">
        <w:rPr>
          <w:b/>
          <w:bCs/>
          <w:rtl/>
        </w:rPr>
        <w:t xml:space="preserve"> לא </w:t>
      </w:r>
      <w:r w:rsidRPr="00DC3374">
        <w:rPr>
          <w:rFonts w:hint="cs"/>
          <w:b/>
          <w:bCs/>
          <w:rtl/>
        </w:rPr>
        <w:t xml:space="preserve">יצרה ערך מוסף רב על המידע שהופץ באתר הממשלתי האחוד ברוב התחומים הרלוונטיים למשבר הקורונה. למעשה, </w:t>
      </w:r>
      <w:r w:rsidRPr="00DC3374">
        <w:rPr>
          <w:bCs/>
          <w:sz w:val="24"/>
          <w:rtl/>
        </w:rPr>
        <w:t xml:space="preserve">מלבד </w:t>
      </w:r>
      <w:r w:rsidRPr="00DC3374">
        <w:rPr>
          <w:rFonts w:hint="cs"/>
          <w:bCs/>
          <w:sz w:val="24"/>
          <w:rtl/>
        </w:rPr>
        <w:t xml:space="preserve">המידע על מלוניות הקורונה, על מתחמים לבדיקות קורונה ועל פעילות מפקדת "אלון", </w:t>
      </w:r>
      <w:r w:rsidRPr="00DC3374">
        <w:rPr>
          <w:bCs/>
          <w:sz w:val="24"/>
          <w:rtl/>
        </w:rPr>
        <w:t>המידע ש</w:t>
      </w:r>
      <w:r w:rsidRPr="00DC3374">
        <w:rPr>
          <w:rFonts w:hint="cs"/>
          <w:bCs/>
          <w:sz w:val="24"/>
          <w:rtl/>
        </w:rPr>
        <w:t>ה</w:t>
      </w:r>
      <w:r w:rsidRPr="00DC3374">
        <w:rPr>
          <w:bCs/>
          <w:sz w:val="24"/>
          <w:rtl/>
        </w:rPr>
        <w:t xml:space="preserve">וצג </w:t>
      </w:r>
      <w:r w:rsidRPr="00DC3374">
        <w:rPr>
          <w:rFonts w:hint="cs"/>
          <w:bCs/>
          <w:sz w:val="24"/>
          <w:rtl/>
        </w:rPr>
        <w:t>באתר</w:t>
      </w:r>
      <w:r w:rsidRPr="00DC3374">
        <w:rPr>
          <w:bCs/>
          <w:sz w:val="24"/>
          <w:rtl/>
        </w:rPr>
        <w:t xml:space="preserve"> פקע"ר </w:t>
      </w:r>
      <w:r w:rsidRPr="00DC3374">
        <w:rPr>
          <w:rFonts w:hint="cs"/>
          <w:bCs/>
          <w:sz w:val="24"/>
          <w:rtl/>
        </w:rPr>
        <w:t>התבסס על מידע ש</w:t>
      </w:r>
      <w:r w:rsidRPr="00DC3374">
        <w:rPr>
          <w:bCs/>
          <w:sz w:val="24"/>
          <w:rtl/>
        </w:rPr>
        <w:t>משרדי ממשלה שונים</w:t>
      </w:r>
      <w:r w:rsidRPr="00DC3374">
        <w:rPr>
          <w:rFonts w:hint="cs"/>
          <w:bCs/>
          <w:sz w:val="24"/>
          <w:rtl/>
        </w:rPr>
        <w:t xml:space="preserve"> מסרו באתרים שלהם ובאתר הממשלתי האחוד ישירות לציבור</w:t>
      </w:r>
      <w:r w:rsidRPr="00DC3374">
        <w:rPr>
          <w:bCs/>
          <w:sz w:val="24"/>
          <w:rtl/>
        </w:rPr>
        <w:t>, כמו משרד הבריאות, משרד התחבורה</w:t>
      </w:r>
      <w:r>
        <w:rPr>
          <w:rFonts w:hint="cs"/>
          <w:bCs/>
          <w:sz w:val="24"/>
          <w:rtl/>
        </w:rPr>
        <w:t xml:space="preserve"> והבטיחות בדרכים</w:t>
      </w:r>
      <w:r w:rsidRPr="00DC3374">
        <w:rPr>
          <w:rFonts w:hint="cs"/>
          <w:bCs/>
          <w:sz w:val="24"/>
          <w:rtl/>
        </w:rPr>
        <w:t xml:space="preserve"> ו</w:t>
      </w:r>
      <w:r w:rsidRPr="00DC3374">
        <w:rPr>
          <w:bCs/>
          <w:sz w:val="24"/>
          <w:rtl/>
        </w:rPr>
        <w:t>משרד התרבות והספורט.</w:t>
      </w:r>
      <w:r w:rsidRPr="00DC3374">
        <w:rPr>
          <w:b/>
          <w:bCs/>
          <w:rtl/>
        </w:rPr>
        <w:t xml:space="preserve"> </w:t>
      </w:r>
    </w:p>
    <w:p w:rsidR="00E92F67" w:rsidRPr="00DC3374" w:rsidP="00E81188" w14:paraId="5FF401A9" w14:textId="6CEF738B">
      <w:pPr>
        <w:pStyle w:val="a"/>
        <w:spacing w:line="269" w:lineRule="auto"/>
        <w:rPr>
          <w:rtl/>
        </w:rPr>
      </w:pPr>
      <w:r w:rsidRPr="00DC3374">
        <w:rPr>
          <w:rFonts w:hint="cs"/>
          <w:rtl/>
        </w:rPr>
        <w:t xml:space="preserve"> </w:t>
      </w: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EF09EC4" w14:textId="77777777">
      <w:pPr>
        <w:spacing w:line="269" w:lineRule="auto"/>
        <w:rPr>
          <w:rtl/>
        </w:rPr>
      </w:pPr>
      <w:r w:rsidRPr="00DC3374">
        <w:rPr>
          <w:rFonts w:hint="cs"/>
          <w:rtl/>
        </w:rPr>
        <w:t xml:space="preserve">משרד רה"ם מסר בתשובתו כי סמוך לתחילתו של משבר הקורונה הקים פקע"ר את פורטל החירום הלאומי במטרה לרכז בו את כלל המידע הממשלתי הרלוונטי לשעת חירום. הפעלת הפורטל לצד הפעלת האתר הממשלתי האחוד עוררה חילוקי דעות מקצועיים, אך נוכח הצורך בריכוז המידע באופן מיידי והפצתו לציבור, הוחלט להמשיך ולהפעיל את האתר של פקע"ר ולא לאחדו עם האתר הממשלתי האחוד. </w:t>
      </w:r>
    </w:p>
    <w:p w:rsidR="00E92F67" w:rsidRPr="00DC3374" w:rsidP="00E81188" w14:paraId="60078E08" w14:textId="35C81EB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CE0B807" w14:textId="77777777">
      <w:pPr>
        <w:spacing w:line="269" w:lineRule="auto"/>
      </w:pPr>
      <w:r w:rsidRPr="00DC3374">
        <w:rPr>
          <w:rtl/>
        </w:rPr>
        <w:t xml:space="preserve">משרד הבריאות </w:t>
      </w:r>
      <w:r w:rsidRPr="00DC3374">
        <w:rPr>
          <w:rFonts w:hint="cs"/>
          <w:rtl/>
        </w:rPr>
        <w:t>מסר בתשובתו</w:t>
      </w:r>
      <w:r w:rsidRPr="00DC3374">
        <w:rPr>
          <w:rtl/>
        </w:rPr>
        <w:t xml:space="preserve"> למשרד מבקר המדינה כי מוקדי המידע לציבור של שני הגופים עבדו בשיתוף פעולה, שהתבטא בהעברת ההנחיות ממשרד הבריאות לפקע"ר ובשיח שאלות</w:t>
      </w:r>
      <w:r>
        <w:rPr>
          <w:rFonts w:hint="cs"/>
          <w:rtl/>
        </w:rPr>
        <w:t xml:space="preserve"> </w:t>
      </w:r>
      <w:r w:rsidRPr="00DC3374">
        <w:rPr>
          <w:rtl/>
        </w:rPr>
        <w:t>ותשובות בין המוקדים</w:t>
      </w:r>
      <w:r w:rsidRPr="00DC3374">
        <w:rPr>
          <w:rFonts w:hint="cs"/>
          <w:rtl/>
        </w:rPr>
        <w:t>.</w:t>
      </w:r>
    </w:p>
    <w:p w:rsidR="00E92F67" w:rsidRPr="00DC3374" w:rsidP="00E81188" w14:paraId="7400A654" w14:textId="0CBBE03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7F9D0C9" w14:textId="77777777">
      <w:pPr>
        <w:spacing w:line="269" w:lineRule="auto"/>
        <w:rPr>
          <w:rtl/>
        </w:rPr>
      </w:pPr>
      <w:r w:rsidRPr="00DC3374">
        <w:rPr>
          <w:rFonts w:hint="cs"/>
          <w:rtl/>
        </w:rPr>
        <w:t>פקע"ר מסר בתשובתו למשרד מבקר המדינה כי האתר הממשלתי האחוד ואתר פקע"ר הם שני אתרים שייעודם שונה. ייעוד אתר הממשלה הוא בהנגשת מידע ושירותים ממשלתיים ביום יום, והוא לא נועד לספק מידע ומענה במצבי חירום. ייעוד אתר פקע"ר הוא בהנגשת מידע המקדם היערכות ומוכנות לחירום וכן מידע ותמיכה בעיתות הסלמה ומלחמה, זאת נוכח אחריות פקע"ר לפי חוק הג"א להדריך את האוכלוסייה בענייני התגוננות אזרחית. פקע"ר הציג את נתוני הכניסה המשמעותיים לאתר פקע"ר בעשרת ימי מבצע "שומר חומות" (כ-17 מיליון כניסות) כדי לתקף את תשובתו.</w:t>
      </w:r>
    </w:p>
    <w:p w:rsidR="00E92F67" w:rsidRPr="00DC3374" w:rsidP="00E81188" w14:paraId="25CB9AFE" w14:textId="6D66643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F05D24D" w14:textId="4BE14CE1">
      <w:pPr>
        <w:spacing w:line="269" w:lineRule="auto"/>
        <w:rPr>
          <w:rtl/>
        </w:rPr>
      </w:pPr>
      <w:r w:rsidRPr="00DC3374">
        <w:rPr>
          <w:rFonts w:hint="cs"/>
          <w:rtl/>
        </w:rPr>
        <w:t xml:space="preserve">משרד מבקר המדינה מעיר לפקע"ר כי מתחילת המשבר סיפק האתר הממשלתי האחוד מידע </w:t>
      </w:r>
      <w:r w:rsidRPr="00DC3374">
        <w:rPr>
          <w:rtl/>
        </w:rPr>
        <w:t>בנושא הקורונה בחתך לפי נושאים שונים</w:t>
      </w:r>
      <w:r w:rsidRPr="00DC3374">
        <w:rPr>
          <w:rFonts w:hint="cs"/>
          <w:rtl/>
        </w:rPr>
        <w:t>,</w:t>
      </w:r>
      <w:r w:rsidRPr="00DC3374">
        <w:rPr>
          <w:rtl/>
        </w:rPr>
        <w:t xml:space="preserve"> כגון</w:t>
      </w:r>
      <w:r w:rsidRPr="00DC3374">
        <w:rPr>
          <w:rFonts w:hint="cs"/>
          <w:rtl/>
        </w:rPr>
        <w:t xml:space="preserve"> </w:t>
      </w:r>
      <w:r w:rsidRPr="00DC3374">
        <w:rPr>
          <w:rtl/>
        </w:rPr>
        <w:t>חזרה לשגרה, שוהים בבידוד, התגוננות ומניעת התפשטות, תעסוקה, עסקים ותעשי</w:t>
      </w:r>
      <w:r w:rsidRPr="00DC3374">
        <w:rPr>
          <w:rFonts w:hint="cs"/>
          <w:rtl/>
        </w:rPr>
        <w:t>י</w:t>
      </w:r>
      <w:r w:rsidRPr="00DC3374">
        <w:rPr>
          <w:rtl/>
        </w:rPr>
        <w:t xml:space="preserve">ה, הגנת הצרכן, הקלות מטעם המדינה, תחבורה, חקיקה ואכיפה </w:t>
      </w:r>
      <w:r w:rsidRPr="00DC3374">
        <w:rPr>
          <w:rFonts w:hint="cs"/>
          <w:rtl/>
        </w:rPr>
        <w:t>ו</w:t>
      </w:r>
      <w:r w:rsidRPr="00DC3374">
        <w:rPr>
          <w:rtl/>
        </w:rPr>
        <w:t>דיור</w:t>
      </w:r>
      <w:r w:rsidRPr="00DC3374">
        <w:rPr>
          <w:rFonts w:hint="cs"/>
          <w:rtl/>
        </w:rPr>
        <w:t>. כאמור, גם אתר פקע"ר סיפק מידע בנושאים דומים ברובם, ולכן הקמת אתר פקע"ר לא יצרה ערך מוסף בנושא משבר הקורונה. דווקא הצגת נתוני הכניסה המשמעותיים לאתר פקע"ר בתקופת אירוע ביטחוני (מבצע "שומר החומות"), בשונה מנתוני הכניסה הנמוכים לאתר בעת משבר הקורונה, מעידים על היתרון היחסי של אתר פקע"ר בתקופת חירום ביטחונית ולא אזרחית, שבה היה גורם אזרחי (בריאותי) שהוביל את הטיפול במשבר.</w:t>
      </w:r>
      <w:r w:rsidR="009A11FC">
        <w:rPr>
          <w:rFonts w:hint="cs"/>
          <w:rtl/>
        </w:rPr>
        <w:t xml:space="preserve"> </w:t>
      </w:r>
    </w:p>
    <w:p w:rsidR="00E92F67" w:rsidRPr="00DC3374" w:rsidP="00E81188" w14:paraId="6D618725" w14:textId="49F1925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18A98F7" w14:textId="77777777">
      <w:pPr>
        <w:spacing w:line="269" w:lineRule="auto"/>
        <w:rPr>
          <w:bCs/>
          <w:sz w:val="24"/>
          <w:rtl/>
        </w:rPr>
      </w:pPr>
      <w:r w:rsidRPr="00DC3374">
        <w:rPr>
          <w:rFonts w:hint="eastAsia"/>
          <w:b/>
          <w:bCs/>
          <w:rtl/>
        </w:rPr>
        <w:t>מומלץ</w:t>
      </w:r>
      <w:r w:rsidRPr="00DC3374">
        <w:rPr>
          <w:b/>
          <w:bCs/>
          <w:rtl/>
        </w:rPr>
        <w:t xml:space="preserve"> לפעול </w:t>
      </w:r>
      <w:r w:rsidRPr="00DC3374">
        <w:rPr>
          <w:rFonts w:hint="eastAsia"/>
          <w:b/>
          <w:bCs/>
          <w:rtl/>
        </w:rPr>
        <w:t>לאיחוד</w:t>
      </w:r>
      <w:r w:rsidRPr="00DC3374">
        <w:rPr>
          <w:b/>
          <w:bCs/>
          <w:rtl/>
        </w:rPr>
        <w:t xml:space="preserve"> </w:t>
      </w:r>
      <w:r w:rsidRPr="00DC3374">
        <w:rPr>
          <w:rFonts w:hint="eastAsia"/>
          <w:b/>
          <w:bCs/>
          <w:rtl/>
        </w:rPr>
        <w:t>אתר</w:t>
      </w:r>
      <w:r w:rsidRPr="00DC3374">
        <w:rPr>
          <w:b/>
          <w:bCs/>
          <w:rtl/>
        </w:rPr>
        <w:t xml:space="preserve"> </w:t>
      </w:r>
      <w:r w:rsidRPr="00DC3374">
        <w:rPr>
          <w:rFonts w:hint="eastAsia"/>
          <w:b/>
          <w:bCs/>
          <w:rtl/>
        </w:rPr>
        <w:t>פקע</w:t>
      </w:r>
      <w:r w:rsidRPr="00DC3374">
        <w:rPr>
          <w:b/>
          <w:bCs/>
          <w:rtl/>
        </w:rPr>
        <w:t xml:space="preserve">"ר </w:t>
      </w:r>
      <w:r w:rsidRPr="00DC3374">
        <w:rPr>
          <w:rFonts w:hint="eastAsia"/>
          <w:b/>
          <w:bCs/>
          <w:rtl/>
        </w:rPr>
        <w:t>עם</w:t>
      </w:r>
      <w:r w:rsidRPr="00DC3374">
        <w:rPr>
          <w:b/>
          <w:bCs/>
          <w:rtl/>
        </w:rPr>
        <w:t xml:space="preserve"> </w:t>
      </w:r>
      <w:r w:rsidRPr="00DC3374">
        <w:rPr>
          <w:rFonts w:hint="eastAsia"/>
          <w:b/>
          <w:bCs/>
          <w:rtl/>
        </w:rPr>
        <w:t>האתר</w:t>
      </w:r>
      <w:r w:rsidRPr="00DC3374">
        <w:rPr>
          <w:b/>
          <w:bCs/>
          <w:rtl/>
        </w:rPr>
        <w:t xml:space="preserve"> </w:t>
      </w:r>
      <w:r w:rsidRPr="00DC3374">
        <w:rPr>
          <w:rFonts w:hint="eastAsia"/>
          <w:b/>
          <w:bCs/>
          <w:rtl/>
        </w:rPr>
        <w:t>הממשלתי</w:t>
      </w:r>
      <w:r w:rsidRPr="00DC3374">
        <w:rPr>
          <w:b/>
          <w:bCs/>
          <w:rtl/>
        </w:rPr>
        <w:t xml:space="preserve"> </w:t>
      </w:r>
      <w:r w:rsidRPr="00DC3374">
        <w:rPr>
          <w:rFonts w:hint="eastAsia"/>
          <w:b/>
          <w:bCs/>
          <w:rtl/>
        </w:rPr>
        <w:t>האחוד</w:t>
      </w:r>
      <w:r w:rsidRPr="00DC3374">
        <w:rPr>
          <w:b/>
          <w:bCs/>
          <w:rtl/>
        </w:rPr>
        <w:t xml:space="preserve"> </w:t>
      </w:r>
      <w:r w:rsidRPr="00DC3374">
        <w:rPr>
          <w:rFonts w:hint="eastAsia"/>
          <w:b/>
          <w:bCs/>
          <w:rtl/>
        </w:rPr>
        <w:t>ולרכז</w:t>
      </w:r>
      <w:r w:rsidRPr="00DC3374">
        <w:rPr>
          <w:b/>
          <w:bCs/>
          <w:rtl/>
        </w:rPr>
        <w:t xml:space="preserve"> </w:t>
      </w:r>
      <w:r w:rsidRPr="00DC3374">
        <w:rPr>
          <w:rFonts w:hint="eastAsia"/>
          <w:b/>
          <w:bCs/>
          <w:rtl/>
        </w:rPr>
        <w:t>ב</w:t>
      </w:r>
      <w:r w:rsidRPr="00DC3374">
        <w:rPr>
          <w:rFonts w:hint="cs"/>
          <w:b/>
          <w:bCs/>
          <w:rtl/>
        </w:rPr>
        <w:t>אתר האחוד</w:t>
      </w:r>
      <w:r w:rsidRPr="00DC3374">
        <w:rPr>
          <w:b/>
          <w:bCs/>
          <w:rtl/>
        </w:rPr>
        <w:t xml:space="preserve"> </w:t>
      </w:r>
      <w:r w:rsidRPr="00DC3374">
        <w:rPr>
          <w:rFonts w:hint="eastAsia"/>
          <w:b/>
          <w:bCs/>
          <w:rtl/>
        </w:rPr>
        <w:t>את</w:t>
      </w:r>
      <w:r w:rsidRPr="00DC3374">
        <w:rPr>
          <w:b/>
          <w:bCs/>
          <w:rtl/>
        </w:rPr>
        <w:t xml:space="preserve"> </w:t>
      </w:r>
      <w:r w:rsidRPr="00DC3374">
        <w:rPr>
          <w:rFonts w:hint="eastAsia"/>
          <w:b/>
          <w:bCs/>
          <w:rtl/>
        </w:rPr>
        <w:t>כלל</w:t>
      </w:r>
      <w:r w:rsidRPr="00DC3374">
        <w:rPr>
          <w:b/>
          <w:bCs/>
          <w:rtl/>
        </w:rPr>
        <w:t xml:space="preserve"> </w:t>
      </w:r>
      <w:r w:rsidRPr="00DC3374">
        <w:rPr>
          <w:rFonts w:hint="eastAsia"/>
          <w:b/>
          <w:bCs/>
          <w:rtl/>
        </w:rPr>
        <w:t>המידע</w:t>
      </w:r>
      <w:r w:rsidRPr="00DC3374">
        <w:rPr>
          <w:b/>
          <w:bCs/>
          <w:rtl/>
        </w:rPr>
        <w:t xml:space="preserve"> </w:t>
      </w:r>
      <w:r w:rsidRPr="00DC3374">
        <w:rPr>
          <w:rFonts w:hint="eastAsia"/>
          <w:b/>
          <w:bCs/>
          <w:rtl/>
        </w:rPr>
        <w:t>מטעם</w:t>
      </w:r>
      <w:r w:rsidRPr="00DC3374">
        <w:rPr>
          <w:b/>
          <w:bCs/>
          <w:rtl/>
        </w:rPr>
        <w:t xml:space="preserve"> </w:t>
      </w:r>
      <w:r w:rsidRPr="00DC3374">
        <w:rPr>
          <w:rFonts w:hint="eastAsia"/>
          <w:b/>
          <w:bCs/>
          <w:rtl/>
        </w:rPr>
        <w:t>הממשלה</w:t>
      </w:r>
      <w:r w:rsidRPr="00DC3374">
        <w:rPr>
          <w:b/>
          <w:bCs/>
          <w:rtl/>
        </w:rPr>
        <w:t xml:space="preserve"> </w:t>
      </w:r>
      <w:r w:rsidRPr="00DC3374">
        <w:rPr>
          <w:rFonts w:hint="eastAsia"/>
          <w:b/>
          <w:bCs/>
          <w:rtl/>
        </w:rPr>
        <w:t>הנחוץ</w:t>
      </w:r>
      <w:r w:rsidRPr="00DC3374">
        <w:rPr>
          <w:b/>
          <w:bCs/>
          <w:rtl/>
        </w:rPr>
        <w:t xml:space="preserve"> </w:t>
      </w:r>
      <w:r w:rsidRPr="00DC3374">
        <w:rPr>
          <w:rFonts w:hint="eastAsia"/>
          <w:b/>
          <w:bCs/>
          <w:rtl/>
        </w:rPr>
        <w:t>לציבור</w:t>
      </w:r>
      <w:r w:rsidRPr="00DC3374">
        <w:rPr>
          <w:b/>
          <w:bCs/>
          <w:rtl/>
        </w:rPr>
        <w:t xml:space="preserve"> </w:t>
      </w:r>
      <w:r w:rsidRPr="00DC3374">
        <w:rPr>
          <w:rFonts w:hint="eastAsia"/>
          <w:b/>
          <w:bCs/>
          <w:rtl/>
        </w:rPr>
        <w:t>בעת</w:t>
      </w:r>
      <w:r w:rsidRPr="00DC3374">
        <w:rPr>
          <w:b/>
          <w:bCs/>
          <w:rtl/>
        </w:rPr>
        <w:t xml:space="preserve"> </w:t>
      </w:r>
      <w:r w:rsidRPr="00DC3374">
        <w:rPr>
          <w:rFonts w:hint="eastAsia"/>
          <w:b/>
          <w:bCs/>
          <w:rtl/>
        </w:rPr>
        <w:t>משבר</w:t>
      </w:r>
      <w:r w:rsidRPr="00DC3374">
        <w:rPr>
          <w:b/>
          <w:bCs/>
          <w:rtl/>
        </w:rPr>
        <w:t xml:space="preserve"> </w:t>
      </w:r>
      <w:r w:rsidRPr="00DC3374">
        <w:rPr>
          <w:rFonts w:hint="eastAsia"/>
          <w:b/>
          <w:bCs/>
          <w:rtl/>
        </w:rPr>
        <w:t>אזרחי</w:t>
      </w:r>
      <w:r w:rsidRPr="00DC3374">
        <w:rPr>
          <w:b/>
          <w:bCs/>
          <w:rtl/>
        </w:rPr>
        <w:t xml:space="preserve">. </w:t>
      </w:r>
      <w:r w:rsidRPr="00DC3374">
        <w:rPr>
          <w:rFonts w:hint="eastAsia"/>
          <w:b/>
          <w:bCs/>
          <w:rtl/>
        </w:rPr>
        <w:t>זאת</w:t>
      </w:r>
      <w:r w:rsidRPr="00DC3374">
        <w:rPr>
          <w:b/>
          <w:bCs/>
          <w:rtl/>
        </w:rPr>
        <w:t xml:space="preserve">, </w:t>
      </w:r>
      <w:r w:rsidRPr="00DC3374">
        <w:rPr>
          <w:rFonts w:hint="eastAsia"/>
          <w:b/>
          <w:bCs/>
          <w:rtl/>
        </w:rPr>
        <w:t>בהתאם</w:t>
      </w:r>
      <w:r w:rsidRPr="00DC3374">
        <w:rPr>
          <w:b/>
          <w:bCs/>
          <w:rtl/>
        </w:rPr>
        <w:t xml:space="preserve"> </w:t>
      </w:r>
      <w:r w:rsidRPr="00DC3374">
        <w:rPr>
          <w:rFonts w:hint="eastAsia"/>
          <w:b/>
          <w:bCs/>
          <w:rtl/>
        </w:rPr>
        <w:t>להחלטת</w:t>
      </w:r>
      <w:r w:rsidRPr="00DC3374">
        <w:rPr>
          <w:b/>
          <w:bCs/>
          <w:rtl/>
        </w:rPr>
        <w:t xml:space="preserve"> </w:t>
      </w:r>
      <w:r w:rsidRPr="00DC3374">
        <w:rPr>
          <w:rFonts w:hint="eastAsia"/>
          <w:b/>
          <w:bCs/>
          <w:rtl/>
        </w:rPr>
        <w:t>הממשלה</w:t>
      </w:r>
      <w:r w:rsidRPr="00DC3374">
        <w:rPr>
          <w:b/>
          <w:bCs/>
          <w:rtl/>
        </w:rPr>
        <w:t xml:space="preserve"> </w:t>
      </w:r>
      <w:r w:rsidRPr="00DC3374">
        <w:rPr>
          <w:rFonts w:hint="eastAsia"/>
          <w:b/>
          <w:bCs/>
          <w:rtl/>
        </w:rPr>
        <w:t>מ</w:t>
      </w:r>
      <w:r w:rsidRPr="00DC3374">
        <w:rPr>
          <w:b/>
          <w:bCs/>
          <w:rtl/>
        </w:rPr>
        <w:t xml:space="preserve">שנת 2014 </w:t>
      </w:r>
      <w:r w:rsidRPr="00DC3374">
        <w:rPr>
          <w:rFonts w:hint="eastAsia"/>
          <w:b/>
          <w:bCs/>
          <w:rtl/>
        </w:rPr>
        <w:t>ותכליותיה</w:t>
      </w:r>
      <w:r w:rsidRPr="00DC3374">
        <w:rPr>
          <w:b/>
          <w:bCs/>
          <w:rtl/>
        </w:rPr>
        <w:t xml:space="preserve"> - </w:t>
      </w:r>
      <w:r w:rsidRPr="00DC3374">
        <w:rPr>
          <w:rFonts w:hint="eastAsia"/>
          <w:b/>
          <w:bCs/>
          <w:rtl/>
        </w:rPr>
        <w:t>הנגשת</w:t>
      </w:r>
      <w:r w:rsidRPr="00DC3374">
        <w:rPr>
          <w:b/>
          <w:bCs/>
          <w:rtl/>
        </w:rPr>
        <w:t xml:space="preserve"> המידע הממשלתי לציבור מתוך תפיסה שמעמידה את צורכי המשתמש במרכז ובהנחה שהאזרח מעוניין לקבל שירות מהממשלה, ללא קשר למשרד או לגוף האחראים למתן השירות. </w:t>
      </w:r>
      <w:r w:rsidRPr="00DC3374">
        <w:rPr>
          <w:rFonts w:hint="cs"/>
          <w:b/>
          <w:bCs/>
          <w:rtl/>
        </w:rPr>
        <w:t xml:space="preserve">אתר אחוד יתרום </w:t>
      </w:r>
      <w:r w:rsidRPr="00DC3374">
        <w:rPr>
          <w:rFonts w:hint="cs"/>
          <w:bCs/>
          <w:sz w:val="24"/>
          <w:rtl/>
        </w:rPr>
        <w:t xml:space="preserve">לשימוש יעיל במשאבי הממשלה למסירת מידע לציבור באינטרנט ויבטיח מסירת מידע מהימן המתבסס על </w:t>
      </w:r>
      <w:r w:rsidRPr="00DC3374">
        <w:rPr>
          <w:rFonts w:hint="eastAsia"/>
          <w:bCs/>
          <w:sz w:val="24"/>
          <w:rtl/>
        </w:rPr>
        <w:t>מקורות</w:t>
      </w:r>
      <w:r w:rsidRPr="00DC3374">
        <w:rPr>
          <w:bCs/>
          <w:sz w:val="24"/>
          <w:rtl/>
        </w:rPr>
        <w:t xml:space="preserve"> </w:t>
      </w:r>
      <w:r w:rsidRPr="00DC3374">
        <w:rPr>
          <w:rFonts w:hint="eastAsia"/>
          <w:bCs/>
          <w:sz w:val="24"/>
          <w:rtl/>
        </w:rPr>
        <w:t>מידע</w:t>
      </w:r>
      <w:r w:rsidRPr="00DC3374">
        <w:rPr>
          <w:bCs/>
          <w:sz w:val="24"/>
          <w:rtl/>
        </w:rPr>
        <w:t xml:space="preserve"> </w:t>
      </w:r>
      <w:r w:rsidRPr="00DC3374">
        <w:rPr>
          <w:rFonts w:hint="eastAsia"/>
          <w:bCs/>
          <w:sz w:val="24"/>
          <w:rtl/>
        </w:rPr>
        <w:t>של</w:t>
      </w:r>
      <w:r w:rsidRPr="00DC3374">
        <w:rPr>
          <w:bCs/>
          <w:sz w:val="24"/>
          <w:rtl/>
        </w:rPr>
        <w:t xml:space="preserve"> </w:t>
      </w:r>
      <w:r w:rsidRPr="00DC3374">
        <w:rPr>
          <w:rFonts w:hint="eastAsia"/>
          <w:bCs/>
          <w:sz w:val="24"/>
          <w:rtl/>
        </w:rPr>
        <w:t>גופים</w:t>
      </w:r>
      <w:r w:rsidRPr="00DC3374">
        <w:rPr>
          <w:bCs/>
          <w:sz w:val="24"/>
          <w:rtl/>
        </w:rPr>
        <w:t xml:space="preserve"> </w:t>
      </w:r>
      <w:r w:rsidRPr="00DC3374">
        <w:rPr>
          <w:rFonts w:hint="eastAsia"/>
          <w:bCs/>
          <w:sz w:val="24"/>
          <w:rtl/>
        </w:rPr>
        <w:t>ממשלתיים</w:t>
      </w:r>
      <w:r w:rsidRPr="00DC3374">
        <w:rPr>
          <w:rFonts w:hint="cs"/>
          <w:b/>
          <w:bCs/>
          <w:rtl/>
        </w:rPr>
        <w:t xml:space="preserve">. מומלץ כי </w:t>
      </w:r>
      <w:r w:rsidRPr="00DC3374">
        <w:rPr>
          <w:b/>
          <w:bCs/>
          <w:rtl/>
        </w:rPr>
        <w:t xml:space="preserve">מטה ההסברה הלאומי </w:t>
      </w:r>
      <w:r w:rsidRPr="00DC3374">
        <w:rPr>
          <w:rFonts w:hint="cs"/>
          <w:b/>
          <w:bCs/>
          <w:rtl/>
        </w:rPr>
        <w:t>י</w:t>
      </w:r>
      <w:r w:rsidRPr="00DC3374">
        <w:rPr>
          <w:b/>
          <w:bCs/>
          <w:rtl/>
        </w:rPr>
        <w:t xml:space="preserve">וודא </w:t>
      </w:r>
      <w:r w:rsidRPr="00DC3374">
        <w:rPr>
          <w:rFonts w:hint="cs"/>
          <w:b/>
          <w:bCs/>
          <w:rtl/>
        </w:rPr>
        <w:t>שהאתרים יאוחדו כאמור</w:t>
      </w:r>
      <w:r w:rsidRPr="00DC3374">
        <w:rPr>
          <w:b/>
          <w:bCs/>
          <w:rtl/>
        </w:rPr>
        <w:t xml:space="preserve">, בהתאם </w:t>
      </w:r>
      <w:r w:rsidRPr="00DC3374">
        <w:rPr>
          <w:rFonts w:hint="eastAsia"/>
          <w:b/>
          <w:bCs/>
          <w:rtl/>
        </w:rPr>
        <w:t>לסמכויות</w:t>
      </w:r>
      <w:r w:rsidRPr="00DC3374">
        <w:rPr>
          <w:rFonts w:hint="cs"/>
          <w:b/>
          <w:bCs/>
          <w:rtl/>
        </w:rPr>
        <w:t xml:space="preserve"> המטה</w:t>
      </w:r>
      <w:r w:rsidRPr="00DC3374">
        <w:rPr>
          <w:b/>
          <w:bCs/>
          <w:rtl/>
        </w:rPr>
        <w:t xml:space="preserve"> </w:t>
      </w:r>
      <w:r w:rsidRPr="00DC3374">
        <w:rPr>
          <w:rFonts w:hint="eastAsia"/>
          <w:b/>
          <w:bCs/>
          <w:rtl/>
        </w:rPr>
        <w:t>על</w:t>
      </w:r>
      <w:r w:rsidRPr="00DC3374">
        <w:rPr>
          <w:b/>
          <w:bCs/>
          <w:rtl/>
        </w:rPr>
        <w:t xml:space="preserve"> </w:t>
      </w:r>
      <w:r w:rsidRPr="00DC3374">
        <w:rPr>
          <w:rFonts w:hint="eastAsia"/>
          <w:b/>
          <w:bCs/>
          <w:rtl/>
        </w:rPr>
        <w:t>פי</w:t>
      </w:r>
      <w:r w:rsidRPr="00DC3374">
        <w:rPr>
          <w:b/>
          <w:bCs/>
          <w:rtl/>
        </w:rPr>
        <w:t xml:space="preserve"> </w:t>
      </w:r>
      <w:r w:rsidRPr="00DC3374">
        <w:rPr>
          <w:rFonts w:hint="eastAsia"/>
          <w:b/>
          <w:bCs/>
          <w:rtl/>
        </w:rPr>
        <w:t>החלטות</w:t>
      </w:r>
      <w:r w:rsidRPr="00DC3374">
        <w:rPr>
          <w:b/>
          <w:bCs/>
          <w:rtl/>
        </w:rPr>
        <w:t xml:space="preserve"> </w:t>
      </w:r>
      <w:r w:rsidRPr="00DC3374">
        <w:rPr>
          <w:rFonts w:hint="eastAsia"/>
          <w:b/>
          <w:bCs/>
          <w:rtl/>
        </w:rPr>
        <w:t>הממשלה</w:t>
      </w:r>
      <w:r w:rsidRPr="00DC3374">
        <w:rPr>
          <w:b/>
          <w:bCs/>
          <w:rtl/>
        </w:rPr>
        <w:t>.</w:t>
      </w:r>
    </w:p>
    <w:p w:rsidR="00E92F67" w:rsidRPr="00DC3374" w:rsidP="00E81188" w14:paraId="4D1B25C1" w14:textId="73C28A1F">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E92F67" w:rsidRPr="00DC3374" w:rsidP="00E81188" w14:paraId="258437C7" w14:textId="77777777">
      <w:pPr>
        <w:spacing w:line="269" w:lineRule="auto"/>
        <w:rPr>
          <w:rtl/>
        </w:rPr>
      </w:pPr>
      <w:r w:rsidRPr="00DC3374">
        <w:rPr>
          <w:rtl/>
        </w:rPr>
        <w:t>משרד ר</w:t>
      </w:r>
      <w:r w:rsidRPr="00DC3374">
        <w:rPr>
          <w:rFonts w:hint="cs"/>
          <w:rtl/>
        </w:rPr>
        <w:t>ה"ם</w:t>
      </w:r>
      <w:r w:rsidRPr="00DC3374">
        <w:rPr>
          <w:rtl/>
        </w:rPr>
        <w:t xml:space="preserve"> מסר </w:t>
      </w:r>
      <w:r w:rsidRPr="00DC3374">
        <w:rPr>
          <w:rFonts w:hint="cs"/>
          <w:rtl/>
        </w:rPr>
        <w:t xml:space="preserve">כי </w:t>
      </w:r>
      <w:r w:rsidRPr="00DC3374">
        <w:rPr>
          <w:rtl/>
        </w:rPr>
        <w:t>תיבחן האפשרות לאחד בין שני האתרים.</w:t>
      </w:r>
    </w:p>
    <w:p w:rsidR="00E92F67" w:rsidRPr="00DC3374" w:rsidP="00E81188" w14:paraId="5C5C9EE3" w14:textId="77777777">
      <w:pPr>
        <w:spacing w:line="269" w:lineRule="auto"/>
        <w:rPr>
          <w:rtl/>
        </w:rPr>
      </w:pPr>
    </w:p>
    <w:p w:rsidR="00E92F67" w:rsidRPr="00DC3374" w:rsidP="00E81188" w14:paraId="6848633F" w14:textId="77777777">
      <w:pPr>
        <w:pStyle w:val="Heading3"/>
        <w:spacing w:before="0" w:line="269" w:lineRule="auto"/>
        <w:rPr>
          <w:rtl/>
        </w:rPr>
      </w:pPr>
      <w:r w:rsidRPr="00DC3374">
        <w:rPr>
          <w:rFonts w:hint="cs"/>
          <w:rtl/>
        </w:rPr>
        <w:t>מקורות המידע שהועמדו לרשות הציבור</w:t>
      </w:r>
    </w:p>
    <w:p w:rsidR="00E92F67" w:rsidRPr="00DC3374" w:rsidP="00E81188" w14:paraId="3C146099" w14:textId="6834627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4CA98F5" w14:textId="77777777">
      <w:pPr>
        <w:spacing w:line="269" w:lineRule="auto"/>
        <w:rPr>
          <w:rtl/>
        </w:rPr>
      </w:pPr>
      <w:r w:rsidRPr="00DC3374">
        <w:rPr>
          <w:rFonts w:hint="cs"/>
          <w:rtl/>
        </w:rPr>
        <w:t xml:space="preserve">בעת שגרה, וכל שכן בעת משבר אזרחי בריאותי, יש חשיבות למתן מענה איכותי, מהיר ויעיל לשאלות של אזרחים או לתושבים בנוגע לשגרת חייהם וכן בנוגע למצבם הבריאותי וכן להנגשה יעילה לציבור של ההנחיות מטעם הממשלה. כך למשל, לעצם קיומו של מוקד טלפוני לפניות </w:t>
      </w:r>
      <w:r w:rsidRPr="00DC3374">
        <w:rPr>
          <w:rFonts w:hint="cs"/>
          <w:rtl/>
        </w:rPr>
        <w:t xml:space="preserve">הציבור יש השפעה מרגיעה על הציבור, שיודע כי במקרה הצורך יש לו כתובת שאליה ניתן להפנות שאלות ולקבל ממנה מענה. </w:t>
      </w:r>
    </w:p>
    <w:p w:rsidR="00E92F67" w:rsidRPr="00DC3374" w:rsidP="00E81188" w14:paraId="1B5AE4DE" w14:textId="21D723F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90AE7DA" w14:textId="77777777">
      <w:pPr>
        <w:spacing w:line="269" w:lineRule="auto"/>
        <w:rPr>
          <w:rtl/>
        </w:rPr>
      </w:pPr>
      <w:r w:rsidRPr="00DC3374">
        <w:rPr>
          <w:rFonts w:hint="cs"/>
          <w:rtl/>
        </w:rPr>
        <w:t>לאורך תקופת משבר הקורונה פעלו כאמור מוקדים טלפוניים של גופים ממשלתיים, של רשויות מקומיות, של קופות חולים ושל גופים ציבוריים נוספים. משרד מבקר המדינה בחן את השירות שניתן בשלושה מוקדים טלפונים עיקריים: מוקד משרד הבריאות, מוקד פקע"ר ומוקד המשטרה.</w:t>
      </w:r>
    </w:p>
    <w:p w:rsidR="00E92F67" w:rsidRPr="00DC3374" w:rsidP="00E81188" w14:paraId="026D4973" w14:textId="649977A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5A77D8C" w14:textId="77777777">
      <w:pPr>
        <w:spacing w:line="269" w:lineRule="auto"/>
        <w:rPr>
          <w:rFonts w:asciiTheme="minorHAnsi" w:hAnsiTheme="minorHAnsi"/>
          <w:sz w:val="22"/>
        </w:rPr>
      </w:pPr>
      <w:r w:rsidRPr="00F26F18">
        <w:rPr>
          <w:rStyle w:val="7"/>
          <w:rFonts w:hint="eastAsia"/>
          <w:rtl/>
        </w:rPr>
        <w:t>מוקד</w:t>
      </w:r>
      <w:r w:rsidRPr="00F26F18">
        <w:rPr>
          <w:rStyle w:val="7"/>
          <w:rtl/>
        </w:rPr>
        <w:t xml:space="preserve"> משרד הבריאות:</w:t>
      </w:r>
      <w:r w:rsidRPr="00DC3374">
        <w:rPr>
          <w:rFonts w:asciiTheme="minorHAnsi" w:hAnsiTheme="minorHAnsi"/>
          <w:b/>
          <w:bCs/>
          <w:sz w:val="22"/>
          <w:rtl/>
        </w:rPr>
        <w:t xml:space="preserve"> </w:t>
      </w:r>
      <w:r w:rsidRPr="00DC3374">
        <w:rPr>
          <w:rFonts w:asciiTheme="minorHAnsi" w:hAnsiTheme="minorHAnsi" w:hint="eastAsia"/>
          <w:sz w:val="22"/>
          <w:rtl/>
        </w:rPr>
        <w:t>משרד</w:t>
      </w:r>
      <w:r w:rsidRPr="00DC3374">
        <w:rPr>
          <w:rFonts w:asciiTheme="minorHAnsi" w:hAnsiTheme="minorHAnsi"/>
          <w:sz w:val="22"/>
          <w:rtl/>
        </w:rPr>
        <w:t xml:space="preserve"> </w:t>
      </w:r>
      <w:r w:rsidRPr="00DC3374">
        <w:rPr>
          <w:rFonts w:asciiTheme="minorHAnsi" w:hAnsiTheme="minorHAnsi" w:hint="eastAsia"/>
          <w:sz w:val="22"/>
          <w:rtl/>
        </w:rPr>
        <w:t>הבריאות</w:t>
      </w:r>
      <w:r w:rsidRPr="00DC3374">
        <w:rPr>
          <w:rFonts w:asciiTheme="minorHAnsi" w:hAnsiTheme="minorHAnsi"/>
          <w:sz w:val="22"/>
          <w:rtl/>
        </w:rPr>
        <w:t xml:space="preserve"> </w:t>
      </w:r>
      <w:r w:rsidRPr="00DC3374">
        <w:rPr>
          <w:rFonts w:asciiTheme="minorHAnsi" w:hAnsiTheme="minorHAnsi" w:hint="eastAsia"/>
          <w:sz w:val="22"/>
          <w:rtl/>
        </w:rPr>
        <w:t>מפעיל</w:t>
      </w:r>
      <w:r w:rsidRPr="00DC3374">
        <w:rPr>
          <w:rFonts w:asciiTheme="minorHAnsi" w:hAnsiTheme="minorHAnsi"/>
          <w:sz w:val="22"/>
          <w:rtl/>
        </w:rPr>
        <w:t xml:space="preserve"> </w:t>
      </w:r>
      <w:r w:rsidRPr="00DC3374">
        <w:rPr>
          <w:rFonts w:asciiTheme="minorHAnsi" w:hAnsiTheme="minorHAnsi" w:hint="eastAsia"/>
          <w:sz w:val="22"/>
          <w:rtl/>
        </w:rPr>
        <w:t>בשגרה</w:t>
      </w:r>
      <w:r w:rsidRPr="00DC3374">
        <w:rPr>
          <w:rFonts w:asciiTheme="minorHAnsi" w:hAnsiTheme="minorHAnsi"/>
          <w:sz w:val="22"/>
          <w:rtl/>
        </w:rPr>
        <w:t xml:space="preserve"> </w:t>
      </w:r>
      <w:r w:rsidRPr="00DC3374">
        <w:rPr>
          <w:rFonts w:asciiTheme="minorHAnsi" w:hAnsiTheme="minorHAnsi" w:hint="eastAsia"/>
          <w:sz w:val="22"/>
          <w:rtl/>
        </w:rPr>
        <w:t>מוקד</w:t>
      </w:r>
      <w:r w:rsidRPr="00DC3374">
        <w:rPr>
          <w:rFonts w:asciiTheme="minorHAnsi" w:hAnsiTheme="minorHAnsi"/>
          <w:sz w:val="22"/>
          <w:rtl/>
        </w:rPr>
        <w:t xml:space="preserve"> </w:t>
      </w:r>
      <w:r w:rsidRPr="00DC3374">
        <w:rPr>
          <w:rFonts w:asciiTheme="minorHAnsi" w:hAnsiTheme="minorHAnsi" w:hint="eastAsia"/>
          <w:sz w:val="22"/>
          <w:rtl/>
        </w:rPr>
        <w:t>טלפוני</w:t>
      </w:r>
      <w:r w:rsidRPr="00DC3374">
        <w:rPr>
          <w:rFonts w:asciiTheme="minorHAnsi" w:hAnsiTheme="minorHAnsi"/>
          <w:b/>
          <w:bCs/>
          <w:sz w:val="22"/>
          <w:rtl/>
        </w:rPr>
        <w:t xml:space="preserve"> </w:t>
      </w:r>
      <w:r w:rsidRPr="00DC3374">
        <w:rPr>
          <w:rFonts w:asciiTheme="minorHAnsi" w:hAnsiTheme="minorHAnsi"/>
          <w:sz w:val="22"/>
          <w:rtl/>
        </w:rPr>
        <w:t xml:space="preserve">- "קול הבריאות" (5400*) שמספק מידע בנושאים שונים, כגון בנושאי אשפוז, רישוי מקצועות הרפואה והסיעוד וגמילה מעישון. </w:t>
      </w:r>
      <w:r w:rsidRPr="00DC3374">
        <w:rPr>
          <w:rFonts w:asciiTheme="minorHAnsi" w:hAnsiTheme="minorHAnsi" w:hint="eastAsia"/>
          <w:sz w:val="22"/>
          <w:rtl/>
        </w:rPr>
        <w:t>בסוף</w:t>
      </w:r>
      <w:r w:rsidRPr="00DC3374">
        <w:rPr>
          <w:rFonts w:asciiTheme="minorHAnsi" w:hAnsiTheme="minorHAnsi"/>
          <w:sz w:val="22"/>
          <w:rtl/>
        </w:rPr>
        <w:t xml:space="preserve"> </w:t>
      </w:r>
      <w:r w:rsidRPr="00DC3374">
        <w:rPr>
          <w:rFonts w:asciiTheme="minorHAnsi" w:hAnsiTheme="minorHAnsi" w:hint="eastAsia"/>
          <w:sz w:val="22"/>
          <w:rtl/>
        </w:rPr>
        <w:t>ינואר</w:t>
      </w:r>
      <w:r w:rsidRPr="00DC3374">
        <w:rPr>
          <w:rFonts w:asciiTheme="minorHAnsi" w:hAnsiTheme="minorHAnsi"/>
          <w:sz w:val="22"/>
          <w:rtl/>
        </w:rPr>
        <w:t xml:space="preserve"> 2020 החל המוקד לספק מידע בנושא נגיף הקורונה, כמו למשל מידע רפואי הנוגע לנגיף; הכללים לכניסה לבידוד </w:t>
      </w:r>
      <w:r w:rsidRPr="00DC3374">
        <w:rPr>
          <w:rFonts w:asciiTheme="minorHAnsi" w:hAnsiTheme="minorHAnsi" w:hint="eastAsia"/>
          <w:sz w:val="22"/>
          <w:rtl/>
        </w:rPr>
        <w:t>הנחיות</w:t>
      </w:r>
      <w:r w:rsidRPr="00DC3374">
        <w:rPr>
          <w:rFonts w:asciiTheme="minorHAnsi" w:hAnsiTheme="minorHAnsi"/>
          <w:sz w:val="22"/>
          <w:rtl/>
        </w:rPr>
        <w:t xml:space="preserve"> שעוסקות בשגרת החיים כגון התקהלות, שמירת מרחק ו</w:t>
      </w:r>
      <w:r w:rsidRPr="00DC3374">
        <w:rPr>
          <w:rFonts w:asciiTheme="minorHAnsi" w:hAnsiTheme="minorHAnsi" w:hint="cs"/>
          <w:sz w:val="22"/>
          <w:rtl/>
        </w:rPr>
        <w:t>ה</w:t>
      </w:r>
      <w:r w:rsidRPr="00DC3374">
        <w:rPr>
          <w:rFonts w:asciiTheme="minorHAnsi" w:hAnsiTheme="minorHAnsi"/>
          <w:sz w:val="22"/>
          <w:rtl/>
        </w:rPr>
        <w:t xml:space="preserve">גבלות על עריכת אירועים. </w:t>
      </w:r>
      <w:r w:rsidRPr="00DC3374">
        <w:rPr>
          <w:rFonts w:asciiTheme="minorHAnsi" w:hAnsiTheme="minorHAnsi" w:hint="cs"/>
          <w:sz w:val="22"/>
          <w:rtl/>
        </w:rPr>
        <w:t xml:space="preserve">כמו כן המוקד סיפק פתרונות מותאמים אישית, לדוגמה: </w:t>
      </w:r>
      <w:r w:rsidRPr="00DC3374">
        <w:rPr>
          <w:rFonts w:asciiTheme="minorHAnsi" w:hAnsiTheme="minorHAnsi"/>
          <w:sz w:val="22"/>
          <w:rtl/>
        </w:rPr>
        <w:t>השגות על ההוראה להיכנס לבידוד</w:t>
      </w:r>
      <w:r w:rsidRPr="00DC3374">
        <w:rPr>
          <w:rFonts w:asciiTheme="minorHAnsi" w:hAnsiTheme="minorHAnsi" w:hint="cs"/>
          <w:sz w:val="22"/>
          <w:rtl/>
        </w:rPr>
        <w:t xml:space="preserve"> (לרבות שחרור מבידוד בעקבות איכון טלפוני שגוי). תקציב המוקד בשנת 2020 היה 90.8 מיליון ש"ח, בהשוואה ל-18 מיליון ש"ח בשנת 2019 - דהיינו גידול של יותר מ-400%.</w:t>
      </w:r>
    </w:p>
    <w:p w:rsidR="00E92F67" w:rsidRPr="00DC3374" w:rsidP="00E81188" w14:paraId="75882340" w14:textId="0B45729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2BD325C" w14:textId="036AC3C1">
      <w:pPr>
        <w:spacing w:line="269" w:lineRule="auto"/>
        <w:rPr>
          <w:rFonts w:asciiTheme="minorHAnsi" w:hAnsiTheme="minorHAnsi"/>
          <w:sz w:val="22"/>
          <w:rtl/>
        </w:rPr>
      </w:pPr>
      <w:r w:rsidRPr="00F26F18">
        <w:rPr>
          <w:rStyle w:val="7"/>
          <w:rFonts w:hint="eastAsia"/>
          <w:rtl/>
        </w:rPr>
        <w:t>מוקד</w:t>
      </w:r>
      <w:r w:rsidRPr="00F26F18">
        <w:rPr>
          <w:rStyle w:val="7"/>
          <w:rtl/>
        </w:rPr>
        <w:t xml:space="preserve"> </w:t>
      </w:r>
      <w:r w:rsidRPr="00F26F18">
        <w:rPr>
          <w:rStyle w:val="7"/>
          <w:rFonts w:hint="eastAsia"/>
          <w:rtl/>
        </w:rPr>
        <w:t>פקע</w:t>
      </w:r>
      <w:r w:rsidRPr="00F26F18">
        <w:rPr>
          <w:rStyle w:val="7"/>
          <w:rtl/>
        </w:rPr>
        <w:t>"ר:</w:t>
      </w:r>
      <w:r w:rsidRPr="00DC3374">
        <w:rPr>
          <w:rFonts w:asciiTheme="minorHAnsi" w:hAnsiTheme="minorHAnsi"/>
          <w:sz w:val="22"/>
          <w:rtl/>
        </w:rPr>
        <w:t xml:space="preserve"> </w:t>
      </w:r>
      <w:r w:rsidRPr="00DC3374">
        <w:rPr>
          <w:rFonts w:asciiTheme="minorHAnsi" w:hAnsiTheme="minorHAnsi" w:hint="eastAsia"/>
          <w:sz w:val="22"/>
          <w:rtl/>
        </w:rPr>
        <w:t>פקע</w:t>
      </w:r>
      <w:r w:rsidRPr="00DC3374">
        <w:rPr>
          <w:rFonts w:asciiTheme="minorHAnsi" w:hAnsiTheme="minorHAnsi"/>
          <w:sz w:val="22"/>
          <w:rtl/>
        </w:rPr>
        <w:t>"ר מפעיל בשגרה מוקד טלפוני</w:t>
      </w:r>
      <w:r w:rsidRPr="00DC3374">
        <w:rPr>
          <w:rFonts w:asciiTheme="minorHAnsi" w:hAnsiTheme="minorHAnsi"/>
          <w:b/>
          <w:bCs/>
          <w:sz w:val="22"/>
          <w:rtl/>
        </w:rPr>
        <w:t xml:space="preserve"> </w:t>
      </w:r>
      <w:r w:rsidRPr="00DC3374">
        <w:rPr>
          <w:rFonts w:asciiTheme="minorHAnsi" w:hAnsiTheme="minorHAnsi"/>
          <w:sz w:val="22"/>
          <w:rtl/>
        </w:rPr>
        <w:t xml:space="preserve">(104) שמספק מידע בנושאי חירום. במרץ 2020 החל </w:t>
      </w:r>
      <w:r w:rsidRPr="00DC3374">
        <w:rPr>
          <w:rFonts w:asciiTheme="minorHAnsi" w:hAnsiTheme="minorHAnsi" w:hint="eastAsia"/>
          <w:sz w:val="22"/>
          <w:rtl/>
        </w:rPr>
        <w:t>פקע</w:t>
      </w:r>
      <w:r w:rsidRPr="00DC3374">
        <w:rPr>
          <w:rFonts w:asciiTheme="minorHAnsi" w:hAnsiTheme="minorHAnsi"/>
          <w:sz w:val="22"/>
          <w:rtl/>
        </w:rPr>
        <w:t xml:space="preserve">"ר לספק מידע גם בנושא הקורונה. המוקד פעל בשיתוף </w:t>
      </w:r>
      <w:r w:rsidRPr="00DC3374">
        <w:rPr>
          <w:rFonts w:asciiTheme="minorHAnsi" w:hAnsiTheme="minorHAnsi" w:hint="eastAsia"/>
          <w:sz w:val="22"/>
          <w:rtl/>
        </w:rPr>
        <w:t>חלק</w:t>
      </w:r>
      <w:r w:rsidRPr="00DC3374">
        <w:rPr>
          <w:rFonts w:asciiTheme="minorHAnsi" w:hAnsiTheme="minorHAnsi"/>
          <w:sz w:val="22"/>
          <w:rtl/>
        </w:rPr>
        <w:t xml:space="preserve"> </w:t>
      </w:r>
      <w:r w:rsidRPr="00DC3374">
        <w:rPr>
          <w:rFonts w:asciiTheme="minorHAnsi" w:hAnsiTheme="minorHAnsi" w:hint="eastAsia"/>
          <w:sz w:val="22"/>
          <w:rtl/>
        </w:rPr>
        <w:t>ממשרדי</w:t>
      </w:r>
      <w:r w:rsidRPr="00DC3374">
        <w:rPr>
          <w:rFonts w:asciiTheme="minorHAnsi" w:hAnsiTheme="minorHAnsi"/>
          <w:sz w:val="22"/>
          <w:rtl/>
        </w:rPr>
        <w:t xml:space="preserve"> הממשלה שעקב תחומי אחריותם נדרשו לתת </w:t>
      </w:r>
      <w:r w:rsidRPr="00DC3374">
        <w:rPr>
          <w:rFonts w:hint="cs"/>
          <w:rtl/>
        </w:rPr>
        <w:t xml:space="preserve">מענה לציבור במהלך </w:t>
      </w:r>
      <w:r w:rsidRPr="00DC3374">
        <w:rPr>
          <w:rFonts w:asciiTheme="minorHAnsi" w:hAnsiTheme="minorHAnsi" w:hint="eastAsia"/>
          <w:sz w:val="22"/>
          <w:rtl/>
        </w:rPr>
        <w:t>המשבר</w:t>
      </w:r>
      <w:r w:rsidRPr="00DC3374">
        <w:rPr>
          <w:rFonts w:asciiTheme="minorHAnsi" w:hAnsiTheme="minorHAnsi"/>
          <w:sz w:val="22"/>
          <w:rtl/>
        </w:rPr>
        <w:t xml:space="preserve">, </w:t>
      </w:r>
      <w:r w:rsidRPr="00DC3374">
        <w:rPr>
          <w:rFonts w:asciiTheme="minorHAnsi" w:hAnsiTheme="minorHAnsi" w:hint="eastAsia"/>
          <w:sz w:val="22"/>
          <w:rtl/>
        </w:rPr>
        <w:t>כגון</w:t>
      </w:r>
      <w:r w:rsidRPr="00DC3374">
        <w:rPr>
          <w:rFonts w:asciiTheme="minorHAnsi" w:hAnsiTheme="minorHAnsi"/>
          <w:sz w:val="22"/>
          <w:rtl/>
        </w:rPr>
        <w:t xml:space="preserve"> משרד </w:t>
      </w:r>
      <w:r w:rsidRPr="00DC3374">
        <w:rPr>
          <w:rFonts w:asciiTheme="minorHAnsi" w:hAnsiTheme="minorHAnsi" w:hint="eastAsia"/>
          <w:sz w:val="22"/>
          <w:rtl/>
        </w:rPr>
        <w:t>החינוך</w:t>
      </w:r>
      <w:r w:rsidRPr="00DC3374">
        <w:rPr>
          <w:rFonts w:asciiTheme="minorHAnsi" w:hAnsiTheme="minorHAnsi"/>
          <w:sz w:val="22"/>
          <w:rtl/>
        </w:rPr>
        <w:t xml:space="preserve">, משרד האוצר ומשרד </w:t>
      </w:r>
      <w:r w:rsidRPr="00DC3374">
        <w:rPr>
          <w:rFonts w:asciiTheme="minorHAnsi" w:hAnsiTheme="minorHAnsi" w:hint="eastAsia"/>
          <w:sz w:val="22"/>
          <w:rtl/>
        </w:rPr>
        <w:t>הכלכלה</w:t>
      </w:r>
      <w:r w:rsidRPr="00DC3374">
        <w:rPr>
          <w:rFonts w:asciiTheme="minorHAnsi" w:hAnsiTheme="minorHAnsi"/>
          <w:sz w:val="22"/>
          <w:rtl/>
        </w:rPr>
        <w:t xml:space="preserve"> והתעשייה, </w:t>
      </w:r>
      <w:r w:rsidRPr="00DC3374">
        <w:rPr>
          <w:rFonts w:asciiTheme="minorHAnsi" w:hAnsiTheme="minorHAnsi" w:hint="cs"/>
          <w:sz w:val="22"/>
          <w:rtl/>
        </w:rPr>
        <w:t xml:space="preserve">למעט משרד הבריאות, </w:t>
      </w:r>
      <w:r w:rsidRPr="00DC3374">
        <w:rPr>
          <w:rFonts w:asciiTheme="minorHAnsi" w:hAnsiTheme="minorHAnsi" w:hint="eastAsia"/>
          <w:sz w:val="22"/>
          <w:rtl/>
        </w:rPr>
        <w:t>וכן</w:t>
      </w:r>
      <w:r w:rsidRPr="00DC3374">
        <w:rPr>
          <w:rFonts w:asciiTheme="minorHAnsi" w:hAnsiTheme="minorHAnsi"/>
          <w:sz w:val="22"/>
          <w:rtl/>
        </w:rPr>
        <w:t xml:space="preserve"> עם </w:t>
      </w:r>
      <w:r w:rsidRPr="00DC3374">
        <w:rPr>
          <w:rFonts w:asciiTheme="minorHAnsi" w:hAnsiTheme="minorHAnsi" w:hint="cs"/>
          <w:sz w:val="22"/>
          <w:rtl/>
        </w:rPr>
        <w:t>ה</w:t>
      </w:r>
      <w:r w:rsidRPr="00DC3374">
        <w:rPr>
          <w:rFonts w:asciiTheme="minorHAnsi" w:hAnsiTheme="minorHAnsi" w:hint="eastAsia"/>
          <w:sz w:val="22"/>
          <w:rtl/>
        </w:rPr>
        <w:t>משטר</w:t>
      </w:r>
      <w:r w:rsidRPr="00DC3374">
        <w:rPr>
          <w:rFonts w:asciiTheme="minorHAnsi" w:hAnsiTheme="minorHAnsi" w:hint="cs"/>
          <w:sz w:val="22"/>
          <w:rtl/>
        </w:rPr>
        <w:t>ה.</w:t>
      </w:r>
      <w:r w:rsidRPr="00DC3374">
        <w:rPr>
          <w:rFonts w:asciiTheme="minorHAnsi" w:hAnsiTheme="minorHAnsi"/>
          <w:sz w:val="22"/>
          <w:rtl/>
        </w:rPr>
        <w:t xml:space="preserve"> </w:t>
      </w:r>
      <w:r w:rsidRPr="00DC3374">
        <w:rPr>
          <w:rFonts w:asciiTheme="minorHAnsi" w:hAnsiTheme="minorHAnsi" w:hint="eastAsia"/>
          <w:sz w:val="22"/>
          <w:rtl/>
        </w:rPr>
        <w:t>על</w:t>
      </w:r>
      <w:r w:rsidRPr="00DC3374">
        <w:rPr>
          <w:rFonts w:asciiTheme="minorHAnsi" w:hAnsiTheme="minorHAnsi"/>
          <w:sz w:val="22"/>
          <w:rtl/>
        </w:rPr>
        <w:t xml:space="preserve"> נציגי הגופים השונים </w:t>
      </w:r>
      <w:r w:rsidRPr="00DC3374">
        <w:rPr>
          <w:rFonts w:asciiTheme="minorHAnsi" w:hAnsiTheme="minorHAnsi" w:hint="eastAsia"/>
          <w:sz w:val="22"/>
          <w:rtl/>
        </w:rPr>
        <w:t>במוקד</w:t>
      </w:r>
      <w:r w:rsidRPr="00DC3374">
        <w:rPr>
          <w:rFonts w:asciiTheme="minorHAnsi" w:hAnsiTheme="minorHAnsi"/>
          <w:sz w:val="22"/>
          <w:rtl/>
        </w:rPr>
        <w:t xml:space="preserve"> </w:t>
      </w:r>
      <w:r w:rsidRPr="00DC3374">
        <w:rPr>
          <w:rFonts w:asciiTheme="minorHAnsi" w:hAnsiTheme="minorHAnsi" w:hint="eastAsia"/>
          <w:sz w:val="22"/>
          <w:rtl/>
        </w:rPr>
        <w:t>הוטל</w:t>
      </w:r>
      <w:r w:rsidRPr="00DC3374">
        <w:rPr>
          <w:rFonts w:asciiTheme="minorHAnsi" w:hAnsiTheme="minorHAnsi"/>
          <w:sz w:val="22"/>
          <w:rtl/>
        </w:rPr>
        <w:t xml:space="preserve"> להשיב </w:t>
      </w:r>
      <w:r w:rsidRPr="00DC3374">
        <w:rPr>
          <w:rFonts w:asciiTheme="minorHAnsi" w:hAnsiTheme="minorHAnsi" w:hint="eastAsia"/>
          <w:sz w:val="22"/>
          <w:rtl/>
        </w:rPr>
        <w:t>לשאלות</w:t>
      </w:r>
      <w:r w:rsidRPr="00DC3374">
        <w:rPr>
          <w:rFonts w:asciiTheme="minorHAnsi" w:hAnsiTheme="minorHAnsi"/>
          <w:sz w:val="22"/>
          <w:rtl/>
        </w:rPr>
        <w:t xml:space="preserve"> </w:t>
      </w:r>
      <w:r w:rsidRPr="00DC3374">
        <w:rPr>
          <w:rFonts w:asciiTheme="minorHAnsi" w:hAnsiTheme="minorHAnsi" w:hint="eastAsia"/>
          <w:sz w:val="22"/>
          <w:rtl/>
        </w:rPr>
        <w:t>הפונים</w:t>
      </w:r>
      <w:r w:rsidRPr="00DC3374">
        <w:rPr>
          <w:rFonts w:asciiTheme="minorHAnsi" w:hAnsiTheme="minorHAnsi"/>
          <w:sz w:val="22"/>
          <w:rtl/>
        </w:rPr>
        <w:t xml:space="preserve">. ככלל, השאלות נגעו </w:t>
      </w:r>
      <w:r w:rsidRPr="00DC3374">
        <w:rPr>
          <w:rFonts w:asciiTheme="minorHAnsi" w:hAnsiTheme="minorHAnsi" w:hint="eastAsia"/>
          <w:sz w:val="22"/>
          <w:rtl/>
        </w:rPr>
        <w:t>לשגרת</w:t>
      </w:r>
      <w:r w:rsidRPr="00DC3374">
        <w:rPr>
          <w:rFonts w:asciiTheme="minorHAnsi" w:hAnsiTheme="minorHAnsi"/>
          <w:sz w:val="22"/>
          <w:rtl/>
        </w:rPr>
        <w:t xml:space="preserve"> החיים החדשה, </w:t>
      </w:r>
      <w:r w:rsidRPr="00DC3374">
        <w:rPr>
          <w:rFonts w:asciiTheme="minorHAnsi" w:hAnsiTheme="minorHAnsi" w:hint="eastAsia"/>
          <w:sz w:val="22"/>
          <w:rtl/>
        </w:rPr>
        <w:t>כמו</w:t>
      </w:r>
      <w:r w:rsidRPr="00DC3374">
        <w:rPr>
          <w:rFonts w:asciiTheme="minorHAnsi" w:hAnsiTheme="minorHAnsi"/>
          <w:sz w:val="22"/>
          <w:rtl/>
        </w:rPr>
        <w:t xml:space="preserve"> </w:t>
      </w:r>
      <w:r w:rsidRPr="00DC3374">
        <w:rPr>
          <w:rFonts w:asciiTheme="minorHAnsi" w:hAnsiTheme="minorHAnsi" w:hint="eastAsia"/>
          <w:sz w:val="22"/>
          <w:rtl/>
        </w:rPr>
        <w:t>בעניין</w:t>
      </w:r>
      <w:r w:rsidRPr="00DC3374">
        <w:rPr>
          <w:rFonts w:asciiTheme="minorHAnsi" w:hAnsiTheme="minorHAnsi"/>
          <w:sz w:val="22"/>
          <w:rtl/>
        </w:rPr>
        <w:t xml:space="preserve"> </w:t>
      </w:r>
      <w:r w:rsidRPr="00DC3374">
        <w:rPr>
          <w:rFonts w:asciiTheme="minorHAnsi" w:hAnsiTheme="minorHAnsi" w:hint="eastAsia"/>
          <w:sz w:val="22"/>
          <w:rtl/>
        </w:rPr>
        <w:t>הכללים</w:t>
      </w:r>
      <w:r w:rsidRPr="00DC3374">
        <w:rPr>
          <w:rFonts w:asciiTheme="minorHAnsi" w:hAnsiTheme="minorHAnsi"/>
          <w:sz w:val="22"/>
          <w:rtl/>
        </w:rPr>
        <w:t xml:space="preserve"> </w:t>
      </w:r>
      <w:r w:rsidRPr="00DC3374">
        <w:rPr>
          <w:rFonts w:asciiTheme="minorHAnsi" w:hAnsiTheme="minorHAnsi" w:hint="eastAsia"/>
          <w:sz w:val="22"/>
          <w:rtl/>
        </w:rPr>
        <w:t>ליציאה</w:t>
      </w:r>
      <w:r w:rsidRPr="00DC3374">
        <w:rPr>
          <w:rFonts w:asciiTheme="minorHAnsi" w:hAnsiTheme="minorHAnsi"/>
          <w:sz w:val="22"/>
          <w:rtl/>
        </w:rPr>
        <w:t xml:space="preserve"> מהבית, </w:t>
      </w:r>
      <w:r w:rsidRPr="00DC3374">
        <w:rPr>
          <w:rFonts w:asciiTheme="minorHAnsi" w:hAnsiTheme="minorHAnsi" w:hint="cs"/>
          <w:sz w:val="22"/>
          <w:rtl/>
        </w:rPr>
        <w:t xml:space="preserve">הכללים </w:t>
      </w:r>
      <w:r w:rsidRPr="00DC3374">
        <w:rPr>
          <w:rFonts w:asciiTheme="minorHAnsi" w:hAnsiTheme="minorHAnsi" w:hint="eastAsia"/>
          <w:sz w:val="22"/>
          <w:rtl/>
        </w:rPr>
        <w:t>לפתיחת</w:t>
      </w:r>
      <w:r w:rsidRPr="00DC3374">
        <w:rPr>
          <w:rFonts w:asciiTheme="minorHAnsi" w:hAnsiTheme="minorHAnsi"/>
          <w:sz w:val="22"/>
          <w:rtl/>
        </w:rPr>
        <w:t xml:space="preserve"> מקומות עבודה, </w:t>
      </w:r>
      <w:r w:rsidRPr="00DC3374">
        <w:rPr>
          <w:rFonts w:asciiTheme="minorHAnsi" w:hAnsiTheme="minorHAnsi" w:hint="cs"/>
          <w:sz w:val="22"/>
          <w:rtl/>
        </w:rPr>
        <w:t xml:space="preserve">הכללים </w:t>
      </w:r>
      <w:r w:rsidRPr="00DC3374">
        <w:rPr>
          <w:rFonts w:asciiTheme="minorHAnsi" w:hAnsiTheme="minorHAnsi" w:hint="eastAsia"/>
          <w:sz w:val="22"/>
          <w:rtl/>
        </w:rPr>
        <w:t>לקיום</w:t>
      </w:r>
      <w:r w:rsidRPr="00DC3374">
        <w:rPr>
          <w:rFonts w:asciiTheme="minorHAnsi" w:hAnsiTheme="minorHAnsi"/>
          <w:sz w:val="22"/>
          <w:rtl/>
        </w:rPr>
        <w:t xml:space="preserve"> </w:t>
      </w:r>
      <w:r w:rsidRPr="00DC3374">
        <w:rPr>
          <w:rFonts w:asciiTheme="minorHAnsi" w:hAnsiTheme="minorHAnsi" w:hint="eastAsia"/>
          <w:sz w:val="22"/>
          <w:rtl/>
        </w:rPr>
        <w:t>לימודים</w:t>
      </w:r>
      <w:r w:rsidRPr="00DC3374">
        <w:rPr>
          <w:rFonts w:asciiTheme="minorHAnsi" w:hAnsiTheme="minorHAnsi"/>
          <w:sz w:val="22"/>
          <w:rtl/>
        </w:rPr>
        <w:t xml:space="preserve"> במוסדות </w:t>
      </w:r>
      <w:r w:rsidRPr="00DC3374">
        <w:rPr>
          <w:rFonts w:asciiTheme="minorHAnsi" w:hAnsiTheme="minorHAnsi" w:hint="cs"/>
          <w:sz w:val="22"/>
          <w:rtl/>
        </w:rPr>
        <w:t>ה</w:t>
      </w:r>
      <w:r w:rsidRPr="00DC3374">
        <w:rPr>
          <w:rFonts w:asciiTheme="minorHAnsi" w:hAnsiTheme="minorHAnsi"/>
          <w:sz w:val="22"/>
          <w:rtl/>
        </w:rPr>
        <w:t>חינוך ו</w:t>
      </w:r>
      <w:r w:rsidRPr="00DC3374">
        <w:rPr>
          <w:rFonts w:asciiTheme="minorHAnsi" w:hAnsiTheme="minorHAnsi" w:hint="eastAsia"/>
          <w:sz w:val="22"/>
          <w:rtl/>
        </w:rPr>
        <w:t>לשהייה</w:t>
      </w:r>
      <w:r w:rsidRPr="00DC3374">
        <w:rPr>
          <w:rFonts w:asciiTheme="minorHAnsi" w:hAnsiTheme="minorHAnsi"/>
          <w:sz w:val="22"/>
          <w:rtl/>
        </w:rPr>
        <w:t xml:space="preserve"> במלוניות. </w:t>
      </w:r>
      <w:r w:rsidRPr="00DC3374">
        <w:rPr>
          <w:rFonts w:asciiTheme="minorHAnsi" w:hAnsiTheme="minorHAnsi" w:hint="cs"/>
          <w:sz w:val="22"/>
          <w:rtl/>
        </w:rPr>
        <w:t>ה</w:t>
      </w:r>
      <w:r w:rsidRPr="00DC3374">
        <w:rPr>
          <w:rFonts w:asciiTheme="minorHAnsi" w:hAnsiTheme="minorHAnsi" w:hint="eastAsia"/>
          <w:sz w:val="22"/>
          <w:rtl/>
        </w:rPr>
        <w:t>פונים</w:t>
      </w:r>
      <w:r w:rsidRPr="00DC3374">
        <w:rPr>
          <w:rFonts w:asciiTheme="minorHAnsi" w:hAnsiTheme="minorHAnsi"/>
          <w:sz w:val="22"/>
          <w:rtl/>
        </w:rPr>
        <w:t xml:space="preserve"> למוקד ששאלו שאלות </w:t>
      </w:r>
      <w:r w:rsidRPr="00DC3374">
        <w:rPr>
          <w:rFonts w:asciiTheme="minorHAnsi" w:hAnsiTheme="minorHAnsi" w:hint="eastAsia"/>
          <w:sz w:val="22"/>
          <w:rtl/>
        </w:rPr>
        <w:t>מסוימות</w:t>
      </w:r>
      <w:r w:rsidRPr="00DC3374">
        <w:rPr>
          <w:rFonts w:asciiTheme="minorHAnsi" w:hAnsiTheme="minorHAnsi"/>
          <w:sz w:val="22"/>
          <w:rtl/>
        </w:rPr>
        <w:t xml:space="preserve"> </w:t>
      </w:r>
      <w:r w:rsidRPr="00DC3374">
        <w:rPr>
          <w:rFonts w:hint="cs"/>
          <w:rtl/>
        </w:rPr>
        <w:t>בתחום הבריאות, כמו שאלות הנוגעות ליציאה מבידוד, הופנו למשרד הבריאות,</w:t>
      </w:r>
      <w:r w:rsidRPr="00DC3374">
        <w:rPr>
          <w:rFonts w:asciiTheme="minorHAnsi" w:hAnsiTheme="minorHAnsi"/>
          <w:sz w:val="22"/>
          <w:rtl/>
        </w:rPr>
        <w:t xml:space="preserve"> תקציב המוקד בשנת 2020 </w:t>
      </w:r>
      <w:r w:rsidRPr="00DC3374">
        <w:rPr>
          <w:rFonts w:asciiTheme="minorHAnsi" w:hAnsiTheme="minorHAnsi" w:hint="cs"/>
          <w:sz w:val="22"/>
          <w:rtl/>
        </w:rPr>
        <w:t>היה</w:t>
      </w:r>
      <w:r w:rsidRPr="00DC3374">
        <w:rPr>
          <w:rFonts w:asciiTheme="minorHAnsi" w:hAnsiTheme="minorHAnsi"/>
          <w:sz w:val="22"/>
          <w:rtl/>
        </w:rPr>
        <w:t xml:space="preserve"> </w:t>
      </w:r>
      <w:r w:rsidRPr="00DC3374">
        <w:rPr>
          <w:rFonts w:asciiTheme="minorHAnsi" w:hAnsiTheme="minorHAnsi" w:hint="cs"/>
          <w:sz w:val="22"/>
          <w:rtl/>
        </w:rPr>
        <w:t xml:space="preserve">3.9 </w:t>
      </w:r>
      <w:r w:rsidRPr="00DC3374">
        <w:rPr>
          <w:rFonts w:asciiTheme="minorHAnsi" w:hAnsiTheme="minorHAnsi"/>
          <w:sz w:val="22"/>
          <w:rtl/>
        </w:rPr>
        <w:t>מיליו</w:t>
      </w:r>
      <w:r w:rsidRPr="00DC3374">
        <w:rPr>
          <w:rFonts w:asciiTheme="minorHAnsi" w:hAnsiTheme="minorHAnsi" w:hint="cs"/>
          <w:sz w:val="22"/>
          <w:rtl/>
        </w:rPr>
        <w:t>ן</w:t>
      </w:r>
      <w:r w:rsidRPr="00DC3374">
        <w:rPr>
          <w:rFonts w:asciiTheme="minorHAnsi" w:hAnsiTheme="minorHAnsi"/>
          <w:sz w:val="22"/>
          <w:rtl/>
        </w:rPr>
        <w:t xml:space="preserve"> ש"ח</w:t>
      </w:r>
      <w:r w:rsidRPr="00DC3374">
        <w:rPr>
          <w:rFonts w:asciiTheme="minorHAnsi" w:hAnsiTheme="minorHAnsi" w:hint="cs"/>
          <w:sz w:val="22"/>
          <w:rtl/>
        </w:rPr>
        <w:t xml:space="preserve"> </w:t>
      </w:r>
      <w:r w:rsidRPr="00DC3374">
        <w:rPr>
          <w:rFonts w:asciiTheme="minorHAnsi" w:hAnsiTheme="minorHAnsi"/>
          <w:sz w:val="22"/>
          <w:rtl/>
        </w:rPr>
        <w:t>בהשוואה ל-</w:t>
      </w:r>
      <w:r w:rsidRPr="00DC3374">
        <w:rPr>
          <w:rFonts w:asciiTheme="minorHAnsi" w:hAnsiTheme="minorHAnsi" w:hint="cs"/>
          <w:sz w:val="22"/>
          <w:rtl/>
        </w:rPr>
        <w:t>2.6</w:t>
      </w:r>
      <w:r w:rsidRPr="00DC3374">
        <w:rPr>
          <w:rFonts w:asciiTheme="minorHAnsi" w:hAnsiTheme="minorHAnsi"/>
          <w:sz w:val="22"/>
          <w:rtl/>
        </w:rPr>
        <w:t xml:space="preserve"> מיליון </w:t>
      </w:r>
      <w:r w:rsidRPr="00DC3374">
        <w:rPr>
          <w:rFonts w:asciiTheme="minorHAnsi" w:hAnsiTheme="minorHAnsi" w:hint="cs"/>
          <w:sz w:val="22"/>
          <w:rtl/>
        </w:rPr>
        <w:t xml:space="preserve">ש"ח </w:t>
      </w:r>
      <w:r w:rsidRPr="00DC3374">
        <w:rPr>
          <w:rFonts w:asciiTheme="minorHAnsi" w:hAnsiTheme="minorHAnsi"/>
          <w:sz w:val="22"/>
          <w:rtl/>
        </w:rPr>
        <w:t>בשנת 2019</w:t>
      </w:r>
      <w:r w:rsidRPr="00DC3374">
        <w:rPr>
          <w:rFonts w:asciiTheme="minorHAnsi" w:hAnsiTheme="minorHAnsi" w:hint="cs"/>
          <w:sz w:val="22"/>
          <w:rtl/>
        </w:rPr>
        <w:t>, דהיינו גידול של 50%.</w:t>
      </w:r>
    </w:p>
    <w:p w:rsidR="00E92F67" w:rsidRPr="00DC3374" w:rsidP="00E81188" w14:paraId="2F419A50" w14:textId="01B4C5D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2C9ACF6" w14:textId="77777777">
      <w:pPr>
        <w:spacing w:line="269" w:lineRule="auto"/>
        <w:rPr>
          <w:rtl/>
        </w:rPr>
      </w:pPr>
      <w:r w:rsidRPr="00F26F18">
        <w:rPr>
          <w:rStyle w:val="7"/>
          <w:rtl/>
        </w:rPr>
        <w:t xml:space="preserve">מוקד </w:t>
      </w:r>
      <w:r w:rsidRPr="00F26F18">
        <w:rPr>
          <w:rStyle w:val="7"/>
          <w:rFonts w:hint="eastAsia"/>
          <w:rtl/>
        </w:rPr>
        <w:t>ה</w:t>
      </w:r>
      <w:r w:rsidRPr="00F26F18">
        <w:rPr>
          <w:rStyle w:val="7"/>
          <w:rtl/>
        </w:rPr>
        <w:t xml:space="preserve">מידע </w:t>
      </w:r>
      <w:r w:rsidRPr="00F26F18">
        <w:rPr>
          <w:rStyle w:val="7"/>
          <w:rFonts w:hint="eastAsia"/>
          <w:rtl/>
        </w:rPr>
        <w:t>ה</w:t>
      </w:r>
      <w:r w:rsidRPr="00F26F18">
        <w:rPr>
          <w:rStyle w:val="7"/>
          <w:rtl/>
        </w:rPr>
        <w:t xml:space="preserve">ארצי של </w:t>
      </w:r>
      <w:r w:rsidRPr="00F26F18">
        <w:rPr>
          <w:rStyle w:val="7"/>
          <w:rFonts w:hint="eastAsia"/>
          <w:rtl/>
        </w:rPr>
        <w:t>ה</w:t>
      </w:r>
      <w:r w:rsidRPr="00F26F18">
        <w:rPr>
          <w:rStyle w:val="7"/>
          <w:rtl/>
        </w:rPr>
        <w:t>משטר</w:t>
      </w:r>
      <w:r w:rsidRPr="00F26F18">
        <w:rPr>
          <w:rStyle w:val="7"/>
          <w:rFonts w:hint="eastAsia"/>
          <w:rtl/>
        </w:rPr>
        <w:t>ה</w:t>
      </w:r>
      <w:r w:rsidRPr="00F26F18">
        <w:rPr>
          <w:rStyle w:val="7"/>
          <w:rtl/>
        </w:rPr>
        <w:t xml:space="preserve"> (מוקד 110):</w:t>
      </w:r>
      <w:r w:rsidRPr="00DC3374">
        <w:rPr>
          <w:b/>
          <w:bCs/>
          <w:rtl/>
        </w:rPr>
        <w:t xml:space="preserve"> </w:t>
      </w:r>
      <w:r w:rsidRPr="00DC3374">
        <w:rPr>
          <w:rFonts w:hint="cs"/>
          <w:rtl/>
        </w:rPr>
        <w:t xml:space="preserve">הוקם בשנת 2015 ככלי למסירת מידע לציבור (בשונה ממוקד 100 שנועד לקבל </w:t>
      </w:r>
      <w:r w:rsidRPr="00DC3374">
        <w:rPr>
          <w:rtl/>
        </w:rPr>
        <w:t xml:space="preserve">שיחות חירום </w:t>
      </w:r>
      <w:r w:rsidRPr="00DC3374">
        <w:rPr>
          <w:rFonts w:hint="cs"/>
          <w:rtl/>
        </w:rPr>
        <w:t xml:space="preserve">מן הציבור). </w:t>
      </w:r>
      <w:r w:rsidRPr="00DC3374">
        <w:rPr>
          <w:rtl/>
        </w:rPr>
        <w:t xml:space="preserve">תכלית עבודת מוקד </w:t>
      </w:r>
      <w:r w:rsidRPr="00DC3374">
        <w:rPr>
          <w:rFonts w:hint="cs"/>
          <w:rtl/>
        </w:rPr>
        <w:t xml:space="preserve">110 </w:t>
      </w:r>
      <w:r w:rsidRPr="00DC3374">
        <w:rPr>
          <w:rtl/>
        </w:rPr>
        <w:t xml:space="preserve">היא </w:t>
      </w:r>
      <w:r w:rsidRPr="00DC3374">
        <w:rPr>
          <w:rFonts w:hint="cs"/>
          <w:rtl/>
        </w:rPr>
        <w:t>ל</w:t>
      </w:r>
      <w:r w:rsidRPr="00DC3374">
        <w:rPr>
          <w:rtl/>
        </w:rPr>
        <w:t xml:space="preserve">ספק </w:t>
      </w:r>
      <w:r w:rsidRPr="00DC3374">
        <w:rPr>
          <w:rFonts w:hint="cs"/>
          <w:rtl/>
        </w:rPr>
        <w:t>לפונים</w:t>
      </w:r>
      <w:r w:rsidRPr="00DC3374">
        <w:rPr>
          <w:rtl/>
        </w:rPr>
        <w:t xml:space="preserve"> הסבר והכוונה מקצועיים בתחומים שבאחריות המשטרה ולחלופין להפנות</w:t>
      </w:r>
      <w:r w:rsidRPr="00DC3374">
        <w:rPr>
          <w:rFonts w:hint="cs"/>
          <w:rtl/>
        </w:rPr>
        <w:t>ם</w:t>
      </w:r>
      <w:r w:rsidRPr="00DC3374">
        <w:rPr>
          <w:rtl/>
        </w:rPr>
        <w:t xml:space="preserve"> ל</w:t>
      </w:r>
      <w:r w:rsidRPr="00DC3374">
        <w:rPr>
          <w:rFonts w:hint="cs"/>
          <w:rtl/>
        </w:rPr>
        <w:t>גורם המתאים ל</w:t>
      </w:r>
      <w:r w:rsidRPr="00DC3374">
        <w:rPr>
          <w:rtl/>
        </w:rPr>
        <w:t>טפל בפנייתם</w:t>
      </w:r>
      <w:r w:rsidRPr="00DC3374">
        <w:rPr>
          <w:rFonts w:hint="cs"/>
          <w:rtl/>
        </w:rPr>
        <w:t>. המוקד עוסק בעיקר ב</w:t>
      </w:r>
      <w:r w:rsidRPr="00DC3374">
        <w:rPr>
          <w:rtl/>
        </w:rPr>
        <w:t xml:space="preserve">עבירות תנועה, </w:t>
      </w:r>
      <w:r w:rsidRPr="00DC3374">
        <w:rPr>
          <w:rFonts w:hint="cs"/>
          <w:rtl/>
        </w:rPr>
        <w:t>ב</w:t>
      </w:r>
      <w:r w:rsidRPr="00DC3374">
        <w:rPr>
          <w:rtl/>
        </w:rPr>
        <w:t xml:space="preserve">רישוי עסקים, </w:t>
      </w:r>
      <w:r w:rsidRPr="00DC3374">
        <w:rPr>
          <w:rFonts w:hint="cs"/>
          <w:rtl/>
        </w:rPr>
        <w:t>ב</w:t>
      </w:r>
      <w:r w:rsidRPr="00DC3374">
        <w:rPr>
          <w:rtl/>
        </w:rPr>
        <w:t>אב</w:t>
      </w:r>
      <w:r w:rsidRPr="00DC3374">
        <w:rPr>
          <w:rFonts w:hint="cs"/>
          <w:rtl/>
        </w:rPr>
        <w:t>י</w:t>
      </w:r>
      <w:r w:rsidRPr="00DC3374">
        <w:rPr>
          <w:rtl/>
        </w:rPr>
        <w:t xml:space="preserve">דות ומציאות </w:t>
      </w:r>
      <w:r w:rsidRPr="00DC3374">
        <w:rPr>
          <w:rFonts w:hint="cs"/>
          <w:rtl/>
        </w:rPr>
        <w:t xml:space="preserve">ובמתן פרטי התקשרות עם גורמי המשטרה. בתקופת משבר הקורונה המוקד מסר מידע לציבור על הנחיות הממשלה בנושאים שונים הנוגעים למשבר. </w:t>
      </w:r>
      <w:r w:rsidRPr="00DC3374">
        <w:rPr>
          <w:rFonts w:hint="eastAsia"/>
          <w:rtl/>
        </w:rPr>
        <w:t>חלק</w:t>
      </w:r>
      <w:r w:rsidRPr="00DC3374">
        <w:rPr>
          <w:rtl/>
        </w:rPr>
        <w:t xml:space="preserve"> מהשיחות</w:t>
      </w:r>
      <w:r w:rsidRPr="00DC3374">
        <w:rPr>
          <w:rFonts w:hint="cs"/>
          <w:rtl/>
        </w:rPr>
        <w:t xml:space="preserve"> למוקד 110 בנושאי נגיף הקורונה הופנו אליו ממוקד החירום של המשטרה - מוקד 100.</w:t>
      </w:r>
    </w:p>
    <w:p w:rsidR="00E92F67" w:rsidRPr="00DC3374" w:rsidP="00E81188" w14:paraId="0DFCFED6" w14:textId="77777777">
      <w:pPr>
        <w:spacing w:line="269" w:lineRule="auto"/>
        <w:rPr>
          <w:rtl/>
        </w:rPr>
      </w:pPr>
    </w:p>
    <w:p w:rsidR="00E92F67" w:rsidRPr="00DC3374" w:rsidP="00E81188" w14:paraId="3DC90454" w14:textId="77777777">
      <w:pPr>
        <w:spacing w:line="269" w:lineRule="auto"/>
        <w:rPr>
          <w:rtl/>
        </w:rPr>
      </w:pPr>
      <w:r w:rsidRPr="00DC3374">
        <w:rPr>
          <w:rStyle w:val="4"/>
          <w:rFonts w:hint="eastAsia"/>
          <w:rtl/>
        </w:rPr>
        <w:t>מידת</w:t>
      </w:r>
      <w:r w:rsidRPr="00DC3374">
        <w:rPr>
          <w:rStyle w:val="4"/>
          <w:rtl/>
        </w:rPr>
        <w:t xml:space="preserve"> </w:t>
      </w:r>
      <w:r w:rsidRPr="00DC3374">
        <w:rPr>
          <w:rStyle w:val="4"/>
          <w:rFonts w:hint="eastAsia"/>
          <w:rtl/>
        </w:rPr>
        <w:t>ההיכרות</w:t>
      </w:r>
      <w:r w:rsidRPr="00DC3374">
        <w:rPr>
          <w:rStyle w:val="4"/>
          <w:rtl/>
        </w:rPr>
        <w:t xml:space="preserve"> </w:t>
      </w:r>
      <w:r w:rsidRPr="00DC3374">
        <w:rPr>
          <w:rStyle w:val="4"/>
          <w:rFonts w:hint="eastAsia"/>
          <w:rtl/>
        </w:rPr>
        <w:t>של</w:t>
      </w:r>
      <w:r w:rsidRPr="00DC3374">
        <w:rPr>
          <w:rStyle w:val="4"/>
          <w:rtl/>
        </w:rPr>
        <w:t xml:space="preserve"> </w:t>
      </w:r>
      <w:r w:rsidRPr="00DC3374">
        <w:rPr>
          <w:rStyle w:val="4"/>
          <w:rFonts w:hint="eastAsia"/>
          <w:rtl/>
        </w:rPr>
        <w:t>הציבור</w:t>
      </w:r>
      <w:r w:rsidRPr="00DC3374">
        <w:rPr>
          <w:rStyle w:val="4"/>
          <w:rtl/>
        </w:rPr>
        <w:t xml:space="preserve"> </w:t>
      </w:r>
      <w:r w:rsidRPr="00DC3374">
        <w:rPr>
          <w:rStyle w:val="4"/>
          <w:rFonts w:hint="eastAsia"/>
          <w:rtl/>
        </w:rPr>
        <w:t>עם</w:t>
      </w:r>
      <w:r w:rsidRPr="00DC3374">
        <w:rPr>
          <w:rStyle w:val="4"/>
          <w:rtl/>
        </w:rPr>
        <w:t xml:space="preserve"> </w:t>
      </w:r>
      <w:r w:rsidRPr="00DC3374">
        <w:rPr>
          <w:rStyle w:val="4"/>
          <w:rFonts w:hint="cs"/>
          <w:rtl/>
        </w:rPr>
        <w:t>מוקדי המידע</w:t>
      </w:r>
    </w:p>
    <w:p w:rsidR="00E92F67" w:rsidRPr="00DC3374" w:rsidP="00E81188" w14:paraId="63B7D7EA" w14:textId="4E5B6345">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EE31E33" w14:textId="77777777">
      <w:pPr>
        <w:spacing w:line="269" w:lineRule="auto"/>
        <w:rPr>
          <w:rtl/>
        </w:rPr>
      </w:pPr>
      <w:r w:rsidRPr="00DC3374">
        <w:rPr>
          <w:rFonts w:hint="cs"/>
          <w:rtl/>
        </w:rPr>
        <w:t xml:space="preserve">עד אוקטובר 2020 </w:t>
      </w:r>
      <w:r w:rsidRPr="00DC3374">
        <w:rPr>
          <w:rtl/>
        </w:rPr>
        <w:t>הציבור הוזמן לקבל מידע במוקדים שהפעילו משרד הבריאות ופקע"ר בכל נושא - זה הנוגע לבריאות וזה הנוגע לשגרת החיים, כגון איסור התקהלות וחובת עטי</w:t>
      </w:r>
      <w:r w:rsidRPr="00DC3374">
        <w:rPr>
          <w:rFonts w:hint="cs"/>
          <w:rtl/>
        </w:rPr>
        <w:t>י</w:t>
      </w:r>
      <w:r w:rsidRPr="00DC3374">
        <w:rPr>
          <w:rtl/>
        </w:rPr>
        <w:t>ת מסכה.</w:t>
      </w:r>
      <w:r w:rsidRPr="00DC3374">
        <w:rPr>
          <w:rFonts w:hint="cs"/>
          <w:rtl/>
        </w:rPr>
        <w:t xml:space="preserve"> באוקטובר 2020 הוחלט כאמור על חלוקת האחריות בנוגע להסברת משבר הקורונה: </w:t>
      </w:r>
      <w:r w:rsidRPr="00DC3374">
        <w:rPr>
          <w:rFonts w:asciiTheme="minorHAnsi" w:hAnsiTheme="minorHAnsi" w:hint="cs"/>
          <w:sz w:val="22"/>
          <w:rtl/>
        </w:rPr>
        <w:t xml:space="preserve">נקבע כי </w:t>
      </w:r>
      <w:r w:rsidRPr="00DC3374">
        <w:rPr>
          <w:rFonts w:asciiTheme="minorHAnsi" w:hAnsiTheme="minorHAnsi" w:hint="eastAsia"/>
          <w:sz w:val="22"/>
          <w:rtl/>
        </w:rPr>
        <w:t>מערך</w:t>
      </w:r>
      <w:r w:rsidRPr="00DC3374">
        <w:rPr>
          <w:rFonts w:asciiTheme="minorHAnsi" w:hAnsiTheme="minorHAnsi"/>
          <w:sz w:val="22"/>
          <w:rtl/>
        </w:rPr>
        <w:t xml:space="preserve"> </w:t>
      </w:r>
      <w:r w:rsidRPr="00DC3374">
        <w:rPr>
          <w:rFonts w:asciiTheme="minorHAnsi" w:hAnsiTheme="minorHAnsi" w:hint="eastAsia"/>
          <w:sz w:val="22"/>
          <w:rtl/>
        </w:rPr>
        <w:t>ההסברה</w:t>
      </w:r>
      <w:r w:rsidRPr="00DC3374">
        <w:rPr>
          <w:rFonts w:asciiTheme="minorHAnsi" w:hAnsiTheme="minorHAnsi"/>
          <w:sz w:val="22"/>
          <w:rtl/>
        </w:rPr>
        <w:t xml:space="preserve"> </w:t>
      </w:r>
      <w:r w:rsidRPr="00DC3374">
        <w:rPr>
          <w:rFonts w:asciiTheme="minorHAnsi" w:hAnsiTheme="minorHAnsi" w:hint="eastAsia"/>
          <w:sz w:val="22"/>
          <w:rtl/>
        </w:rPr>
        <w:t>של</w:t>
      </w:r>
      <w:r w:rsidRPr="00DC3374">
        <w:rPr>
          <w:rFonts w:asciiTheme="minorHAnsi" w:hAnsiTheme="minorHAnsi"/>
          <w:sz w:val="22"/>
          <w:rtl/>
        </w:rPr>
        <w:t xml:space="preserve"> </w:t>
      </w:r>
      <w:r w:rsidRPr="00DC3374">
        <w:rPr>
          <w:rFonts w:asciiTheme="minorHAnsi" w:hAnsiTheme="minorHAnsi" w:hint="eastAsia"/>
          <w:sz w:val="22"/>
          <w:rtl/>
        </w:rPr>
        <w:t>משרד</w:t>
      </w:r>
      <w:r w:rsidRPr="00DC3374">
        <w:rPr>
          <w:rFonts w:asciiTheme="minorHAnsi" w:hAnsiTheme="minorHAnsi"/>
          <w:sz w:val="22"/>
          <w:rtl/>
        </w:rPr>
        <w:t xml:space="preserve"> </w:t>
      </w:r>
      <w:r w:rsidRPr="00DC3374">
        <w:rPr>
          <w:rFonts w:asciiTheme="minorHAnsi" w:hAnsiTheme="minorHAnsi" w:hint="eastAsia"/>
          <w:sz w:val="22"/>
          <w:rtl/>
        </w:rPr>
        <w:t>הבריאות</w:t>
      </w:r>
      <w:r w:rsidRPr="00DC3374">
        <w:rPr>
          <w:rFonts w:asciiTheme="minorHAnsi" w:hAnsiTheme="minorHAnsi"/>
          <w:sz w:val="22"/>
          <w:rtl/>
        </w:rPr>
        <w:t xml:space="preserve"> </w:t>
      </w:r>
      <w:r w:rsidRPr="00DC3374">
        <w:rPr>
          <w:rFonts w:asciiTheme="minorHAnsi" w:hAnsiTheme="minorHAnsi" w:hint="eastAsia"/>
          <w:sz w:val="22"/>
          <w:rtl/>
        </w:rPr>
        <w:t>אחראי</w:t>
      </w:r>
      <w:r w:rsidRPr="00DC3374">
        <w:rPr>
          <w:rFonts w:asciiTheme="minorHAnsi" w:hAnsiTheme="minorHAnsi"/>
          <w:sz w:val="22"/>
          <w:rtl/>
        </w:rPr>
        <w:t xml:space="preserve"> </w:t>
      </w:r>
      <w:r w:rsidRPr="00DC3374">
        <w:rPr>
          <w:rFonts w:asciiTheme="minorHAnsi" w:hAnsiTheme="minorHAnsi" w:hint="eastAsia"/>
          <w:sz w:val="22"/>
          <w:rtl/>
        </w:rPr>
        <w:t>להסביר</w:t>
      </w:r>
      <w:r w:rsidRPr="00DC3374">
        <w:rPr>
          <w:rFonts w:asciiTheme="minorHAnsi" w:hAnsiTheme="minorHAnsi"/>
          <w:sz w:val="22"/>
          <w:rtl/>
        </w:rPr>
        <w:t xml:space="preserve"> </w:t>
      </w:r>
      <w:r w:rsidRPr="00DC3374">
        <w:rPr>
          <w:rFonts w:asciiTheme="minorHAnsi" w:hAnsiTheme="minorHAnsi" w:hint="eastAsia"/>
          <w:sz w:val="22"/>
          <w:rtl/>
        </w:rPr>
        <w:t>ולהנחות</w:t>
      </w:r>
      <w:r w:rsidRPr="00DC3374">
        <w:rPr>
          <w:rFonts w:asciiTheme="minorHAnsi" w:hAnsiTheme="minorHAnsi"/>
          <w:sz w:val="22"/>
          <w:rtl/>
        </w:rPr>
        <w:t xml:space="preserve"> </w:t>
      </w:r>
      <w:r w:rsidRPr="00DC3374">
        <w:rPr>
          <w:rFonts w:asciiTheme="minorHAnsi" w:hAnsiTheme="minorHAnsi" w:hint="eastAsia"/>
          <w:sz w:val="22"/>
          <w:rtl/>
        </w:rPr>
        <w:t>את</w:t>
      </w:r>
      <w:r w:rsidRPr="00DC3374">
        <w:rPr>
          <w:rFonts w:asciiTheme="minorHAnsi" w:hAnsiTheme="minorHAnsi"/>
          <w:sz w:val="22"/>
          <w:rtl/>
        </w:rPr>
        <w:t xml:space="preserve"> </w:t>
      </w:r>
      <w:r w:rsidRPr="00DC3374">
        <w:rPr>
          <w:rFonts w:asciiTheme="minorHAnsi" w:hAnsiTheme="minorHAnsi" w:hint="eastAsia"/>
          <w:sz w:val="22"/>
          <w:rtl/>
        </w:rPr>
        <w:t>הציבור</w:t>
      </w:r>
      <w:r w:rsidRPr="00DC3374">
        <w:rPr>
          <w:rFonts w:asciiTheme="minorHAnsi" w:hAnsiTheme="minorHAnsi"/>
          <w:sz w:val="22"/>
          <w:rtl/>
        </w:rPr>
        <w:t xml:space="preserve"> </w:t>
      </w:r>
      <w:r w:rsidRPr="00DC3374">
        <w:rPr>
          <w:rFonts w:asciiTheme="minorHAnsi" w:hAnsiTheme="minorHAnsi" w:hint="eastAsia"/>
          <w:sz w:val="22"/>
          <w:rtl/>
        </w:rPr>
        <w:t>בתחומי</w:t>
      </w:r>
      <w:r w:rsidRPr="00DC3374">
        <w:rPr>
          <w:rFonts w:asciiTheme="minorHAnsi" w:hAnsiTheme="minorHAnsi"/>
          <w:sz w:val="22"/>
          <w:rtl/>
        </w:rPr>
        <w:t xml:space="preserve"> </w:t>
      </w:r>
      <w:r w:rsidRPr="00DC3374">
        <w:rPr>
          <w:rFonts w:asciiTheme="minorHAnsi" w:hAnsiTheme="minorHAnsi" w:hint="eastAsia"/>
          <w:sz w:val="22"/>
          <w:rtl/>
        </w:rPr>
        <w:t>הבריאות</w:t>
      </w:r>
      <w:r w:rsidRPr="00DC3374">
        <w:rPr>
          <w:rFonts w:asciiTheme="minorHAnsi" w:hAnsiTheme="minorHAnsi"/>
          <w:sz w:val="22"/>
          <w:rtl/>
        </w:rPr>
        <w:t xml:space="preserve"> </w:t>
      </w:r>
      <w:r w:rsidRPr="00DC3374">
        <w:rPr>
          <w:rFonts w:asciiTheme="minorHAnsi" w:hAnsiTheme="minorHAnsi" w:hint="eastAsia"/>
          <w:sz w:val="22"/>
          <w:rtl/>
        </w:rPr>
        <w:t>ולהפעיל</w:t>
      </w:r>
      <w:r w:rsidRPr="00DC3374">
        <w:rPr>
          <w:rFonts w:asciiTheme="minorHAnsi" w:hAnsiTheme="minorHAnsi"/>
          <w:sz w:val="22"/>
          <w:rtl/>
        </w:rPr>
        <w:t xml:space="preserve"> </w:t>
      </w:r>
      <w:r w:rsidRPr="00DC3374">
        <w:rPr>
          <w:rFonts w:asciiTheme="minorHAnsi" w:hAnsiTheme="minorHAnsi" w:hint="eastAsia"/>
          <w:sz w:val="22"/>
          <w:rtl/>
        </w:rPr>
        <w:t>מוקד</w:t>
      </w:r>
      <w:r w:rsidRPr="00DC3374">
        <w:rPr>
          <w:rFonts w:asciiTheme="minorHAnsi" w:hAnsiTheme="minorHAnsi"/>
          <w:sz w:val="22"/>
          <w:rtl/>
        </w:rPr>
        <w:t xml:space="preserve"> </w:t>
      </w:r>
      <w:r w:rsidRPr="00DC3374">
        <w:rPr>
          <w:rFonts w:asciiTheme="minorHAnsi" w:hAnsiTheme="minorHAnsi" w:hint="eastAsia"/>
          <w:sz w:val="22"/>
          <w:rtl/>
        </w:rPr>
        <w:t>מענה</w:t>
      </w:r>
      <w:r w:rsidRPr="00DC3374">
        <w:rPr>
          <w:rFonts w:asciiTheme="minorHAnsi" w:hAnsiTheme="minorHAnsi"/>
          <w:sz w:val="22"/>
          <w:rtl/>
        </w:rPr>
        <w:t xml:space="preserve"> </w:t>
      </w:r>
      <w:r w:rsidRPr="00DC3374">
        <w:rPr>
          <w:rFonts w:asciiTheme="minorHAnsi" w:hAnsiTheme="minorHAnsi" w:hint="eastAsia"/>
          <w:sz w:val="22"/>
          <w:rtl/>
        </w:rPr>
        <w:t>לפניות</w:t>
      </w:r>
      <w:r w:rsidRPr="00DC3374">
        <w:rPr>
          <w:rFonts w:asciiTheme="minorHAnsi" w:hAnsiTheme="minorHAnsi"/>
          <w:sz w:val="22"/>
          <w:rtl/>
        </w:rPr>
        <w:t xml:space="preserve"> </w:t>
      </w:r>
      <w:r w:rsidRPr="00DC3374">
        <w:rPr>
          <w:rFonts w:asciiTheme="minorHAnsi" w:hAnsiTheme="minorHAnsi" w:hint="eastAsia"/>
          <w:sz w:val="22"/>
          <w:rtl/>
        </w:rPr>
        <w:t>הציבור</w:t>
      </w:r>
      <w:r w:rsidRPr="00DC3374">
        <w:rPr>
          <w:rFonts w:asciiTheme="minorHAnsi" w:hAnsiTheme="minorHAnsi"/>
          <w:sz w:val="22"/>
          <w:rtl/>
        </w:rPr>
        <w:t xml:space="preserve"> </w:t>
      </w:r>
      <w:r w:rsidRPr="00DC3374">
        <w:rPr>
          <w:rFonts w:asciiTheme="minorHAnsi" w:hAnsiTheme="minorHAnsi" w:hint="eastAsia"/>
          <w:sz w:val="22"/>
          <w:rtl/>
        </w:rPr>
        <w:t>בשאלות</w:t>
      </w:r>
      <w:r w:rsidRPr="00DC3374">
        <w:rPr>
          <w:rFonts w:asciiTheme="minorHAnsi" w:hAnsiTheme="minorHAnsi"/>
          <w:sz w:val="22"/>
          <w:rtl/>
        </w:rPr>
        <w:t xml:space="preserve"> </w:t>
      </w:r>
      <w:r w:rsidRPr="00DC3374">
        <w:rPr>
          <w:rFonts w:asciiTheme="minorHAnsi" w:hAnsiTheme="minorHAnsi" w:hint="eastAsia"/>
          <w:sz w:val="22"/>
          <w:rtl/>
        </w:rPr>
        <w:t>הנוגעות</w:t>
      </w:r>
      <w:r w:rsidRPr="00DC3374">
        <w:rPr>
          <w:rFonts w:asciiTheme="minorHAnsi" w:hAnsiTheme="minorHAnsi"/>
          <w:sz w:val="22"/>
          <w:rtl/>
        </w:rPr>
        <w:t xml:space="preserve"> </w:t>
      </w:r>
      <w:r w:rsidRPr="00DC3374">
        <w:rPr>
          <w:rFonts w:asciiTheme="minorHAnsi" w:hAnsiTheme="minorHAnsi" w:hint="eastAsia"/>
          <w:sz w:val="22"/>
          <w:rtl/>
        </w:rPr>
        <w:t>לתחום</w:t>
      </w:r>
      <w:r w:rsidRPr="00DC3374">
        <w:rPr>
          <w:rFonts w:asciiTheme="minorHAnsi" w:hAnsiTheme="minorHAnsi"/>
          <w:sz w:val="22"/>
          <w:rtl/>
        </w:rPr>
        <w:t xml:space="preserve"> </w:t>
      </w:r>
      <w:r w:rsidRPr="00DC3374">
        <w:rPr>
          <w:rFonts w:asciiTheme="minorHAnsi" w:hAnsiTheme="minorHAnsi" w:hint="cs"/>
          <w:sz w:val="22"/>
          <w:rtl/>
        </w:rPr>
        <w:t>ה</w:t>
      </w:r>
      <w:r w:rsidRPr="00DC3374">
        <w:rPr>
          <w:rFonts w:asciiTheme="minorHAnsi" w:hAnsiTheme="minorHAnsi" w:hint="eastAsia"/>
          <w:sz w:val="22"/>
          <w:rtl/>
        </w:rPr>
        <w:t>בריאות</w:t>
      </w:r>
      <w:r w:rsidRPr="00DC3374">
        <w:rPr>
          <w:rFonts w:asciiTheme="minorHAnsi" w:hAnsiTheme="minorHAnsi"/>
          <w:sz w:val="22"/>
          <w:rtl/>
        </w:rPr>
        <w:t xml:space="preserve">, </w:t>
      </w:r>
      <w:r w:rsidRPr="00DC3374">
        <w:rPr>
          <w:rFonts w:asciiTheme="minorHAnsi" w:hAnsiTheme="minorHAnsi" w:hint="eastAsia"/>
          <w:sz w:val="22"/>
          <w:rtl/>
        </w:rPr>
        <w:t>ופקע</w:t>
      </w:r>
      <w:r w:rsidRPr="00DC3374">
        <w:rPr>
          <w:rFonts w:asciiTheme="minorHAnsi" w:hAnsiTheme="minorHAnsi"/>
          <w:sz w:val="22"/>
          <w:rtl/>
        </w:rPr>
        <w:t xml:space="preserve">"ר </w:t>
      </w:r>
      <w:r w:rsidRPr="00DC3374">
        <w:rPr>
          <w:rFonts w:asciiTheme="minorHAnsi" w:hAnsiTheme="minorHAnsi" w:hint="eastAsia"/>
          <w:sz w:val="22"/>
          <w:rtl/>
        </w:rPr>
        <w:t>אחראי</w:t>
      </w:r>
      <w:r w:rsidRPr="00DC3374">
        <w:rPr>
          <w:rFonts w:asciiTheme="minorHAnsi" w:hAnsiTheme="minorHAnsi"/>
          <w:sz w:val="22"/>
          <w:rtl/>
        </w:rPr>
        <w:t xml:space="preserve"> </w:t>
      </w:r>
      <w:r w:rsidRPr="00DC3374">
        <w:rPr>
          <w:rFonts w:asciiTheme="minorHAnsi" w:hAnsiTheme="minorHAnsi" w:hint="eastAsia"/>
          <w:sz w:val="22"/>
          <w:rtl/>
        </w:rPr>
        <w:t>להפעיל</w:t>
      </w:r>
      <w:r w:rsidRPr="00DC3374">
        <w:rPr>
          <w:rFonts w:asciiTheme="minorHAnsi" w:hAnsiTheme="minorHAnsi"/>
          <w:sz w:val="22"/>
          <w:rtl/>
        </w:rPr>
        <w:t xml:space="preserve"> </w:t>
      </w:r>
      <w:r w:rsidRPr="00DC3374">
        <w:rPr>
          <w:rFonts w:asciiTheme="minorHAnsi" w:hAnsiTheme="minorHAnsi" w:hint="eastAsia"/>
          <w:sz w:val="22"/>
          <w:rtl/>
        </w:rPr>
        <w:t>אתר</w:t>
      </w:r>
      <w:r w:rsidRPr="00DC3374">
        <w:rPr>
          <w:rFonts w:asciiTheme="minorHAnsi" w:hAnsiTheme="minorHAnsi"/>
          <w:sz w:val="22"/>
          <w:rtl/>
        </w:rPr>
        <w:t xml:space="preserve"> </w:t>
      </w:r>
      <w:r w:rsidRPr="00DC3374">
        <w:rPr>
          <w:rFonts w:asciiTheme="minorHAnsi" w:hAnsiTheme="minorHAnsi" w:hint="eastAsia"/>
          <w:sz w:val="22"/>
          <w:rtl/>
        </w:rPr>
        <w:t>ומוקד</w:t>
      </w:r>
      <w:r w:rsidRPr="00DC3374">
        <w:rPr>
          <w:rFonts w:asciiTheme="minorHAnsi" w:hAnsiTheme="minorHAnsi"/>
          <w:sz w:val="22"/>
          <w:rtl/>
        </w:rPr>
        <w:t xml:space="preserve"> </w:t>
      </w:r>
      <w:r w:rsidRPr="00DC3374">
        <w:rPr>
          <w:rFonts w:asciiTheme="minorHAnsi" w:hAnsiTheme="minorHAnsi" w:hint="eastAsia"/>
          <w:sz w:val="22"/>
          <w:rtl/>
        </w:rPr>
        <w:t>מענה</w:t>
      </w:r>
      <w:r w:rsidRPr="00DC3374">
        <w:rPr>
          <w:rFonts w:asciiTheme="minorHAnsi" w:hAnsiTheme="minorHAnsi"/>
          <w:sz w:val="22"/>
          <w:rtl/>
        </w:rPr>
        <w:t xml:space="preserve"> </w:t>
      </w:r>
      <w:r w:rsidRPr="00DC3374">
        <w:rPr>
          <w:rFonts w:asciiTheme="minorHAnsi" w:hAnsiTheme="minorHAnsi" w:hint="eastAsia"/>
          <w:sz w:val="22"/>
          <w:rtl/>
        </w:rPr>
        <w:t>טלפוני</w:t>
      </w:r>
      <w:r w:rsidRPr="00DC3374">
        <w:rPr>
          <w:rFonts w:asciiTheme="minorHAnsi" w:hAnsiTheme="minorHAnsi"/>
          <w:sz w:val="22"/>
          <w:rtl/>
        </w:rPr>
        <w:t xml:space="preserve"> </w:t>
      </w:r>
      <w:r w:rsidRPr="00DC3374">
        <w:rPr>
          <w:rFonts w:asciiTheme="minorHAnsi" w:hAnsiTheme="minorHAnsi" w:hint="eastAsia"/>
          <w:sz w:val="22"/>
          <w:rtl/>
        </w:rPr>
        <w:t>לפניות</w:t>
      </w:r>
      <w:r w:rsidRPr="00DC3374">
        <w:rPr>
          <w:rFonts w:asciiTheme="minorHAnsi" w:hAnsiTheme="minorHAnsi"/>
          <w:sz w:val="22"/>
          <w:rtl/>
        </w:rPr>
        <w:t xml:space="preserve"> </w:t>
      </w:r>
      <w:r w:rsidRPr="00DC3374">
        <w:rPr>
          <w:rFonts w:asciiTheme="minorHAnsi" w:hAnsiTheme="minorHAnsi" w:hint="eastAsia"/>
          <w:sz w:val="22"/>
          <w:rtl/>
        </w:rPr>
        <w:t>הציבור</w:t>
      </w:r>
      <w:r w:rsidRPr="00DC3374">
        <w:rPr>
          <w:rFonts w:asciiTheme="minorHAnsi" w:hAnsiTheme="minorHAnsi"/>
          <w:sz w:val="22"/>
          <w:rtl/>
        </w:rPr>
        <w:t xml:space="preserve"> </w:t>
      </w:r>
      <w:r w:rsidRPr="00DC3374">
        <w:rPr>
          <w:rFonts w:asciiTheme="minorHAnsi" w:hAnsiTheme="minorHAnsi" w:hint="eastAsia"/>
          <w:sz w:val="22"/>
          <w:rtl/>
        </w:rPr>
        <w:t>על</w:t>
      </w:r>
      <w:r w:rsidRPr="00DC3374">
        <w:rPr>
          <w:rFonts w:asciiTheme="minorHAnsi" w:hAnsiTheme="minorHAnsi"/>
          <w:sz w:val="22"/>
          <w:rtl/>
        </w:rPr>
        <w:t xml:space="preserve"> </w:t>
      </w:r>
      <w:r w:rsidRPr="00DC3374">
        <w:rPr>
          <w:rFonts w:asciiTheme="minorHAnsi" w:hAnsiTheme="minorHAnsi" w:hint="eastAsia"/>
          <w:sz w:val="22"/>
          <w:rtl/>
        </w:rPr>
        <w:t>אופן</w:t>
      </w:r>
      <w:r w:rsidRPr="00DC3374">
        <w:rPr>
          <w:rFonts w:asciiTheme="minorHAnsi" w:hAnsiTheme="minorHAnsi"/>
          <w:sz w:val="22"/>
          <w:rtl/>
        </w:rPr>
        <w:t xml:space="preserve"> </w:t>
      </w:r>
      <w:r w:rsidRPr="00DC3374">
        <w:rPr>
          <w:rFonts w:asciiTheme="minorHAnsi" w:hAnsiTheme="minorHAnsi" w:hint="eastAsia"/>
          <w:sz w:val="22"/>
          <w:rtl/>
        </w:rPr>
        <w:t>ניהול</w:t>
      </w:r>
      <w:r w:rsidRPr="00DC3374">
        <w:rPr>
          <w:rFonts w:asciiTheme="minorHAnsi" w:hAnsiTheme="minorHAnsi"/>
          <w:sz w:val="22"/>
          <w:rtl/>
        </w:rPr>
        <w:t xml:space="preserve"> </w:t>
      </w:r>
      <w:r w:rsidRPr="00DC3374">
        <w:rPr>
          <w:rFonts w:asciiTheme="minorHAnsi" w:hAnsiTheme="minorHAnsi" w:hint="eastAsia"/>
          <w:sz w:val="22"/>
          <w:rtl/>
        </w:rPr>
        <w:t>שגרת</w:t>
      </w:r>
      <w:r w:rsidRPr="00DC3374">
        <w:rPr>
          <w:rFonts w:asciiTheme="minorHAnsi" w:hAnsiTheme="minorHAnsi"/>
          <w:sz w:val="22"/>
          <w:rtl/>
        </w:rPr>
        <w:t xml:space="preserve"> </w:t>
      </w:r>
      <w:r w:rsidRPr="00DC3374">
        <w:rPr>
          <w:rFonts w:asciiTheme="minorHAnsi" w:hAnsiTheme="minorHAnsi" w:hint="eastAsia"/>
          <w:sz w:val="22"/>
          <w:rtl/>
        </w:rPr>
        <w:t>החיים</w:t>
      </w:r>
      <w:r w:rsidRPr="00DC3374">
        <w:rPr>
          <w:rFonts w:asciiTheme="minorHAnsi" w:hAnsiTheme="minorHAnsi"/>
          <w:sz w:val="22"/>
          <w:rtl/>
        </w:rPr>
        <w:t xml:space="preserve"> </w:t>
      </w:r>
      <w:r w:rsidRPr="00DC3374">
        <w:rPr>
          <w:rFonts w:asciiTheme="minorHAnsi" w:hAnsiTheme="minorHAnsi" w:hint="eastAsia"/>
          <w:sz w:val="22"/>
          <w:rtl/>
        </w:rPr>
        <w:t>בזמן</w:t>
      </w:r>
      <w:r w:rsidRPr="00DC3374">
        <w:rPr>
          <w:rFonts w:asciiTheme="minorHAnsi" w:hAnsiTheme="minorHAnsi"/>
          <w:sz w:val="22"/>
          <w:rtl/>
        </w:rPr>
        <w:t xml:space="preserve"> </w:t>
      </w:r>
      <w:r w:rsidRPr="00DC3374">
        <w:rPr>
          <w:rFonts w:asciiTheme="minorHAnsi" w:hAnsiTheme="minorHAnsi" w:hint="cs"/>
          <w:sz w:val="22"/>
          <w:rtl/>
        </w:rPr>
        <w:t>ה</w:t>
      </w:r>
      <w:r w:rsidRPr="00DC3374">
        <w:rPr>
          <w:rFonts w:asciiTheme="minorHAnsi" w:hAnsiTheme="minorHAnsi" w:hint="eastAsia"/>
          <w:sz w:val="22"/>
          <w:rtl/>
        </w:rPr>
        <w:t>משבר</w:t>
      </w:r>
      <w:r w:rsidRPr="00DC3374">
        <w:rPr>
          <w:rFonts w:asciiTheme="minorHAnsi" w:hAnsiTheme="minorHAnsi"/>
          <w:sz w:val="22"/>
          <w:rtl/>
        </w:rPr>
        <w:t xml:space="preserve">. </w:t>
      </w:r>
    </w:p>
    <w:p w:rsidR="00E92F67" w:rsidRPr="00DC3374" w:rsidP="00E81188" w14:paraId="0A0A5D7A" w14:textId="59E630E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4AB0C7B8" w14:textId="77777777">
      <w:pPr>
        <w:pStyle w:val="ListParagraph"/>
        <w:numPr>
          <w:ilvl w:val="0"/>
          <w:numId w:val="23"/>
        </w:numPr>
        <w:spacing w:line="269" w:lineRule="auto"/>
        <w:rPr>
          <w:rtl/>
        </w:rPr>
      </w:pPr>
      <w:r w:rsidRPr="00DC3374">
        <w:rPr>
          <w:rFonts w:hint="cs"/>
          <w:rtl/>
        </w:rPr>
        <w:t>משרד מבקר המדינה בחן באיזו מידה הציבור הכיר את מוקדי המידע (המוקדים הטלפוניים ואתרי האינטרנט) של משרד הבריאות ופקע"ר והאם הוא פנה אליהם. הבדיקה נעשתה באמצעות הסקר שנערך בדצמבר 2020. בתרשים שלהלן מוצגים ממצאי הסקר בדבר היכרות הציבור עם מוקדי המידע של משרד הבריאות ושל פקע"ר, בחלוקה לשלוש קבוצות אוכלוסייה: החברה היהודית הכללית (שאינה כוללת את החברה החרדית), החברה החרדית והחברה הערבית.</w:t>
      </w:r>
    </w:p>
    <w:p w:rsidR="00E92F67" w:rsidRPr="00DC3374" w:rsidP="00E81188" w14:paraId="7AEAB2BC" w14:textId="77777777">
      <w:pPr>
        <w:spacing w:line="269" w:lineRule="auto"/>
        <w:ind w:left="720" w:hanging="720"/>
        <w:rPr>
          <w:szCs w:val="20"/>
          <w:rtl/>
        </w:rPr>
      </w:pPr>
      <w:r w:rsidRPr="00DC3374">
        <w:rPr>
          <w:rtl/>
        </w:rPr>
        <w:br w:type="page"/>
      </w:r>
    </w:p>
    <w:p w:rsidR="00E92F67" w:rsidRPr="00DC3374" w:rsidP="00E81188" w14:paraId="18D7CEC9" w14:textId="5D31073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A24AB7E" w14:textId="77777777">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37</w:t>
      </w:r>
      <w:r w:rsidRPr="00DC3374">
        <w:rPr>
          <w:b/>
          <w:bCs/>
          <w:rtl/>
        </w:rPr>
        <w:t xml:space="preserve">: היכרות הציבור עם מוקדי המידע של משרד הבריאות ופקע"ר </w:t>
      </w:r>
    </w:p>
    <w:p w:rsidR="00E92F67" w:rsidRPr="00DC3374" w:rsidP="00E81188" w14:paraId="5BD3DCA2" w14:textId="77777777">
      <w:pPr>
        <w:spacing w:line="269" w:lineRule="auto"/>
        <w:jc w:val="center"/>
        <w:rPr>
          <w:b/>
          <w:bCs/>
          <w:rtl/>
        </w:rPr>
      </w:pPr>
      <w:r w:rsidRPr="00DC3374">
        <w:rPr>
          <w:b/>
          <w:bCs/>
          <w:noProof/>
        </w:rPr>
        <w:drawing>
          <wp:inline distT="0" distB="0" distL="0" distR="0">
            <wp:extent cx="5210175" cy="5095875"/>
            <wp:effectExtent l="0" t="0" r="9525" b="9525"/>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24382" name="Picture 8"/>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0175" cy="5095875"/>
                    </a:xfrm>
                    <a:prstGeom prst="rect">
                      <a:avLst/>
                    </a:prstGeom>
                    <a:noFill/>
                    <a:ln>
                      <a:noFill/>
                    </a:ln>
                  </pic:spPr>
                </pic:pic>
              </a:graphicData>
            </a:graphic>
          </wp:inline>
        </w:drawing>
      </w:r>
    </w:p>
    <w:p w:rsidR="00E92F67" w:rsidRPr="00DC3374" w:rsidP="00F26F18" w14:paraId="69C42737" w14:textId="5055509F">
      <w:pPr>
        <w:spacing w:line="269" w:lineRule="auto"/>
        <w:ind w:left="312"/>
        <w:rPr>
          <w:szCs w:val="20"/>
          <w:rtl/>
        </w:rPr>
      </w:pPr>
      <w:r>
        <w:rPr>
          <w:rFonts w:hint="cs"/>
          <w:szCs w:val="20"/>
          <w:rtl/>
        </w:rPr>
        <w:t xml:space="preserve"> </w:t>
      </w:r>
      <w:r w:rsidRPr="00DC3374">
        <w:rPr>
          <w:rFonts w:hint="cs"/>
          <w:szCs w:val="20"/>
          <w:rtl/>
        </w:rPr>
        <w:t>על פי נתוני הסקר מדצמבר 2020, ב</w:t>
      </w:r>
      <w:r w:rsidRPr="00DC3374">
        <w:rPr>
          <w:szCs w:val="20"/>
          <w:rtl/>
        </w:rPr>
        <w:t>עיבוד משרד מבקר המדינה.</w:t>
      </w:r>
    </w:p>
    <w:p w:rsidR="00E92F67" w:rsidRPr="00DC3374" w:rsidP="00E81188" w14:paraId="25214631" w14:textId="53D5900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88E9E25" w14:textId="77777777">
      <w:pPr>
        <w:spacing w:line="269" w:lineRule="auto"/>
        <w:ind w:left="312"/>
        <w:rPr>
          <w:b/>
          <w:bCs/>
          <w:rtl/>
        </w:rPr>
      </w:pPr>
      <w:r w:rsidRPr="00DC3374">
        <w:rPr>
          <w:rFonts w:hint="cs"/>
          <w:b/>
          <w:bCs/>
          <w:rtl/>
        </w:rPr>
        <w:t>מהתרשים עולה שכ-80% מהחברה היהודית הכללית מכירים את אתר האינטרנט או את המוקד הטלפוני של משרד הבריאות או את שניהם, וכך גם כ-70% מהחברה החרדית וכמחצית מהחברה הערבית. היכרות הציבור את ה</w:t>
      </w:r>
      <w:r w:rsidRPr="00DC3374">
        <w:rPr>
          <w:b/>
          <w:bCs/>
          <w:rtl/>
        </w:rPr>
        <w:t>אתר ו</w:t>
      </w:r>
      <w:r w:rsidRPr="00DC3374">
        <w:rPr>
          <w:rFonts w:hint="cs"/>
          <w:b/>
          <w:bCs/>
          <w:rtl/>
        </w:rPr>
        <w:t>ה</w:t>
      </w:r>
      <w:r w:rsidRPr="00DC3374">
        <w:rPr>
          <w:b/>
          <w:bCs/>
          <w:rtl/>
        </w:rPr>
        <w:t xml:space="preserve">מוקד </w:t>
      </w:r>
      <w:r w:rsidRPr="00DC3374">
        <w:rPr>
          <w:rFonts w:hint="cs"/>
          <w:b/>
          <w:bCs/>
          <w:rtl/>
        </w:rPr>
        <w:t xml:space="preserve">הטלפוני </w:t>
      </w:r>
      <w:r w:rsidRPr="00DC3374">
        <w:rPr>
          <w:b/>
          <w:bCs/>
          <w:rtl/>
        </w:rPr>
        <w:t xml:space="preserve">של </w:t>
      </w:r>
      <w:r w:rsidRPr="00DC3374">
        <w:rPr>
          <w:rFonts w:hint="cs"/>
          <w:b/>
          <w:bCs/>
          <w:rtl/>
        </w:rPr>
        <w:t>פקע"ר</w:t>
      </w:r>
      <w:r w:rsidRPr="00DC3374">
        <w:rPr>
          <w:b/>
          <w:bCs/>
          <w:rtl/>
        </w:rPr>
        <w:t xml:space="preserve"> </w:t>
      </w:r>
      <w:r w:rsidRPr="00DC3374">
        <w:rPr>
          <w:rFonts w:hint="cs"/>
          <w:b/>
          <w:bCs/>
          <w:rtl/>
        </w:rPr>
        <w:t>טובה</w:t>
      </w:r>
      <w:r w:rsidRPr="00DC3374">
        <w:rPr>
          <w:b/>
          <w:bCs/>
          <w:rtl/>
        </w:rPr>
        <w:t xml:space="preserve"> </w:t>
      </w:r>
      <w:r w:rsidRPr="00DC3374">
        <w:rPr>
          <w:rFonts w:hint="cs"/>
          <w:b/>
          <w:bCs/>
          <w:rtl/>
        </w:rPr>
        <w:t xml:space="preserve">פחות: פחות מ-70% מהחברה היהודית הכללית מכירים את אחד מהם או את שניהם; כמחצית מהחברה החרדית וכ-40% מהחברה הערבית מכירים את אחד מהם לפחות. </w:t>
      </w:r>
    </w:p>
    <w:p w:rsidR="00E92F67" w:rsidRPr="00DC3374" w:rsidP="00E81188" w14:paraId="6255AAD6" w14:textId="0EC73C5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B87B2D4" w14:textId="77777777">
      <w:pPr>
        <w:pStyle w:val="ListParagraph"/>
        <w:numPr>
          <w:ilvl w:val="0"/>
          <w:numId w:val="23"/>
        </w:numPr>
        <w:spacing w:line="269" w:lineRule="auto"/>
        <w:rPr>
          <w:rtl/>
        </w:rPr>
      </w:pPr>
      <w:r w:rsidRPr="00DC3374">
        <w:rPr>
          <w:rFonts w:hint="cs"/>
          <w:rtl/>
        </w:rPr>
        <w:t xml:space="preserve">על מידת השימוש של הציבור באתר פקע"ר אפשר ללמוד מסקרים שהוא ערך בקרב האוכלוסייה בחודשים מרץ עד נובמבר 2020. בסקרים שאל פקע"ר את המשתתפים באילו מקורות מידע יחפשו מידע הנחוץ להם בנושא הקורונה. </w:t>
      </w:r>
    </w:p>
    <w:p w:rsidR="00E92F67" w:rsidRPr="00DC3374" w:rsidP="00E81188" w14:paraId="6FE435BF" w14:textId="77777777">
      <w:pPr>
        <w:spacing w:line="269" w:lineRule="auto"/>
        <w:ind w:left="720" w:hanging="720"/>
        <w:rPr>
          <w:szCs w:val="20"/>
          <w:rtl/>
        </w:rPr>
      </w:pPr>
      <w:r w:rsidRPr="00DC3374">
        <w:rPr>
          <w:rtl/>
        </w:rPr>
        <w:br w:type="page"/>
      </w:r>
    </w:p>
    <w:p w:rsidR="00E92F67" w:rsidRPr="00DC3374" w:rsidP="00E81188" w14:paraId="20EECC36" w14:textId="2D45BA9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41CF5C8" w14:textId="77777777">
      <w:pPr>
        <w:pStyle w:val="ListParagraph"/>
        <w:numPr>
          <w:ilvl w:val="1"/>
          <w:numId w:val="23"/>
        </w:numPr>
        <w:spacing w:line="269" w:lineRule="auto"/>
      </w:pPr>
      <w:r w:rsidRPr="00DC3374">
        <w:rPr>
          <w:rFonts w:hint="cs"/>
          <w:rtl/>
        </w:rPr>
        <w:t xml:space="preserve">בסקר ממרץ 2020 עלה שמקור המידע השכיח הוא ערוצי הטלוויזיה (78%), ו-38% מהמשיבים ציינו כי יחפשו את המידע במקורות המידע של משרד הבריאות. אף לא משתתף אחד בסקר זה ציין כי יחפש מידע במקורות המידע של פקע"ר. </w:t>
      </w:r>
    </w:p>
    <w:p w:rsidR="00E92F67" w:rsidRPr="00DC3374" w:rsidP="00E81188" w14:paraId="660DBC0A" w14:textId="37DEB33E">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7F3C94A" w14:textId="77777777">
      <w:pPr>
        <w:pStyle w:val="ListParagraph"/>
        <w:numPr>
          <w:ilvl w:val="1"/>
          <w:numId w:val="23"/>
        </w:numPr>
        <w:spacing w:line="269" w:lineRule="auto"/>
      </w:pPr>
      <w:r w:rsidRPr="00DC3374">
        <w:rPr>
          <w:rFonts w:hint="cs"/>
          <w:rtl/>
        </w:rPr>
        <w:t xml:space="preserve">בסקר מיולי 2020 הועלה ש-51% מהמשיבים יחפשו מידע במקורות המידע של משרד הבריאות, ו-15% במקורות של פקע"ר. </w:t>
      </w:r>
    </w:p>
    <w:p w:rsidR="00E92F67" w:rsidRPr="00DC3374" w:rsidP="00E81188" w14:paraId="1E7DE6D0" w14:textId="277562C5">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F0C859D" w14:textId="77777777">
      <w:pPr>
        <w:pStyle w:val="ListParagraph"/>
        <w:numPr>
          <w:ilvl w:val="1"/>
          <w:numId w:val="23"/>
        </w:numPr>
        <w:spacing w:line="269" w:lineRule="auto"/>
      </w:pPr>
      <w:r w:rsidRPr="00DC3374">
        <w:rPr>
          <w:rFonts w:hint="cs"/>
          <w:rtl/>
        </w:rPr>
        <w:t>בסקר מנובמבר 2020 עלה כי רוב הציבור יחפש את המידע הנחוץ לו באתרי האינטנרט (86%) ובערוצי הטלוויזיה (58%). מקרב מקורות המידע שפועלים מטעם הממשלה, המקורות שבהם ייעשה השימוש הנפוץ ביותר, על פי ממצאי הסקר הזה, הם אלה של משרד הבריאות (52%). רק 22% מהמשיבים ציינו כי יחפשו מידע במקורות המידע של פקע"ר. ממצאים אלו עולים בקנה אחד עם סקר שערך משרד מבקר המדינה בדצמבר 2020, ובו עלה כי רק כ-17% מהחברה היהודית הכללית פנו לאחד או יותר ממקורות המידע של פקע"ר (אתר האינטרנט והמוקד הטלפוני. עוד בנוגע להיכרות הציבור עם מקורות המידע מטעם הממשלה - ראו להלן).</w:t>
      </w:r>
    </w:p>
    <w:p w:rsidR="00E92F67" w:rsidRPr="00DC3374" w:rsidP="00E81188" w14:paraId="7E6EBFE2" w14:textId="69151AC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9C437DC" w14:textId="77777777">
      <w:pPr>
        <w:pStyle w:val="ListParagraph"/>
        <w:numPr>
          <w:ilvl w:val="0"/>
          <w:numId w:val="23"/>
        </w:numPr>
        <w:spacing w:line="269" w:lineRule="auto"/>
        <w:rPr>
          <w:rtl/>
        </w:rPr>
      </w:pPr>
      <w:r w:rsidRPr="00DC3374">
        <w:rPr>
          <w:rFonts w:hint="cs"/>
          <w:rtl/>
        </w:rPr>
        <w:t>הצורך של הציבור במידע בנושא הקורונה בא לידי ביטוי במספר הכניסות לאתר האיטנטרנט הממשלתי האחוד בכלל ובנוגע לדפי האתר העוסקים במשבר הקורונה בפרט: בפברואר 2020, סמוך אחרי פרוץ המגפה בארץ, היו 5.3 מיליון כניסות לאתר משרד הבריאות, וכחודש לאחר מכן - במרץ 2020 היו 10.1 מיליון כניסות, דהיינו עלייה של 91%</w:t>
      </w:r>
      <w:r>
        <w:rPr>
          <w:rStyle w:val="FootnoteReference1"/>
          <w:rtl/>
        </w:rPr>
        <w:footnoteReference w:id="54"/>
      </w:r>
      <w:r w:rsidRPr="00DC3374">
        <w:rPr>
          <w:rFonts w:hint="cs"/>
          <w:rtl/>
        </w:rPr>
        <w:t xml:space="preserve">. </w:t>
      </w:r>
    </w:p>
    <w:p w:rsidR="00E92F67" w:rsidRPr="00DC3374" w:rsidP="00E81188" w14:paraId="779FEF60" w14:textId="6771854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4DAF2AD6" w14:textId="77777777">
      <w:pPr>
        <w:pStyle w:val="ListParagraph"/>
        <w:numPr>
          <w:ilvl w:val="0"/>
          <w:numId w:val="23"/>
        </w:numPr>
        <w:spacing w:line="269" w:lineRule="auto"/>
        <w:rPr>
          <w:bCs/>
        </w:rPr>
      </w:pPr>
      <w:r w:rsidRPr="00DC3374">
        <w:rPr>
          <w:rFonts w:hint="eastAsia"/>
          <w:rtl/>
        </w:rPr>
        <w:t>משרד</w:t>
      </w:r>
      <w:r w:rsidRPr="00DC3374">
        <w:rPr>
          <w:rtl/>
        </w:rPr>
        <w:t xml:space="preserve"> מבקר המדינה ב</w:t>
      </w:r>
      <w:r w:rsidRPr="00DC3374">
        <w:rPr>
          <w:rFonts w:hint="cs"/>
          <w:rtl/>
        </w:rPr>
        <w:t>י</w:t>
      </w:r>
      <w:r w:rsidRPr="00DC3374">
        <w:rPr>
          <w:rtl/>
        </w:rPr>
        <w:t xml:space="preserve">קש </w:t>
      </w:r>
      <w:r w:rsidRPr="00DC3374">
        <w:rPr>
          <w:rFonts w:hint="cs"/>
          <w:rtl/>
        </w:rPr>
        <w:t>לבדוק את</w:t>
      </w:r>
      <w:r w:rsidRPr="00DC3374">
        <w:rPr>
          <w:rtl/>
        </w:rPr>
        <w:t xml:space="preserve"> היקף הכניסות לאתר פקע"ר </w:t>
      </w:r>
      <w:r w:rsidRPr="00DC3374">
        <w:rPr>
          <w:rFonts w:hint="cs"/>
          <w:rtl/>
        </w:rPr>
        <w:t>כדי</w:t>
      </w:r>
      <w:r w:rsidRPr="00DC3374">
        <w:rPr>
          <w:rtl/>
        </w:rPr>
        <w:t xml:space="preserve"> להשוות</w:t>
      </w:r>
      <w:r w:rsidRPr="00DC3374">
        <w:rPr>
          <w:rFonts w:hint="cs"/>
          <w:rtl/>
        </w:rPr>
        <w:t>ו</w:t>
      </w:r>
      <w:r w:rsidRPr="00DC3374">
        <w:rPr>
          <w:rtl/>
        </w:rPr>
        <w:t xml:space="preserve"> למספר הכניסות לאתר</w:t>
      </w:r>
      <w:r w:rsidRPr="00DC3374">
        <w:rPr>
          <w:rFonts w:hint="cs"/>
          <w:rtl/>
        </w:rPr>
        <w:t xml:space="preserve"> </w:t>
      </w:r>
      <w:r w:rsidRPr="00DC3374">
        <w:rPr>
          <w:rtl/>
        </w:rPr>
        <w:t xml:space="preserve">משרד הבריאות, וכן </w:t>
      </w:r>
      <w:r w:rsidRPr="00DC3374">
        <w:rPr>
          <w:rFonts w:hint="cs"/>
          <w:rtl/>
        </w:rPr>
        <w:t>כדי</w:t>
      </w:r>
      <w:r w:rsidRPr="00DC3374">
        <w:rPr>
          <w:rtl/>
        </w:rPr>
        <w:t xml:space="preserve"> לבחון את מידת נחיצותו מבחינת הציבור</w:t>
      </w:r>
      <w:r w:rsidRPr="00DC3374">
        <w:rPr>
          <w:rFonts w:hint="cs"/>
          <w:rtl/>
        </w:rPr>
        <w:t>. להלן תרשים המציג את נתוני הכניסות לאתר משרד הבריאות</w:t>
      </w:r>
      <w:r>
        <w:rPr>
          <w:rStyle w:val="FootnoteReference1"/>
          <w:rtl/>
        </w:rPr>
        <w:footnoteReference w:id="55"/>
      </w:r>
      <w:r w:rsidRPr="00DC3374">
        <w:rPr>
          <w:rFonts w:hint="cs"/>
          <w:rtl/>
        </w:rPr>
        <w:t xml:space="preserve"> ולאתר פקע"ר, בחלוקה לחודשים מרץ 2020 עד אוקטובר 2020.</w:t>
      </w:r>
    </w:p>
    <w:p w:rsidR="00E92F67" w:rsidRPr="00DC3374" w:rsidP="00E81188" w14:paraId="540B4269" w14:textId="77777777">
      <w:pPr>
        <w:spacing w:line="269" w:lineRule="auto"/>
        <w:ind w:left="720" w:hanging="720"/>
        <w:rPr>
          <w:szCs w:val="20"/>
          <w:rtl/>
        </w:rPr>
      </w:pPr>
      <w:r w:rsidRPr="00DC3374">
        <w:rPr>
          <w:rtl/>
        </w:rPr>
        <w:br w:type="page"/>
      </w:r>
    </w:p>
    <w:p w:rsidR="00E92F67" w:rsidRPr="00DC3374" w:rsidP="00E81188" w14:paraId="4EFF9AD9" w14:textId="7AC8D05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EE45578" w14:textId="77777777">
      <w:pPr>
        <w:pStyle w:val="ListParagraph"/>
        <w:spacing w:line="269" w:lineRule="auto"/>
        <w:ind w:left="340"/>
        <w:jc w:val="center"/>
        <w:rPr>
          <w:b/>
          <w:bCs/>
          <w:rtl/>
        </w:rPr>
      </w:pPr>
      <w:r w:rsidRPr="00DC3374">
        <w:rPr>
          <w:rFonts w:hint="eastAsia"/>
          <w:b/>
          <w:bCs/>
          <w:rtl/>
        </w:rPr>
        <w:t>תרשים</w:t>
      </w:r>
      <w:r w:rsidRPr="00DC3374">
        <w:rPr>
          <w:b/>
          <w:bCs/>
          <w:rtl/>
        </w:rPr>
        <w:t xml:space="preserve"> </w:t>
      </w:r>
      <w:r w:rsidRPr="00DC3374">
        <w:rPr>
          <w:rFonts w:hint="cs"/>
          <w:b/>
          <w:bCs/>
          <w:rtl/>
        </w:rPr>
        <w:t>38</w:t>
      </w:r>
      <w:r w:rsidRPr="00DC3374">
        <w:rPr>
          <w:b/>
          <w:bCs/>
          <w:rtl/>
        </w:rPr>
        <w:t xml:space="preserve">: </w:t>
      </w:r>
      <w:r w:rsidRPr="00DC3374">
        <w:rPr>
          <w:rFonts w:hint="eastAsia"/>
          <w:b/>
          <w:bCs/>
          <w:rtl/>
        </w:rPr>
        <w:t>מספר</w:t>
      </w:r>
      <w:r w:rsidRPr="00DC3374">
        <w:rPr>
          <w:b/>
          <w:bCs/>
          <w:rtl/>
        </w:rPr>
        <w:t xml:space="preserve"> </w:t>
      </w:r>
      <w:r w:rsidRPr="00DC3374">
        <w:rPr>
          <w:rFonts w:hint="eastAsia"/>
          <w:b/>
          <w:bCs/>
          <w:rtl/>
        </w:rPr>
        <w:t>הכניסות</w:t>
      </w:r>
      <w:r w:rsidRPr="00DC3374">
        <w:rPr>
          <w:b/>
          <w:bCs/>
          <w:rtl/>
        </w:rPr>
        <w:t xml:space="preserve"> </w:t>
      </w:r>
      <w:r w:rsidRPr="00DC3374">
        <w:rPr>
          <w:rFonts w:hint="eastAsia"/>
          <w:b/>
          <w:bCs/>
          <w:rtl/>
        </w:rPr>
        <w:t>לאתרי</w:t>
      </w:r>
      <w:r w:rsidRPr="00DC3374">
        <w:rPr>
          <w:b/>
          <w:bCs/>
          <w:rtl/>
        </w:rPr>
        <w:t xml:space="preserve"> </w:t>
      </w:r>
      <w:r w:rsidRPr="00DC3374">
        <w:rPr>
          <w:rFonts w:hint="eastAsia"/>
          <w:b/>
          <w:bCs/>
          <w:rtl/>
        </w:rPr>
        <w:t>משרד</w:t>
      </w:r>
      <w:r w:rsidRPr="00DC3374">
        <w:rPr>
          <w:b/>
          <w:bCs/>
          <w:rtl/>
        </w:rPr>
        <w:t xml:space="preserve"> </w:t>
      </w:r>
      <w:r w:rsidRPr="00DC3374">
        <w:rPr>
          <w:rFonts w:hint="eastAsia"/>
          <w:b/>
          <w:bCs/>
          <w:rtl/>
        </w:rPr>
        <w:t>הבריאות</w:t>
      </w:r>
      <w:r w:rsidRPr="00DC3374">
        <w:rPr>
          <w:b/>
          <w:bCs/>
          <w:rtl/>
        </w:rPr>
        <w:t xml:space="preserve"> </w:t>
      </w:r>
      <w:r w:rsidRPr="00DC3374">
        <w:rPr>
          <w:rFonts w:hint="eastAsia"/>
          <w:b/>
          <w:bCs/>
          <w:rtl/>
        </w:rPr>
        <w:t>ולאתר</w:t>
      </w:r>
      <w:r w:rsidRPr="00DC3374">
        <w:rPr>
          <w:b/>
          <w:bCs/>
          <w:rtl/>
        </w:rPr>
        <w:t xml:space="preserve"> </w:t>
      </w:r>
      <w:r w:rsidRPr="00DC3374">
        <w:rPr>
          <w:rFonts w:hint="eastAsia"/>
          <w:b/>
          <w:bCs/>
          <w:rtl/>
        </w:rPr>
        <w:t>פקע</w:t>
      </w:r>
      <w:r w:rsidRPr="00DC3374">
        <w:rPr>
          <w:b/>
          <w:bCs/>
          <w:rtl/>
        </w:rPr>
        <w:t>"ר (באלפים)</w:t>
      </w:r>
    </w:p>
    <w:p w:rsidR="00E92F67" w:rsidRPr="00DC3374" w:rsidP="00E81188" w14:paraId="58AF9FE1" w14:textId="77777777">
      <w:pPr>
        <w:spacing w:line="269" w:lineRule="auto"/>
        <w:jc w:val="center"/>
        <w:rPr>
          <w:bCs/>
          <w:rtl/>
        </w:rPr>
      </w:pPr>
      <w:r w:rsidRPr="00DC3374">
        <w:rPr>
          <w:bCs/>
          <w:noProof/>
        </w:rPr>
        <w:drawing>
          <wp:inline distT="0" distB="0" distL="0" distR="0">
            <wp:extent cx="4705985" cy="3475919"/>
            <wp:effectExtent l="0" t="0" r="0" b="0"/>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65323" name="Picture 2"/>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rcRect t="14014"/>
                    <a:stretch>
                      <a:fillRect/>
                    </a:stretch>
                  </pic:blipFill>
                  <pic:spPr bwMode="auto">
                    <a:xfrm>
                      <a:off x="0" y="0"/>
                      <a:ext cx="4713085" cy="348116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92F67" w:rsidRPr="00DC3374" w:rsidP="00E81188" w14:paraId="649558EC" w14:textId="6F9AEFA3">
      <w:pPr>
        <w:spacing w:line="269" w:lineRule="auto"/>
        <w:rPr>
          <w:szCs w:val="20"/>
          <w:rtl/>
        </w:rPr>
      </w:pPr>
      <w:r>
        <w:rPr>
          <w:rFonts w:hint="cs"/>
          <w:szCs w:val="20"/>
          <w:rtl/>
        </w:rPr>
        <w:t xml:space="preserve"> </w:t>
      </w:r>
      <w:r w:rsidRPr="00DC3374">
        <w:rPr>
          <w:rFonts w:hint="cs"/>
          <w:szCs w:val="20"/>
          <w:rtl/>
        </w:rPr>
        <w:t>על פי</w:t>
      </w:r>
      <w:r w:rsidRPr="00DC3374">
        <w:rPr>
          <w:szCs w:val="20"/>
          <w:rtl/>
        </w:rPr>
        <w:t xml:space="preserve"> </w:t>
      </w:r>
      <w:r w:rsidRPr="00DC3374">
        <w:rPr>
          <w:rFonts w:hint="eastAsia"/>
          <w:szCs w:val="20"/>
          <w:rtl/>
        </w:rPr>
        <w:t>נתוני</w:t>
      </w:r>
      <w:r w:rsidRPr="00DC3374">
        <w:rPr>
          <w:szCs w:val="20"/>
          <w:rtl/>
        </w:rPr>
        <w:t xml:space="preserve"> </w:t>
      </w:r>
      <w:r w:rsidRPr="00DC3374">
        <w:rPr>
          <w:rFonts w:hint="eastAsia"/>
          <w:szCs w:val="20"/>
          <w:rtl/>
        </w:rPr>
        <w:t>משרד</w:t>
      </w:r>
      <w:r w:rsidRPr="00DC3374">
        <w:rPr>
          <w:szCs w:val="20"/>
          <w:rtl/>
        </w:rPr>
        <w:t xml:space="preserve"> </w:t>
      </w:r>
      <w:r w:rsidRPr="00DC3374">
        <w:rPr>
          <w:rFonts w:hint="eastAsia"/>
          <w:szCs w:val="20"/>
          <w:rtl/>
        </w:rPr>
        <w:t>הבריאות</w:t>
      </w:r>
      <w:r w:rsidRPr="00DC3374">
        <w:rPr>
          <w:szCs w:val="20"/>
          <w:rtl/>
        </w:rPr>
        <w:t xml:space="preserve"> </w:t>
      </w:r>
      <w:r w:rsidRPr="00DC3374">
        <w:rPr>
          <w:rFonts w:hint="eastAsia"/>
          <w:szCs w:val="20"/>
          <w:rtl/>
        </w:rPr>
        <w:t>ופקע</w:t>
      </w:r>
      <w:r w:rsidRPr="00DC3374">
        <w:rPr>
          <w:szCs w:val="20"/>
          <w:rtl/>
        </w:rPr>
        <w:t>"ר</w:t>
      </w:r>
      <w:r w:rsidRPr="00DC3374">
        <w:rPr>
          <w:rFonts w:hint="cs"/>
          <w:szCs w:val="20"/>
          <w:rtl/>
        </w:rPr>
        <w:t>,</w:t>
      </w:r>
      <w:r w:rsidRPr="00DC3374">
        <w:rPr>
          <w:szCs w:val="20"/>
          <w:rtl/>
        </w:rPr>
        <w:t xml:space="preserve"> </w:t>
      </w:r>
      <w:r w:rsidRPr="00DC3374">
        <w:rPr>
          <w:rFonts w:hint="eastAsia"/>
          <w:szCs w:val="20"/>
          <w:rtl/>
        </w:rPr>
        <w:t>ב</w:t>
      </w:r>
      <w:r w:rsidRPr="00DC3374">
        <w:rPr>
          <w:szCs w:val="20"/>
          <w:rtl/>
        </w:rPr>
        <w:t xml:space="preserve">עיבוד משרד מבקר המדינה. </w:t>
      </w:r>
    </w:p>
    <w:p w:rsidR="00E92F67" w:rsidRPr="00DC3374" w:rsidP="00E81188" w14:paraId="50813BF0" w14:textId="39729BA9">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8E536BD" w14:textId="77777777">
      <w:pPr>
        <w:pStyle w:val="ListParagraph"/>
        <w:spacing w:line="269" w:lineRule="auto"/>
        <w:ind w:left="340"/>
        <w:rPr>
          <w:b/>
          <w:bCs/>
          <w:rtl/>
        </w:rPr>
      </w:pPr>
      <w:r w:rsidRPr="00DC3374">
        <w:rPr>
          <w:rFonts w:hint="eastAsia"/>
          <w:b/>
          <w:bCs/>
          <w:sz w:val="24"/>
          <w:rtl/>
        </w:rPr>
        <w:t>נמצא</w:t>
      </w:r>
      <w:r w:rsidRPr="00DC3374">
        <w:rPr>
          <w:b/>
          <w:bCs/>
          <w:sz w:val="24"/>
          <w:rtl/>
        </w:rPr>
        <w:t xml:space="preserve"> כי </w:t>
      </w:r>
      <w:r w:rsidRPr="00DC3374">
        <w:rPr>
          <w:rFonts w:hint="cs"/>
          <w:b/>
          <w:bCs/>
          <w:sz w:val="24"/>
          <w:rtl/>
        </w:rPr>
        <w:t>בחודשים מרץ עד אוקטובר</w:t>
      </w:r>
      <w:r w:rsidRPr="00DC3374">
        <w:rPr>
          <w:b/>
          <w:bCs/>
          <w:sz w:val="24"/>
          <w:rtl/>
        </w:rPr>
        <w:t xml:space="preserve"> 2020 היו </w:t>
      </w:r>
      <w:r w:rsidRPr="00DC3374">
        <w:rPr>
          <w:rFonts w:hint="cs"/>
          <w:b/>
          <w:bCs/>
          <w:sz w:val="24"/>
          <w:rtl/>
        </w:rPr>
        <w:t xml:space="preserve">כ-53 מיליון כניסות לאתר משרד הבריאות בהשוואה לכ-5 מיליון כניסות לאתר פקע"ר. דהיינו שיעור הכניסות לאתר משרד הבריאות היה גדול ביותר מפי עשרה ממספר הכניסות לאתר פקע"ר בתקופה הזו. </w:t>
      </w:r>
    </w:p>
    <w:p w:rsidR="00E92F67" w:rsidRPr="00DC3374" w:rsidP="00E81188" w14:paraId="5C71AE40" w14:textId="77777777">
      <w:pPr>
        <w:spacing w:line="269" w:lineRule="auto"/>
        <w:rPr>
          <w:b/>
          <w:bCs/>
          <w:rtl/>
        </w:rPr>
      </w:pPr>
    </w:p>
    <w:p w:rsidR="00E92F67" w:rsidRPr="00DC3374" w:rsidP="00E81188" w14:paraId="1036B2EE" w14:textId="77777777">
      <w:pPr>
        <w:pStyle w:val="Heading4"/>
        <w:spacing w:before="0" w:line="269" w:lineRule="auto"/>
        <w:rPr>
          <w:rtl/>
        </w:rPr>
      </w:pPr>
      <w:r w:rsidRPr="00DC3374">
        <w:rPr>
          <w:rFonts w:hint="cs"/>
          <w:rtl/>
        </w:rPr>
        <w:t>היקף פניות הציבור למקורות המידע</w:t>
      </w:r>
    </w:p>
    <w:p w:rsidR="00E92F67" w:rsidRPr="00DC3374" w:rsidP="00E81188" w14:paraId="1D7B1A99" w14:textId="183E03F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6B813A9" w14:textId="77777777">
      <w:pPr>
        <w:spacing w:line="269" w:lineRule="auto"/>
      </w:pPr>
      <w:r w:rsidRPr="00DC3374">
        <w:rPr>
          <w:rFonts w:hint="cs"/>
          <w:rtl/>
        </w:rPr>
        <w:t xml:space="preserve">בתרשים שלהלן מוצגים ממצאי הסקר בדבר היקף הפניות למוקדי המידע של משרד הבריאות ושל פקע"ר מקרב הציבור שהכיר אותם, בחלוקה לשלוש קבוצות אוכלוסייה: החברה היהודית הכללית, החברה החרדית והחברה הערבית. </w:t>
      </w:r>
    </w:p>
    <w:p w:rsidR="00E92F67" w:rsidRPr="00DC3374" w:rsidP="00E81188" w14:paraId="2ED6F716" w14:textId="77777777">
      <w:pPr>
        <w:spacing w:line="269" w:lineRule="auto"/>
        <w:ind w:left="720" w:hanging="720"/>
        <w:rPr>
          <w:szCs w:val="20"/>
          <w:rtl/>
        </w:rPr>
      </w:pPr>
      <w:r w:rsidRPr="00DC3374">
        <w:rPr>
          <w:rtl/>
        </w:rPr>
        <w:br w:type="page"/>
      </w:r>
    </w:p>
    <w:p w:rsidR="00E92F67" w:rsidRPr="00DC3374" w:rsidP="00E81188" w14:paraId="07D1E5C8" w14:textId="11C0DB2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A68D485" w14:textId="77777777">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39</w:t>
      </w:r>
      <w:r w:rsidRPr="00DC3374">
        <w:rPr>
          <w:b/>
          <w:bCs/>
          <w:rtl/>
        </w:rPr>
        <w:t xml:space="preserve">: היקף פניות הציבור למוקדי המידע של משרד הבריאות ופקע"ר </w:t>
      </w:r>
    </w:p>
    <w:p w:rsidR="00E92F67" w:rsidRPr="00DC3374" w:rsidP="00E81188" w14:paraId="42ADA1E5" w14:textId="77777777">
      <w:pPr>
        <w:spacing w:line="269" w:lineRule="auto"/>
        <w:jc w:val="center"/>
        <w:rPr>
          <w:b/>
          <w:bCs/>
          <w:rtl/>
        </w:rPr>
      </w:pPr>
      <w:r w:rsidRPr="00DC3374">
        <w:rPr>
          <w:b/>
          <w:bCs/>
          <w:noProof/>
        </w:rPr>
        <w:drawing>
          <wp:inline distT="0" distB="0" distL="0" distR="0">
            <wp:extent cx="5210175" cy="3686175"/>
            <wp:effectExtent l="0" t="0" r="9525" b="9525"/>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13506" name="Picture 9"/>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0175" cy="3686175"/>
                    </a:xfrm>
                    <a:prstGeom prst="rect">
                      <a:avLst/>
                    </a:prstGeom>
                    <a:noFill/>
                    <a:ln>
                      <a:noFill/>
                    </a:ln>
                  </pic:spPr>
                </pic:pic>
              </a:graphicData>
            </a:graphic>
          </wp:inline>
        </w:drawing>
      </w:r>
    </w:p>
    <w:p w:rsidR="00E92F67" w:rsidRPr="00DC3374" w:rsidP="00E81188" w14:paraId="1A28B525" w14:textId="77777777">
      <w:pPr>
        <w:spacing w:line="269" w:lineRule="auto"/>
        <w:rPr>
          <w:szCs w:val="20"/>
          <w:rtl/>
        </w:rPr>
      </w:pPr>
      <w:r w:rsidRPr="00DC3374">
        <w:rPr>
          <w:rFonts w:hint="cs"/>
          <w:szCs w:val="20"/>
          <w:rtl/>
        </w:rPr>
        <w:t>על פי נתוני הסקר מדצמבר 2020,</w:t>
      </w:r>
      <w:r w:rsidRPr="00DC3374">
        <w:rPr>
          <w:szCs w:val="20"/>
          <w:rtl/>
        </w:rPr>
        <w:t xml:space="preserve"> </w:t>
      </w:r>
      <w:r w:rsidRPr="00DC3374">
        <w:rPr>
          <w:rFonts w:hint="cs"/>
          <w:szCs w:val="20"/>
          <w:rtl/>
        </w:rPr>
        <w:t>ב</w:t>
      </w:r>
      <w:r w:rsidRPr="00DC3374">
        <w:rPr>
          <w:szCs w:val="20"/>
          <w:rtl/>
        </w:rPr>
        <w:t>עיבוד משרד מבקר המדינה.</w:t>
      </w:r>
    </w:p>
    <w:p w:rsidR="00E92F67" w:rsidRPr="00DC3374" w:rsidP="00E81188" w14:paraId="26BA15F3" w14:textId="4C2262C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4BE8C605" w14:textId="77777777">
      <w:pPr>
        <w:spacing w:line="269" w:lineRule="auto"/>
        <w:rPr>
          <w:b/>
          <w:bCs/>
          <w:rtl/>
        </w:rPr>
      </w:pPr>
      <w:r w:rsidRPr="00DC3374">
        <w:rPr>
          <w:rFonts w:hint="cs"/>
          <w:b/>
          <w:bCs/>
          <w:rtl/>
        </w:rPr>
        <w:t xml:space="preserve">מהתרשים עולה כי רוב הציבור שהכיר את מקורות המידע לא פנה אליהם. בקרב התושבים מהחברה היהודית הכללית שהכירו את המוקדים והאתרים, שיעור הפונים למשרד הבריאות היה גבוה פי 2.5 משיעור הפונים לפקע"ר. שיעור הפונים מקרב החברה החרדית למשרד הבריאות היה גבוה בהשוואה לשיעור הפונים לפקע"ר (53% מהחברה החרדית פנו למשרד הבריאות ו-44% פנו לפקע"ר). שיעורי הפונים מקרב החברה הערבית לשני הגופים היו דומים. </w:t>
      </w:r>
      <w:r w:rsidRPr="00DC3374">
        <w:rPr>
          <w:rFonts w:hint="eastAsia"/>
          <w:b/>
          <w:bCs/>
          <w:rtl/>
        </w:rPr>
        <w:t>יצוין</w:t>
      </w:r>
      <w:r w:rsidRPr="00DC3374">
        <w:rPr>
          <w:b/>
          <w:bCs/>
          <w:rtl/>
        </w:rPr>
        <w:t xml:space="preserve"> כי </w:t>
      </w:r>
      <w:r w:rsidRPr="00DC3374">
        <w:rPr>
          <w:rFonts w:hint="cs"/>
          <w:b/>
          <w:bCs/>
          <w:rtl/>
        </w:rPr>
        <w:t>ה</w:t>
      </w:r>
      <w:r w:rsidRPr="00DC3374">
        <w:rPr>
          <w:rFonts w:hint="eastAsia"/>
          <w:b/>
          <w:bCs/>
          <w:rtl/>
        </w:rPr>
        <w:t>סקרים</w:t>
      </w:r>
      <w:r w:rsidRPr="00DC3374">
        <w:rPr>
          <w:b/>
          <w:bCs/>
          <w:rtl/>
        </w:rPr>
        <w:t xml:space="preserve"> </w:t>
      </w:r>
      <w:r w:rsidRPr="00DC3374">
        <w:rPr>
          <w:rFonts w:hint="eastAsia"/>
          <w:b/>
          <w:bCs/>
          <w:rtl/>
        </w:rPr>
        <w:t>שערך</w:t>
      </w:r>
      <w:r w:rsidRPr="00DC3374">
        <w:rPr>
          <w:b/>
          <w:bCs/>
          <w:rtl/>
        </w:rPr>
        <w:t xml:space="preserve"> </w:t>
      </w:r>
      <w:r w:rsidRPr="00DC3374">
        <w:rPr>
          <w:rFonts w:hint="eastAsia"/>
          <w:b/>
          <w:bCs/>
          <w:rtl/>
        </w:rPr>
        <w:t>פ</w:t>
      </w:r>
      <w:r w:rsidRPr="00DC3374">
        <w:rPr>
          <w:rFonts w:hint="cs"/>
          <w:b/>
          <w:bCs/>
          <w:rtl/>
        </w:rPr>
        <w:t>קע"ר</w:t>
      </w:r>
      <w:r w:rsidRPr="00DC3374">
        <w:rPr>
          <w:b/>
          <w:bCs/>
          <w:rtl/>
        </w:rPr>
        <w:t xml:space="preserve"> במרץ ובנובמבר 2020 בנוגע להיכרות הציבור עם מקורות </w:t>
      </w:r>
      <w:r w:rsidRPr="00DC3374">
        <w:rPr>
          <w:rFonts w:hint="eastAsia"/>
          <w:b/>
          <w:bCs/>
          <w:rtl/>
        </w:rPr>
        <w:t>המידע</w:t>
      </w:r>
      <w:r w:rsidRPr="00DC3374">
        <w:rPr>
          <w:b/>
          <w:bCs/>
          <w:rtl/>
        </w:rPr>
        <w:t xml:space="preserve"> שלו העלו ממצאים דומים ולפיהם רק 13% </w:t>
      </w:r>
      <w:r w:rsidRPr="00DC3374">
        <w:rPr>
          <w:rFonts w:hint="eastAsia"/>
          <w:b/>
          <w:bCs/>
          <w:rtl/>
        </w:rPr>
        <w:t>מהמשיבים</w:t>
      </w:r>
      <w:r w:rsidRPr="00DC3374">
        <w:rPr>
          <w:rFonts w:hint="cs"/>
          <w:b/>
          <w:bCs/>
          <w:rtl/>
        </w:rPr>
        <w:t xml:space="preserve"> השתמשו</w:t>
      </w:r>
      <w:r w:rsidRPr="00DC3374">
        <w:rPr>
          <w:b/>
          <w:bCs/>
          <w:rtl/>
        </w:rPr>
        <w:t xml:space="preserve"> </w:t>
      </w:r>
      <w:r w:rsidRPr="00DC3374">
        <w:rPr>
          <w:rFonts w:hint="eastAsia"/>
          <w:b/>
          <w:bCs/>
          <w:rtl/>
        </w:rPr>
        <w:t>בהם</w:t>
      </w:r>
      <w:r w:rsidRPr="00DC3374">
        <w:rPr>
          <w:b/>
          <w:bCs/>
          <w:rtl/>
        </w:rPr>
        <w:t xml:space="preserve">. </w:t>
      </w:r>
    </w:p>
    <w:p w:rsidR="00E92F67" w:rsidRPr="00DC3374" w:rsidP="00E81188" w14:paraId="3C01973E" w14:textId="77777777">
      <w:pPr>
        <w:bidi w:val="0"/>
        <w:spacing w:line="269" w:lineRule="auto"/>
      </w:pPr>
    </w:p>
    <w:p w:rsidR="00E92F67" w:rsidRPr="00DC3374" w:rsidP="00E81188" w14:paraId="2413EECE" w14:textId="77777777">
      <w:pPr>
        <w:pStyle w:val="Heading4"/>
        <w:spacing w:before="0" w:line="269" w:lineRule="auto"/>
        <w:rPr>
          <w:rtl/>
        </w:rPr>
      </w:pPr>
      <w:r w:rsidRPr="00DC3374">
        <w:rPr>
          <w:rFonts w:hint="cs"/>
          <w:rtl/>
        </w:rPr>
        <w:t>מדידת איכות השירות של המוקדים הטלפוניים ותוצאותיה</w:t>
      </w:r>
    </w:p>
    <w:p w:rsidR="00E92F67" w:rsidRPr="00DC3374" w:rsidP="00E81188" w14:paraId="2BBD210A" w14:textId="050456C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1A94C0F" w14:textId="77777777">
      <w:pPr>
        <w:spacing w:line="269" w:lineRule="auto"/>
      </w:pPr>
      <w:r w:rsidRPr="00DC3374">
        <w:rPr>
          <w:rFonts w:hint="cs"/>
          <w:rtl/>
        </w:rPr>
        <w:t>שיפור השירות לציבור של ה</w:t>
      </w:r>
      <w:r w:rsidRPr="00DC3374">
        <w:rPr>
          <w:rtl/>
        </w:rPr>
        <w:t>גופי</w:t>
      </w:r>
      <w:r w:rsidRPr="00DC3374">
        <w:rPr>
          <w:rFonts w:hint="cs"/>
          <w:rtl/>
        </w:rPr>
        <w:t>ם</w:t>
      </w:r>
      <w:r w:rsidRPr="00DC3374">
        <w:rPr>
          <w:rtl/>
        </w:rPr>
        <w:t xml:space="preserve"> </w:t>
      </w:r>
      <w:r w:rsidRPr="00DC3374">
        <w:rPr>
          <w:rFonts w:hint="cs"/>
          <w:rtl/>
        </w:rPr>
        <w:t>ה</w:t>
      </w:r>
      <w:r w:rsidRPr="00DC3374">
        <w:rPr>
          <w:rtl/>
        </w:rPr>
        <w:t>ממשל</w:t>
      </w:r>
      <w:r w:rsidRPr="00DC3374">
        <w:rPr>
          <w:rFonts w:hint="cs"/>
          <w:rtl/>
        </w:rPr>
        <w:t xml:space="preserve">תיים כרוך בכמה תנאים: השקעה ממשית בשיפור תהליכי העבודה; ראיית התושב או האזרח כלקוח שזכאי לקבל שירות נאות; </w:t>
      </w:r>
      <w:r w:rsidRPr="00DC3374">
        <w:rPr>
          <w:rFonts w:ascii="David" w:hAnsi="David" w:hint="cs"/>
          <w:sz w:val="24"/>
          <w:rtl/>
        </w:rPr>
        <w:t xml:space="preserve">ההבנה כי </w:t>
      </w:r>
      <w:r w:rsidRPr="00DC3374">
        <w:rPr>
          <w:rFonts w:ascii="David" w:hAnsi="David"/>
          <w:sz w:val="24"/>
          <w:rtl/>
        </w:rPr>
        <w:t xml:space="preserve">נותן </w:t>
      </w:r>
      <w:r w:rsidRPr="00DC3374">
        <w:rPr>
          <w:rFonts w:ascii="David" w:hAnsi="David" w:hint="cs"/>
          <w:sz w:val="24"/>
          <w:rtl/>
        </w:rPr>
        <w:t>ה</w:t>
      </w:r>
      <w:r w:rsidRPr="00DC3374">
        <w:rPr>
          <w:rFonts w:ascii="David" w:hAnsi="David"/>
          <w:sz w:val="24"/>
          <w:rtl/>
        </w:rPr>
        <w:t>שירות</w:t>
      </w:r>
      <w:r w:rsidRPr="00DC3374">
        <w:rPr>
          <w:rFonts w:ascii="David" w:hAnsi="David" w:hint="cs"/>
          <w:sz w:val="24"/>
          <w:rtl/>
        </w:rPr>
        <w:t xml:space="preserve"> נדרש </w:t>
      </w:r>
      <w:r w:rsidRPr="00DC3374">
        <w:rPr>
          <w:rFonts w:ascii="David" w:hAnsi="David"/>
          <w:sz w:val="24"/>
          <w:rtl/>
        </w:rPr>
        <w:t xml:space="preserve">להעניק </w:t>
      </w:r>
      <w:r w:rsidRPr="00DC3374">
        <w:rPr>
          <w:rFonts w:ascii="David" w:hAnsi="David" w:hint="cs"/>
          <w:sz w:val="24"/>
          <w:rtl/>
        </w:rPr>
        <w:t xml:space="preserve">ללקוח </w:t>
      </w:r>
      <w:r w:rsidRPr="00DC3374">
        <w:rPr>
          <w:rFonts w:ascii="David" w:hAnsi="David"/>
          <w:sz w:val="24"/>
          <w:rtl/>
        </w:rPr>
        <w:t>שירות מלא ו</w:t>
      </w:r>
      <w:r w:rsidRPr="00DC3374">
        <w:rPr>
          <w:rFonts w:ascii="David" w:hAnsi="David" w:hint="cs"/>
          <w:sz w:val="24"/>
          <w:rtl/>
        </w:rPr>
        <w:t xml:space="preserve">איכותי, </w:t>
      </w:r>
      <w:r w:rsidRPr="00DC3374">
        <w:rPr>
          <w:rFonts w:ascii="David" w:hAnsi="David"/>
          <w:sz w:val="24"/>
          <w:rtl/>
        </w:rPr>
        <w:t>בלי קשר לסוג הלקוח ולסיבת פנייתו ל</w:t>
      </w:r>
      <w:r w:rsidRPr="00DC3374">
        <w:rPr>
          <w:rFonts w:ascii="David" w:hAnsi="David" w:hint="cs"/>
          <w:sz w:val="24"/>
          <w:rtl/>
        </w:rPr>
        <w:t>קבלת שירות</w:t>
      </w:r>
      <w:r w:rsidRPr="00DC3374">
        <w:rPr>
          <w:rFonts w:hint="cs"/>
          <w:rtl/>
        </w:rPr>
        <w:t>.</w:t>
      </w:r>
    </w:p>
    <w:p w:rsidR="00E92F67" w:rsidRPr="00DC3374" w:rsidP="00E81188" w14:paraId="26D7A39B" w14:textId="77777777">
      <w:pPr>
        <w:spacing w:line="269" w:lineRule="auto"/>
        <w:ind w:left="720" w:hanging="720"/>
        <w:rPr>
          <w:szCs w:val="20"/>
          <w:rtl/>
        </w:rPr>
      </w:pPr>
      <w:r w:rsidRPr="00DC3374">
        <w:rPr>
          <w:rtl/>
        </w:rPr>
        <w:br w:type="page"/>
      </w:r>
    </w:p>
    <w:p w:rsidR="00E92F67" w:rsidRPr="00DC3374" w:rsidP="00E81188" w14:paraId="39AC4814" w14:textId="565AFD8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155E7C8" w14:textId="77777777">
      <w:pPr>
        <w:spacing w:line="269" w:lineRule="auto"/>
      </w:pPr>
      <w:r w:rsidRPr="00DC3374">
        <w:rPr>
          <w:rFonts w:hint="cs"/>
          <w:rtl/>
        </w:rPr>
        <w:t>מדידת טיב השירות של גופים ממשלתיים לציבור נעשית ככלל בידי היחידה לשיפור השירות ברשות התקשוב הממשלתי</w:t>
      </w:r>
      <w:r>
        <w:rPr>
          <w:rStyle w:val="FootnoteReference1"/>
          <w:rtl/>
        </w:rPr>
        <w:footnoteReference w:id="56"/>
      </w:r>
      <w:r w:rsidRPr="00DC3374">
        <w:rPr>
          <w:rFonts w:hint="cs"/>
          <w:rtl/>
        </w:rPr>
        <w:t>. היחידה הגדירה מדדים לבחינת טיב השירות של הגופים הממשלתיים לציבור, ובין היתר</w:t>
      </w:r>
      <w:r w:rsidRPr="00DC3374">
        <w:rPr>
          <w:rtl/>
        </w:rPr>
        <w:t xml:space="preserve">: שיעור </w:t>
      </w:r>
      <w:r w:rsidRPr="00DC3374">
        <w:rPr>
          <w:rFonts w:hint="cs"/>
          <w:rtl/>
        </w:rPr>
        <w:t xml:space="preserve">הפניות שנענו וטופלו מכלל הפונים שהגיעו למרכז השירות; שיעור הפניות שנענו בתוך מספר מסוים של דקות מכלל הפניות שנענו; </w:t>
      </w:r>
      <w:r w:rsidRPr="00DC3374">
        <w:rPr>
          <w:rtl/>
        </w:rPr>
        <w:t>זמן המתנה ממוצע</w:t>
      </w:r>
      <w:r w:rsidRPr="00DC3374">
        <w:rPr>
          <w:rFonts w:hint="cs"/>
          <w:rtl/>
        </w:rPr>
        <w:t xml:space="preserve"> למענה; וזמן הטיפול הממוצע בפנייה.</w:t>
      </w:r>
    </w:p>
    <w:p w:rsidR="00E92F67" w:rsidRPr="00DC3374" w:rsidP="00E81188" w14:paraId="77A9A631" w14:textId="4C0A9DE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42598B07" w14:textId="77777777">
      <w:pPr>
        <w:spacing w:line="269" w:lineRule="auto"/>
        <w:rPr>
          <w:rtl/>
        </w:rPr>
      </w:pPr>
      <w:r w:rsidRPr="00DC3374">
        <w:rPr>
          <w:rFonts w:hint="cs"/>
          <w:rtl/>
        </w:rPr>
        <w:t>כדי לבחון את איכות השירות לציבור באמצעות מוקדים טלפוניים במהלך משבר הקורונה, משרד מבקר המדינה ניתח</w:t>
      </w:r>
      <w:r w:rsidRPr="00DC3374">
        <w:rPr>
          <w:rtl/>
        </w:rPr>
        <w:t xml:space="preserve"> את </w:t>
      </w:r>
      <w:r w:rsidRPr="00DC3374">
        <w:rPr>
          <w:rFonts w:hint="cs"/>
          <w:rtl/>
        </w:rPr>
        <w:t>טיב השירות של המוקדים שהפעילו משרד הבריאות, פקע"ר והמשטרה.</w:t>
      </w:r>
      <w:r w:rsidRPr="00DC3374">
        <w:rPr>
          <w:rFonts w:hint="cs"/>
          <w:bCs/>
          <w:rtl/>
        </w:rPr>
        <w:t xml:space="preserve"> </w:t>
      </w:r>
    </w:p>
    <w:p w:rsidR="00E92F67" w:rsidRPr="00DC3374" w:rsidP="00E81188" w14:paraId="003774AC" w14:textId="77777777">
      <w:pPr>
        <w:spacing w:line="269" w:lineRule="auto"/>
        <w:rPr>
          <w:rtl/>
        </w:rPr>
      </w:pPr>
    </w:p>
    <w:p w:rsidR="00E92F67" w:rsidRPr="00DC3374" w:rsidP="00E81188" w14:paraId="6A8397E3" w14:textId="77777777">
      <w:pPr>
        <w:pStyle w:val="Heading5"/>
        <w:spacing w:line="269" w:lineRule="auto"/>
        <w:rPr>
          <w:rtl/>
        </w:rPr>
      </w:pPr>
      <w:r w:rsidRPr="00DC3374">
        <w:rPr>
          <w:rFonts w:eastAsiaTheme="minorHAnsi" w:hint="cs"/>
          <w:rtl/>
        </w:rPr>
        <w:t>היקף השיחות הנכנסות</w:t>
      </w:r>
      <w:r w:rsidRPr="00DC3374">
        <w:rPr>
          <w:rtl/>
        </w:rPr>
        <w:tab/>
      </w:r>
    </w:p>
    <w:p w:rsidR="00E92F67" w:rsidRPr="00DC3374" w:rsidP="00E81188" w14:paraId="5566E284" w14:textId="2EE071B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70CBE43" w14:textId="77777777">
      <w:pPr>
        <w:spacing w:line="269" w:lineRule="auto"/>
        <w:rPr>
          <w:rFonts w:asciiTheme="minorHAnsi" w:hAnsiTheme="minorHAnsi"/>
          <w:sz w:val="22"/>
          <w:rtl/>
        </w:rPr>
      </w:pPr>
      <w:r w:rsidRPr="00DC3374">
        <w:rPr>
          <w:rFonts w:asciiTheme="minorHAnsi" w:hAnsiTheme="minorHAnsi" w:hint="cs"/>
          <w:sz w:val="22"/>
          <w:rtl/>
        </w:rPr>
        <w:t xml:space="preserve">מאמצע מרץ עד סוף אוקטובר 2020 קיבל מוקד משרד הבריאות כ-3.3 מיליון שיחות; מוקד פקע"ר - כ-1.3 מיליון שיחות; ומוקד 110 של המשטרה - כ-0.5 מיליון שיחות. בסך הכול קיבלו שלושת המוקדים כ-5 מיליון שיחות במהלך שבעה חודשים וחצי. </w:t>
      </w:r>
    </w:p>
    <w:p w:rsidR="00E92F67" w:rsidRPr="00DC3374" w:rsidP="00E81188" w14:paraId="6EEC0826" w14:textId="641D8C1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00184A6" w14:textId="77777777">
      <w:pPr>
        <w:spacing w:line="269" w:lineRule="auto"/>
        <w:rPr>
          <w:szCs w:val="20"/>
          <w:rtl/>
        </w:rPr>
      </w:pPr>
      <w:r w:rsidRPr="00DC3374">
        <w:rPr>
          <w:rFonts w:asciiTheme="minorHAnsi" w:hAnsiTheme="minorHAnsi" w:hint="cs"/>
          <w:sz w:val="22"/>
          <w:rtl/>
        </w:rPr>
        <w:t>בתרשים שלהלן מוצגים נתונים לגבי סך מספר השיחות שקיבלו המוקדים הטלפוניים האמורים בתקופה של שבעה חודשים וחצי - מ-10.3.20 עד 31.10.20, בחלוקה לשבועות:</w:t>
      </w:r>
    </w:p>
    <w:p w:rsidR="00E92F67" w:rsidRPr="00DC3374" w:rsidP="00E81188" w14:paraId="22E9CF6C" w14:textId="0E135FD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EC73780" w14:textId="77777777">
      <w:pPr>
        <w:pStyle w:val="ListParagraph"/>
        <w:spacing w:line="269" w:lineRule="auto"/>
        <w:ind w:left="-1"/>
        <w:jc w:val="center"/>
        <w:rPr>
          <w:b/>
          <w:bCs/>
          <w:rtl/>
        </w:rPr>
      </w:pPr>
      <w:r w:rsidRPr="00DC3374">
        <w:rPr>
          <w:rFonts w:hint="eastAsia"/>
          <w:b/>
          <w:bCs/>
          <w:rtl/>
        </w:rPr>
        <w:t>תרשים</w:t>
      </w:r>
      <w:r w:rsidRPr="00DC3374">
        <w:rPr>
          <w:b/>
          <w:bCs/>
          <w:rtl/>
        </w:rPr>
        <w:t xml:space="preserve"> </w:t>
      </w:r>
      <w:r w:rsidRPr="00DC3374">
        <w:rPr>
          <w:rFonts w:hint="cs"/>
          <w:b/>
          <w:bCs/>
          <w:rtl/>
        </w:rPr>
        <w:t>40</w:t>
      </w:r>
      <w:r w:rsidRPr="00DC3374">
        <w:rPr>
          <w:b/>
          <w:bCs/>
          <w:rtl/>
        </w:rPr>
        <w:t xml:space="preserve">: מספר </w:t>
      </w:r>
      <w:r w:rsidRPr="00DC3374">
        <w:rPr>
          <w:rFonts w:hint="cs"/>
          <w:b/>
          <w:bCs/>
          <w:rtl/>
        </w:rPr>
        <w:t>ה</w:t>
      </w:r>
      <w:r w:rsidRPr="00DC3374">
        <w:rPr>
          <w:rFonts w:hint="eastAsia"/>
          <w:b/>
          <w:bCs/>
          <w:rtl/>
        </w:rPr>
        <w:t>שיחות</w:t>
      </w:r>
      <w:r w:rsidRPr="00DC3374">
        <w:rPr>
          <w:b/>
          <w:bCs/>
          <w:rtl/>
        </w:rPr>
        <w:t xml:space="preserve"> </w:t>
      </w:r>
      <w:r w:rsidRPr="00DC3374">
        <w:rPr>
          <w:rFonts w:hint="cs"/>
          <w:b/>
          <w:bCs/>
          <w:rtl/>
        </w:rPr>
        <w:t>ה</w:t>
      </w:r>
      <w:r w:rsidRPr="00DC3374">
        <w:rPr>
          <w:rFonts w:hint="eastAsia"/>
          <w:b/>
          <w:bCs/>
          <w:rtl/>
        </w:rPr>
        <w:t>נכנסות</w:t>
      </w:r>
      <w:r w:rsidRPr="00DC3374">
        <w:rPr>
          <w:b/>
          <w:bCs/>
          <w:rtl/>
        </w:rPr>
        <w:t xml:space="preserve"> </w:t>
      </w:r>
      <w:r w:rsidRPr="00DC3374">
        <w:rPr>
          <w:rFonts w:hint="eastAsia"/>
          <w:b/>
          <w:bCs/>
          <w:rtl/>
        </w:rPr>
        <w:t>בנושא</w:t>
      </w:r>
      <w:r w:rsidRPr="00DC3374">
        <w:rPr>
          <w:b/>
          <w:bCs/>
          <w:rtl/>
        </w:rPr>
        <w:t xml:space="preserve"> </w:t>
      </w:r>
      <w:r w:rsidRPr="00DC3374">
        <w:rPr>
          <w:rFonts w:hint="eastAsia"/>
          <w:b/>
          <w:bCs/>
          <w:rtl/>
        </w:rPr>
        <w:t>הקורונה</w:t>
      </w:r>
      <w:r w:rsidRPr="00DC3374">
        <w:rPr>
          <w:b/>
          <w:bCs/>
          <w:rtl/>
        </w:rPr>
        <w:t xml:space="preserve"> </w:t>
      </w:r>
      <w:r w:rsidRPr="00DC3374">
        <w:rPr>
          <w:rFonts w:hint="eastAsia"/>
          <w:b/>
          <w:bCs/>
          <w:rtl/>
        </w:rPr>
        <w:t>ברמה</w:t>
      </w:r>
      <w:r w:rsidRPr="00DC3374">
        <w:rPr>
          <w:b/>
          <w:bCs/>
          <w:rtl/>
        </w:rPr>
        <w:t xml:space="preserve"> </w:t>
      </w:r>
      <w:r w:rsidRPr="00DC3374">
        <w:rPr>
          <w:rFonts w:hint="cs"/>
          <w:b/>
          <w:bCs/>
          <w:rtl/>
        </w:rPr>
        <w:t>ה</w:t>
      </w:r>
      <w:r w:rsidRPr="00DC3374">
        <w:rPr>
          <w:rFonts w:hint="eastAsia"/>
          <w:b/>
          <w:bCs/>
          <w:rtl/>
        </w:rPr>
        <w:t>שבועית</w:t>
      </w:r>
      <w:r w:rsidRPr="00DC3374">
        <w:rPr>
          <w:b/>
          <w:bCs/>
          <w:rtl/>
        </w:rPr>
        <w:t xml:space="preserve">, </w:t>
      </w:r>
      <w:r w:rsidRPr="00DC3374">
        <w:rPr>
          <w:rFonts w:hint="eastAsia"/>
          <w:b/>
          <w:bCs/>
          <w:rtl/>
        </w:rPr>
        <w:t>מרץ</w:t>
      </w:r>
      <w:r w:rsidRPr="00DC3374">
        <w:rPr>
          <w:b/>
          <w:bCs/>
          <w:rtl/>
        </w:rPr>
        <w:t>-אוקטובר 2020*</w:t>
      </w:r>
    </w:p>
    <w:p w:rsidR="00E92F67" w:rsidRPr="00DC3374" w:rsidP="00E81188" w14:paraId="3BA91E77" w14:textId="77777777">
      <w:pPr>
        <w:pStyle w:val="ListParagraph"/>
        <w:spacing w:line="269" w:lineRule="auto"/>
        <w:ind w:left="-1"/>
        <w:jc w:val="center"/>
        <w:rPr>
          <w:b/>
          <w:bCs/>
          <w:u w:val="single"/>
          <w:rtl/>
        </w:rPr>
      </w:pPr>
      <w:r w:rsidRPr="00DC3374">
        <w:rPr>
          <w:b/>
          <w:bCs/>
          <w:noProof/>
        </w:rPr>
        <w:drawing>
          <wp:inline distT="0" distB="0" distL="0" distR="0">
            <wp:extent cx="5768422" cy="4210050"/>
            <wp:effectExtent l="0" t="0" r="3810" b="0"/>
            <wp:docPr id="125" name="תמונה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32135" name="Picture 2"/>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8422" cy="4210050"/>
                    </a:xfrm>
                    <a:prstGeom prst="rect">
                      <a:avLst/>
                    </a:prstGeom>
                    <a:noFill/>
                  </pic:spPr>
                </pic:pic>
              </a:graphicData>
            </a:graphic>
          </wp:inline>
        </w:drawing>
      </w:r>
    </w:p>
    <w:p w:rsidR="00E92F67" w:rsidRPr="00DC3374" w:rsidP="00E81188" w14:paraId="62028389" w14:textId="77777777">
      <w:pPr>
        <w:pStyle w:val="ListParagraph"/>
        <w:spacing w:line="269" w:lineRule="auto"/>
        <w:ind w:left="-1"/>
        <w:rPr>
          <w:szCs w:val="20"/>
          <w:rtl/>
        </w:rPr>
      </w:pPr>
      <w:r w:rsidRPr="00DC3374">
        <w:rPr>
          <w:rFonts w:hint="cs"/>
          <w:szCs w:val="20"/>
          <w:rtl/>
        </w:rPr>
        <w:t>על פי נתוני משרד הבריאות, פקע"ר והמשטרה, בעיבוד משרד מבקר המדינה.</w:t>
      </w:r>
    </w:p>
    <w:p w:rsidR="00E92F67" w:rsidP="00E81188" w14:paraId="157D037A" w14:textId="4653482A">
      <w:pPr>
        <w:spacing w:line="269" w:lineRule="auto"/>
        <w:jc w:val="left"/>
        <w:rPr>
          <w:szCs w:val="20"/>
          <w:rtl/>
        </w:rPr>
      </w:pPr>
      <w:r w:rsidRPr="00DC3374">
        <w:rPr>
          <w:rFonts w:hint="cs"/>
          <w:szCs w:val="20"/>
          <w:rtl/>
        </w:rPr>
        <w:t xml:space="preserve">* הנתונים על מוקד פקע"ר נכונים </w:t>
      </w:r>
      <w:r>
        <w:rPr>
          <w:rFonts w:hint="cs"/>
          <w:szCs w:val="20"/>
          <w:rtl/>
        </w:rPr>
        <w:t xml:space="preserve">מיום </w:t>
      </w:r>
      <w:r w:rsidRPr="00DC3374">
        <w:rPr>
          <w:rFonts w:hint="cs"/>
          <w:szCs w:val="20"/>
          <w:rtl/>
        </w:rPr>
        <w:t>19.3.20.</w:t>
      </w:r>
    </w:p>
    <w:p w:rsidR="00094DD9" w:rsidRPr="00DC3374" w:rsidP="00E81188" w14:paraId="040456EB" w14:textId="77777777">
      <w:pPr>
        <w:spacing w:line="269" w:lineRule="auto"/>
        <w:jc w:val="left"/>
        <w:rPr>
          <w:szCs w:val="20"/>
          <w:rtl/>
        </w:rPr>
      </w:pPr>
    </w:p>
    <w:p w:rsidR="00E92F67" w:rsidRPr="00DC3374" w:rsidP="00E81188" w14:paraId="77FB1797" w14:textId="402B3C8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6C4E580" w14:textId="77777777">
      <w:pPr>
        <w:pStyle w:val="ListParagraph"/>
        <w:spacing w:line="269" w:lineRule="auto"/>
        <w:ind w:left="-1"/>
        <w:rPr>
          <w:b/>
          <w:bCs/>
          <w:rtl/>
        </w:rPr>
      </w:pPr>
      <w:r w:rsidRPr="00DC3374">
        <w:rPr>
          <w:rFonts w:hint="cs"/>
          <w:b/>
          <w:bCs/>
          <w:rtl/>
        </w:rPr>
        <w:t xml:space="preserve">מהתרשים עולה כי במהלך התקופה שנבדקה, מלבד בימי הסגר הראשון והימים שלאחריו, מספר השיחות שנכנסו למוקד משרד הבריאות במהלך שבוע </w:t>
      </w:r>
      <w:r w:rsidRPr="00DC3374">
        <w:rPr>
          <w:rFonts w:hint="eastAsia"/>
          <w:b/>
          <w:bCs/>
          <w:rtl/>
        </w:rPr>
        <w:t>היה</w:t>
      </w:r>
      <w:r w:rsidRPr="00DC3374">
        <w:rPr>
          <w:b/>
          <w:bCs/>
          <w:rtl/>
        </w:rPr>
        <w:t xml:space="preserve"> </w:t>
      </w:r>
      <w:r w:rsidRPr="00DC3374">
        <w:rPr>
          <w:rFonts w:hint="eastAsia"/>
          <w:b/>
          <w:bCs/>
          <w:rtl/>
        </w:rPr>
        <w:t>גבוה</w:t>
      </w:r>
      <w:r w:rsidRPr="00DC3374">
        <w:rPr>
          <w:b/>
          <w:bCs/>
          <w:rtl/>
        </w:rPr>
        <w:t xml:space="preserve"> </w:t>
      </w:r>
      <w:r w:rsidRPr="00DC3374">
        <w:rPr>
          <w:rFonts w:hint="eastAsia"/>
          <w:b/>
          <w:bCs/>
          <w:rtl/>
        </w:rPr>
        <w:t>במידה</w:t>
      </w:r>
      <w:r w:rsidRPr="00DC3374">
        <w:rPr>
          <w:b/>
          <w:bCs/>
          <w:rtl/>
        </w:rPr>
        <w:t xml:space="preserve"> </w:t>
      </w:r>
      <w:r w:rsidRPr="00DC3374">
        <w:rPr>
          <w:rFonts w:hint="eastAsia"/>
          <w:b/>
          <w:bCs/>
          <w:rtl/>
        </w:rPr>
        <w:t>ניכרת</w:t>
      </w:r>
      <w:r w:rsidRPr="00DC3374">
        <w:rPr>
          <w:b/>
          <w:bCs/>
          <w:rtl/>
        </w:rPr>
        <w:t xml:space="preserve"> </w:t>
      </w:r>
      <w:r w:rsidRPr="00DC3374">
        <w:rPr>
          <w:rFonts w:hint="eastAsia"/>
          <w:b/>
          <w:bCs/>
          <w:rtl/>
        </w:rPr>
        <w:t>ממספר</w:t>
      </w:r>
      <w:r w:rsidRPr="00DC3374">
        <w:rPr>
          <w:rFonts w:hint="cs"/>
          <w:b/>
          <w:bCs/>
          <w:rtl/>
        </w:rPr>
        <w:t xml:space="preserve"> השיחות שנכנסו למוקד פקע"ר ולמוקד המשטרה (ב-26 מתוך 33 שבועות). בימי היציאה מהסגר השני הפער הצטמצם. שיא היקף השיחות השבועיות בתקופה זו היה בתחילת יולי - יותר מ-150,000 שיחות למוקד משרד הבריאות לעומת כ-32,000 שיחות במוקד פקע"ר (כמעט פי חמישה). יצוין כי העלייה בהיקף השיחות למוקד משרד הבריאות חלה לנוכח הוראת שעה שחוקקה הכנסת, ולפיה שירות הביטחון הכללי הוסמך לאכן מכשירי טלפון ניידים כדי לזהות נתוני מיקום ותנועה של חולים וכדי לזהות אנשים שבאו במגע קרוב עם החולה</w:t>
      </w:r>
      <w:r>
        <w:rPr>
          <w:rStyle w:val="FootnoteReference1"/>
          <w:b/>
          <w:bCs/>
          <w:rtl/>
        </w:rPr>
        <w:footnoteReference w:id="57"/>
      </w:r>
      <w:r w:rsidRPr="00DC3374">
        <w:rPr>
          <w:rFonts w:hint="cs"/>
          <w:b/>
          <w:bCs/>
          <w:rtl/>
        </w:rPr>
        <w:t>. על השירות היה להעביר את המידע הזה למשרד הבריאות, ועל המשרד היה לשלוח מסרונים למספרי הטלפון של מי שהיו במגע עם החולים כדי שאלו ייכנסו לבידוד. אדם שקיבל מסרון כזה, יכול היה להגיש ערעור על ההחלטה. בעקבות איכון המכשירים האלו גדל מספר הפניות למשרד הבריאות הנוגעות להוראה להיכנס לבידוד</w:t>
      </w:r>
      <w:r>
        <w:rPr>
          <w:rStyle w:val="FootnoteReference1"/>
          <w:b/>
          <w:bCs/>
          <w:rtl/>
        </w:rPr>
        <w:footnoteReference w:id="58"/>
      </w:r>
      <w:r w:rsidRPr="00DC3374">
        <w:rPr>
          <w:rFonts w:hint="cs"/>
          <w:b/>
          <w:bCs/>
          <w:rtl/>
        </w:rPr>
        <w:t>. בתחילת ספטמבר, עם העלייה במספר החולים ולפני תחילת הסגר השני, נמדד שיא של פניות ושיא בפער הפניות בין המוקדים: יותר מ-200,000 פניות בשבוע למשרד הבריאות, פי 15 ממספר השיחות בשבוע למוקד פקע"ר (כ-13,000 פניות) וכמעט פי 30 ממספר השיחות למוקד המשטרה (כ-7,000 פניות).</w:t>
      </w:r>
    </w:p>
    <w:p w:rsidR="00E92F67" w:rsidRPr="00DC3374" w:rsidP="00E81188" w14:paraId="7AA56432" w14:textId="77777777">
      <w:pPr>
        <w:spacing w:line="269" w:lineRule="auto"/>
        <w:rPr>
          <w:rtl/>
        </w:rPr>
      </w:pPr>
    </w:p>
    <w:p w:rsidR="00E92F67" w:rsidRPr="00DC3374" w:rsidP="00E81188" w14:paraId="3601C661" w14:textId="77777777">
      <w:pPr>
        <w:pStyle w:val="Heading5"/>
        <w:spacing w:line="269" w:lineRule="auto"/>
        <w:rPr>
          <w:rtl/>
        </w:rPr>
      </w:pPr>
      <w:r w:rsidRPr="00DC3374">
        <w:rPr>
          <w:rFonts w:hint="cs"/>
          <w:rtl/>
        </w:rPr>
        <w:t xml:space="preserve">שיחות שלא נענו </w:t>
      </w:r>
    </w:p>
    <w:p w:rsidR="00E92F67" w:rsidRPr="00DC3374" w:rsidP="00E81188" w14:paraId="7D244695" w14:textId="113E41E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3B4D00A" w14:textId="77777777">
      <w:pPr>
        <w:pStyle w:val="ListParagraph"/>
        <w:spacing w:line="269" w:lineRule="auto"/>
        <w:ind w:left="-1"/>
        <w:rPr>
          <w:rtl/>
        </w:rPr>
      </w:pPr>
      <w:r w:rsidRPr="00DC3374">
        <w:rPr>
          <w:rFonts w:hint="cs"/>
          <w:rtl/>
        </w:rPr>
        <w:t xml:space="preserve">כל מוקד טלפוני יכול לקבל מספר מסוים של שיחות בו-זמנית, עד למספר המרבי הנגזר ממאפייני התשתית הטכנולוגית של המוקד ומההסכם שנקבע בין הגוף שמפעיל את המוקד לבין ספק התשתית שלו. </w:t>
      </w:r>
    </w:p>
    <w:p w:rsidR="00E92F67" w:rsidRPr="00DC3374" w:rsidP="00E81188" w14:paraId="7A9E1108" w14:textId="30090B5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D00546C" w14:textId="77777777">
      <w:pPr>
        <w:pStyle w:val="ListParagraph"/>
        <w:spacing w:line="269" w:lineRule="auto"/>
        <w:ind w:left="-1"/>
        <w:rPr>
          <w:rtl/>
        </w:rPr>
      </w:pPr>
      <w:r w:rsidRPr="00DC3374">
        <w:rPr>
          <w:rFonts w:hint="cs"/>
          <w:rtl/>
        </w:rPr>
        <w:t xml:space="preserve">כאשר אדם מתקשר למוקד, שיחתו עוברת בנתב, וממנו היא מגיעה למוקד. </w:t>
      </w:r>
      <w:r w:rsidRPr="00DC3374">
        <w:rPr>
          <w:rtl/>
        </w:rPr>
        <w:t>לע</w:t>
      </w:r>
      <w:r w:rsidRPr="00DC3374">
        <w:rPr>
          <w:rFonts w:hint="cs"/>
          <w:rtl/>
        </w:rPr>
        <w:t>י</w:t>
      </w:r>
      <w:r w:rsidRPr="00DC3374">
        <w:rPr>
          <w:rtl/>
        </w:rPr>
        <w:t xml:space="preserve">תים, </w:t>
      </w:r>
      <w:r w:rsidRPr="00DC3374">
        <w:rPr>
          <w:rFonts w:hint="cs"/>
          <w:rtl/>
        </w:rPr>
        <w:t>לאחר שהשיחה מגיעה למוקד, הפונה מקבל מידע באמצעות הודעה מוקלטת, אם לצורך הכוונה לשלוחות של גורמים מטפלים, ואם לצורך מתן מידע כללי. הפונה מתבקש להקיש את מספרה של אחת מהשלוחות, בהתאם לנושא שברצונו לברר, ולהמתין למענה של מוקדן. שיחה תגיע אפוא למוקדן אם עברה בהצלחה את הנתב, והפונה הקיש את מספרה של אחת השלוחות</w:t>
      </w:r>
      <w:r>
        <w:rPr>
          <w:rStyle w:val="FootnoteReference1"/>
          <w:rtl/>
        </w:rPr>
        <w:footnoteReference w:id="59"/>
      </w:r>
      <w:r w:rsidRPr="00DC3374">
        <w:rPr>
          <w:rFonts w:hint="cs"/>
          <w:rtl/>
        </w:rPr>
        <w:t xml:space="preserve">. כאשר מספר השיחות שמתקבלות בו-זמנית עובר את הקיבולת המרבית בנתב, השיחה מתנתקת מיידית. </w:t>
      </w:r>
    </w:p>
    <w:p w:rsidR="00E92F67" w:rsidRPr="00DC3374" w:rsidP="00E81188" w14:paraId="30B37818" w14:textId="115314D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01307C8" w14:textId="77777777">
      <w:pPr>
        <w:pStyle w:val="ListParagraph"/>
        <w:numPr>
          <w:ilvl w:val="0"/>
          <w:numId w:val="24"/>
        </w:numPr>
        <w:spacing w:line="269" w:lineRule="auto"/>
        <w:ind w:left="312"/>
        <w:rPr>
          <w:rtl/>
        </w:rPr>
      </w:pPr>
      <w:r w:rsidRPr="00DC3374">
        <w:rPr>
          <w:rFonts w:hint="cs"/>
          <w:rtl/>
        </w:rPr>
        <w:t>משרד מבקר המדינה בדק באיזו מידה הגיעו שיחות הטלפון מהציבור ליעדן - למוקדים הטלפוניים של משרד הבריאות, של פקע"ר ושל המשטרה; האם היו שיחות שנותקו בלי שנענו; ומה היה שיעור השיחות שנענו.</w:t>
      </w:r>
    </w:p>
    <w:p w:rsidR="00E92F67" w:rsidRPr="00DC3374" w:rsidP="00E81188" w14:paraId="251E8668" w14:textId="16E06B6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F171C46" w14:textId="77777777">
      <w:pPr>
        <w:spacing w:line="269" w:lineRule="auto"/>
        <w:ind w:left="312"/>
      </w:pPr>
      <w:r w:rsidRPr="00DC3374">
        <w:rPr>
          <w:rFonts w:hint="cs"/>
          <w:rtl/>
        </w:rPr>
        <w:t>בלוחות ש</w:t>
      </w:r>
      <w:r w:rsidRPr="00DC3374">
        <w:rPr>
          <w:rFonts w:hint="eastAsia"/>
          <w:rtl/>
        </w:rPr>
        <w:t>להלן</w:t>
      </w:r>
      <w:r w:rsidRPr="00DC3374">
        <w:rPr>
          <w:rtl/>
        </w:rPr>
        <w:t xml:space="preserve"> </w:t>
      </w:r>
      <w:r w:rsidRPr="00DC3374">
        <w:rPr>
          <w:rFonts w:hint="eastAsia"/>
          <w:rtl/>
        </w:rPr>
        <w:t>נתונים</w:t>
      </w:r>
      <w:r w:rsidRPr="00DC3374">
        <w:rPr>
          <w:rtl/>
        </w:rPr>
        <w:t xml:space="preserve"> על </w:t>
      </w:r>
      <w:r w:rsidRPr="00DC3374">
        <w:rPr>
          <w:rFonts w:hint="eastAsia"/>
          <w:rtl/>
        </w:rPr>
        <w:t>מספר</w:t>
      </w:r>
      <w:r w:rsidRPr="00DC3374">
        <w:rPr>
          <w:rtl/>
        </w:rPr>
        <w:t xml:space="preserve"> </w:t>
      </w:r>
      <w:r w:rsidRPr="00DC3374">
        <w:rPr>
          <w:rFonts w:hint="cs"/>
          <w:rtl/>
        </w:rPr>
        <w:t>הפניות שהגיעו למוקד משרד הבריאות (5400*) ולמוקד המידע של המשטרה (110). הנתונים שלהלן כוללים את המידע הזה:</w:t>
      </w:r>
    </w:p>
    <w:p w:rsidR="00E92F67" w:rsidRPr="00DC3374" w:rsidP="00E81188" w14:paraId="54A470C3" w14:textId="77777777">
      <w:pPr>
        <w:pStyle w:val="ListParagraph"/>
        <w:numPr>
          <w:ilvl w:val="0"/>
          <w:numId w:val="20"/>
        </w:numPr>
        <w:spacing w:line="269" w:lineRule="auto"/>
        <w:ind w:left="709"/>
      </w:pPr>
      <w:r w:rsidRPr="00DC3374">
        <w:rPr>
          <w:rFonts w:hint="cs"/>
          <w:rtl/>
        </w:rPr>
        <w:t xml:space="preserve"> סך השיחות שבהן הפונים חייגו למוקד הרלוונטי (*5400 או 110). פניות אלו נוגעות לכלל הנושאים, לרבות נושא הקורונה.</w:t>
      </w:r>
    </w:p>
    <w:p w:rsidR="00E92F67" w:rsidRPr="00DC3374" w:rsidP="00E81188" w14:paraId="4386BFAF" w14:textId="77777777">
      <w:pPr>
        <w:pStyle w:val="ListParagraph"/>
        <w:numPr>
          <w:ilvl w:val="0"/>
          <w:numId w:val="20"/>
        </w:numPr>
        <w:spacing w:line="269" w:lineRule="auto"/>
        <w:ind w:left="709"/>
      </w:pPr>
      <w:r w:rsidRPr="00DC3374">
        <w:rPr>
          <w:rFonts w:hint="cs"/>
          <w:rtl/>
        </w:rPr>
        <w:t xml:space="preserve">מספר השיחות שנותקו לפני הגעתן למוקד (לרבות עקב מגבלת הקיבולת של הנתב). </w:t>
      </w:r>
    </w:p>
    <w:p w:rsidR="00E92F67" w:rsidRPr="00DC3374" w:rsidP="00E81188" w14:paraId="2374640F" w14:textId="77777777">
      <w:pPr>
        <w:pStyle w:val="ListParagraph"/>
        <w:numPr>
          <w:ilvl w:val="0"/>
          <w:numId w:val="20"/>
        </w:numPr>
        <w:spacing w:line="269" w:lineRule="auto"/>
        <w:ind w:left="709"/>
      </w:pPr>
      <w:r w:rsidRPr="00DC3374">
        <w:rPr>
          <w:rFonts w:hint="cs"/>
          <w:rtl/>
        </w:rPr>
        <w:t>מספר השיחות שנכנסו למוקד ועסקו בנושא הקורונה (בין שנענו, ובין שלא נענו בידי מוקדן).</w:t>
      </w:r>
    </w:p>
    <w:p w:rsidR="00E92F67" w:rsidRPr="00DC3374" w:rsidP="00E81188" w14:paraId="432F51DD" w14:textId="77777777">
      <w:pPr>
        <w:pStyle w:val="ListParagraph"/>
        <w:numPr>
          <w:ilvl w:val="0"/>
          <w:numId w:val="20"/>
        </w:numPr>
        <w:spacing w:line="269" w:lineRule="auto"/>
        <w:ind w:left="709"/>
      </w:pPr>
      <w:r w:rsidRPr="00DC3374">
        <w:rPr>
          <w:rFonts w:hint="cs"/>
          <w:rtl/>
        </w:rPr>
        <w:t xml:space="preserve">מספר השיחות שעסקו בנושא הקורונה ונענו בידי מוקדן. </w:t>
      </w:r>
    </w:p>
    <w:p w:rsidR="00E92F67" w:rsidRPr="00DC3374" w:rsidP="00E81188" w14:paraId="096470E4" w14:textId="77777777">
      <w:pPr>
        <w:pStyle w:val="ListParagraph"/>
        <w:numPr>
          <w:ilvl w:val="0"/>
          <w:numId w:val="20"/>
        </w:numPr>
        <w:spacing w:line="269" w:lineRule="auto"/>
        <w:ind w:left="709"/>
      </w:pPr>
      <w:r w:rsidRPr="00DC3374">
        <w:rPr>
          <w:rFonts w:hint="cs"/>
          <w:rtl/>
        </w:rPr>
        <w:t xml:space="preserve">מספר הפניות בערוצים דיגיטליים אחרים, כגון דואר אלקטרוני, הודעות </w:t>
      </w:r>
      <w:r w:rsidRPr="00DC3374">
        <w:rPr>
          <w:sz w:val="22"/>
          <w:szCs w:val="22"/>
        </w:rPr>
        <w:t>WhatsApp</w:t>
      </w:r>
      <w:r w:rsidRPr="00DC3374">
        <w:rPr>
          <w:rFonts w:hint="cs"/>
          <w:rtl/>
        </w:rPr>
        <w:t xml:space="preserve"> והתכתבויות באמצעות בינה מלאכותית ("צ'אט בוט").</w:t>
      </w:r>
    </w:p>
    <w:p w:rsidR="00E92F67" w:rsidRPr="00DC3374" w:rsidP="00E81188" w14:paraId="6D4B99FE" w14:textId="57EEBFC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85F83D6" w14:textId="77777777">
      <w:pPr>
        <w:pStyle w:val="ListParagraph"/>
        <w:spacing w:line="269" w:lineRule="auto"/>
        <w:ind w:left="-1"/>
        <w:jc w:val="center"/>
        <w:rPr>
          <w:b/>
          <w:bCs/>
          <w:rtl/>
        </w:rPr>
      </w:pPr>
      <w:r w:rsidRPr="00DC3374">
        <w:rPr>
          <w:rFonts w:hint="eastAsia"/>
          <w:b/>
          <w:bCs/>
          <w:rtl/>
        </w:rPr>
        <w:t>לוח</w:t>
      </w:r>
      <w:r w:rsidRPr="00DC3374">
        <w:rPr>
          <w:b/>
          <w:bCs/>
          <w:rtl/>
        </w:rPr>
        <w:t xml:space="preserve"> 1: </w:t>
      </w:r>
      <w:r w:rsidRPr="00DC3374">
        <w:rPr>
          <w:rFonts w:hint="eastAsia"/>
          <w:b/>
          <w:bCs/>
          <w:rtl/>
        </w:rPr>
        <w:t>הפניות</w:t>
      </w:r>
      <w:r w:rsidRPr="00DC3374">
        <w:rPr>
          <w:b/>
          <w:bCs/>
          <w:rtl/>
        </w:rPr>
        <w:t xml:space="preserve"> </w:t>
      </w:r>
      <w:r w:rsidRPr="00DC3374">
        <w:rPr>
          <w:rFonts w:hint="eastAsia"/>
          <w:b/>
          <w:bCs/>
          <w:rtl/>
        </w:rPr>
        <w:t>למוקד</w:t>
      </w:r>
      <w:r w:rsidRPr="00DC3374">
        <w:rPr>
          <w:b/>
          <w:bCs/>
          <w:rtl/>
        </w:rPr>
        <w:t xml:space="preserve"> </w:t>
      </w:r>
      <w:r w:rsidRPr="00DC3374">
        <w:rPr>
          <w:rFonts w:hint="eastAsia"/>
          <w:b/>
          <w:bCs/>
          <w:rtl/>
        </w:rPr>
        <w:t>משרד</w:t>
      </w:r>
      <w:r w:rsidRPr="00DC3374">
        <w:rPr>
          <w:b/>
          <w:bCs/>
          <w:rtl/>
        </w:rPr>
        <w:t xml:space="preserve"> </w:t>
      </w:r>
      <w:r w:rsidRPr="00DC3374">
        <w:rPr>
          <w:rFonts w:hint="eastAsia"/>
          <w:b/>
          <w:bCs/>
          <w:rtl/>
        </w:rPr>
        <w:t>הבריאות</w:t>
      </w:r>
      <w:r w:rsidRPr="00DC3374">
        <w:rPr>
          <w:b/>
          <w:bCs/>
          <w:rtl/>
        </w:rPr>
        <w:t xml:space="preserve">, מרץ-אוקטובר 2020 </w:t>
      </w:r>
      <w:r w:rsidRPr="00DC3374">
        <w:rPr>
          <w:rFonts w:hint="cs"/>
          <w:b/>
          <w:bCs/>
          <w:rtl/>
        </w:rPr>
        <w:t>(באלפים, מעוגל)</w:t>
      </w:r>
    </w:p>
    <w:tbl>
      <w:tblPr>
        <w:tblStyle w:val="GridTable4Accent5"/>
        <w:bidiVisual/>
        <w:tblW w:w="8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8"/>
        <w:gridCol w:w="1069"/>
        <w:gridCol w:w="1068"/>
        <w:gridCol w:w="1069"/>
        <w:gridCol w:w="1068"/>
        <w:gridCol w:w="1069"/>
        <w:gridCol w:w="1068"/>
        <w:gridCol w:w="1069"/>
      </w:tblGrid>
      <w:tr w14:paraId="056EFE4B" w14:textId="77777777" w:rsidTr="009427E0">
        <w:tblPrEx>
          <w:tblW w:w="8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905"/>
          <w:jc w:val="center"/>
        </w:trPr>
        <w:tc>
          <w:tcPr>
            <w:tcW w:w="1068" w:type="dxa"/>
            <w:tcBorders>
              <w:top w:val="none" w:sz="0" w:space="0" w:color="auto"/>
              <w:left w:val="none" w:sz="0" w:space="0" w:color="auto"/>
              <w:bottom w:val="none" w:sz="0" w:space="0" w:color="auto"/>
              <w:right w:val="none" w:sz="0" w:space="0" w:color="auto"/>
            </w:tcBorders>
            <w:noWrap/>
            <w:hideMark/>
          </w:tcPr>
          <w:p w:rsidR="00E92F67" w:rsidRPr="009427E0" w:rsidP="00F26F18" w14:paraId="53516535" w14:textId="77777777">
            <w:pPr>
              <w:spacing w:line="269" w:lineRule="auto"/>
              <w:jc w:val="left"/>
              <w:rPr>
                <w:sz w:val="22"/>
                <w:szCs w:val="22"/>
                <w:rtl/>
              </w:rPr>
            </w:pPr>
            <w:r w:rsidRPr="009427E0">
              <w:rPr>
                <w:sz w:val="22"/>
                <w:szCs w:val="22"/>
                <w:rtl/>
              </w:rPr>
              <w:t>חודש</w:t>
            </w:r>
          </w:p>
        </w:tc>
        <w:tc>
          <w:tcPr>
            <w:tcW w:w="1069" w:type="dxa"/>
            <w:tcBorders>
              <w:top w:val="none" w:sz="0" w:space="0" w:color="auto"/>
              <w:left w:val="none" w:sz="0" w:space="0" w:color="auto"/>
              <w:bottom w:val="none" w:sz="0" w:space="0" w:color="auto"/>
              <w:right w:val="none" w:sz="0" w:space="0" w:color="auto"/>
            </w:tcBorders>
            <w:hideMark/>
          </w:tcPr>
          <w:p w:rsidR="00E92F67" w:rsidRPr="009427E0" w:rsidP="00F26F18" w14:paraId="74A4927E" w14:textId="77777777">
            <w:pPr>
              <w:spacing w:line="269" w:lineRule="auto"/>
              <w:jc w:val="left"/>
              <w:rPr>
                <w:sz w:val="22"/>
                <w:szCs w:val="22"/>
                <w:rtl/>
              </w:rPr>
            </w:pPr>
            <w:r w:rsidRPr="009427E0">
              <w:rPr>
                <w:sz w:val="22"/>
                <w:szCs w:val="22"/>
                <w:rtl/>
              </w:rPr>
              <w:t xml:space="preserve">מספר </w:t>
            </w:r>
            <w:r w:rsidRPr="009427E0">
              <w:rPr>
                <w:rFonts w:hint="cs"/>
                <w:sz w:val="22"/>
                <w:szCs w:val="22"/>
                <w:rtl/>
              </w:rPr>
              <w:t>השיחות שחויגו למוקד</w:t>
            </w:r>
          </w:p>
        </w:tc>
        <w:tc>
          <w:tcPr>
            <w:tcW w:w="1068" w:type="dxa"/>
            <w:tcBorders>
              <w:top w:val="none" w:sz="0" w:space="0" w:color="auto"/>
              <w:left w:val="none" w:sz="0" w:space="0" w:color="auto"/>
              <w:bottom w:val="none" w:sz="0" w:space="0" w:color="auto"/>
              <w:right w:val="none" w:sz="0" w:space="0" w:color="auto"/>
            </w:tcBorders>
            <w:hideMark/>
          </w:tcPr>
          <w:p w:rsidR="00E92F67" w:rsidRPr="009427E0" w:rsidP="00F26F18" w14:paraId="6894EFB8" w14:textId="77777777">
            <w:pPr>
              <w:spacing w:line="269" w:lineRule="auto"/>
              <w:jc w:val="left"/>
              <w:rPr>
                <w:sz w:val="22"/>
                <w:szCs w:val="22"/>
                <w:rtl/>
              </w:rPr>
            </w:pPr>
            <w:r w:rsidRPr="009427E0">
              <w:rPr>
                <w:sz w:val="22"/>
                <w:szCs w:val="22"/>
                <w:rtl/>
              </w:rPr>
              <w:t xml:space="preserve">מספר השיחות שנותקו </w:t>
            </w:r>
            <w:r w:rsidRPr="009427E0">
              <w:rPr>
                <w:rFonts w:hint="cs"/>
                <w:sz w:val="22"/>
                <w:szCs w:val="22"/>
                <w:rtl/>
              </w:rPr>
              <w:t>לפני הגעתן למוקד</w:t>
            </w:r>
          </w:p>
        </w:tc>
        <w:tc>
          <w:tcPr>
            <w:tcW w:w="1069" w:type="dxa"/>
            <w:tcBorders>
              <w:top w:val="none" w:sz="0" w:space="0" w:color="auto"/>
              <w:left w:val="none" w:sz="0" w:space="0" w:color="auto"/>
              <w:bottom w:val="none" w:sz="0" w:space="0" w:color="auto"/>
              <w:right w:val="none" w:sz="0" w:space="0" w:color="auto"/>
            </w:tcBorders>
            <w:hideMark/>
          </w:tcPr>
          <w:p w:rsidR="00E92F67" w:rsidRPr="009427E0" w:rsidP="00F26F18" w14:paraId="34BD611A" w14:textId="77777777">
            <w:pPr>
              <w:spacing w:line="269" w:lineRule="auto"/>
              <w:jc w:val="left"/>
              <w:rPr>
                <w:sz w:val="22"/>
                <w:szCs w:val="22"/>
                <w:rtl/>
              </w:rPr>
            </w:pPr>
            <w:r w:rsidRPr="009427E0">
              <w:rPr>
                <w:sz w:val="22"/>
                <w:szCs w:val="22"/>
                <w:rtl/>
              </w:rPr>
              <w:t>שיעור השיחות שנותקו</w:t>
            </w:r>
            <w:r w:rsidRPr="009427E0">
              <w:rPr>
                <w:rFonts w:hint="cs"/>
                <w:sz w:val="22"/>
                <w:szCs w:val="22"/>
                <w:rtl/>
              </w:rPr>
              <w:t xml:space="preserve"> לפני הגעתן למוקד</w:t>
            </w:r>
          </w:p>
        </w:tc>
        <w:tc>
          <w:tcPr>
            <w:tcW w:w="1068" w:type="dxa"/>
            <w:tcBorders>
              <w:top w:val="none" w:sz="0" w:space="0" w:color="auto"/>
              <w:left w:val="none" w:sz="0" w:space="0" w:color="auto"/>
              <w:bottom w:val="none" w:sz="0" w:space="0" w:color="auto"/>
              <w:right w:val="none" w:sz="0" w:space="0" w:color="auto"/>
            </w:tcBorders>
            <w:hideMark/>
          </w:tcPr>
          <w:p w:rsidR="00E92F67" w:rsidRPr="009427E0" w:rsidP="00F26F18" w14:paraId="6042F491" w14:textId="77777777">
            <w:pPr>
              <w:spacing w:line="269" w:lineRule="auto"/>
              <w:jc w:val="left"/>
              <w:rPr>
                <w:sz w:val="22"/>
                <w:szCs w:val="22"/>
                <w:rtl/>
              </w:rPr>
            </w:pPr>
            <w:r w:rsidRPr="009427E0">
              <w:rPr>
                <w:rFonts w:hint="cs"/>
                <w:sz w:val="22"/>
                <w:szCs w:val="22"/>
                <w:rtl/>
              </w:rPr>
              <w:t>מספר ה</w:t>
            </w:r>
            <w:r w:rsidRPr="009427E0">
              <w:rPr>
                <w:sz w:val="22"/>
                <w:szCs w:val="22"/>
                <w:rtl/>
              </w:rPr>
              <w:t>שיחות</w:t>
            </w:r>
            <w:r w:rsidRPr="009427E0">
              <w:rPr>
                <w:rFonts w:hint="cs"/>
                <w:sz w:val="22"/>
                <w:szCs w:val="22"/>
                <w:rtl/>
              </w:rPr>
              <w:t xml:space="preserve"> שנכנסו למוקד ועסקו בנושא ה</w:t>
            </w:r>
            <w:r w:rsidRPr="009427E0">
              <w:rPr>
                <w:sz w:val="22"/>
                <w:szCs w:val="22"/>
                <w:rtl/>
              </w:rPr>
              <w:t>קורונה</w:t>
            </w:r>
          </w:p>
        </w:tc>
        <w:tc>
          <w:tcPr>
            <w:tcW w:w="1069" w:type="dxa"/>
            <w:tcBorders>
              <w:top w:val="none" w:sz="0" w:space="0" w:color="auto"/>
              <w:left w:val="none" w:sz="0" w:space="0" w:color="auto"/>
              <w:bottom w:val="none" w:sz="0" w:space="0" w:color="auto"/>
              <w:right w:val="none" w:sz="0" w:space="0" w:color="auto"/>
            </w:tcBorders>
            <w:hideMark/>
          </w:tcPr>
          <w:p w:rsidR="00E92F67" w:rsidRPr="009427E0" w:rsidP="00F26F18" w14:paraId="03AD3B84" w14:textId="77777777">
            <w:pPr>
              <w:spacing w:line="269" w:lineRule="auto"/>
              <w:jc w:val="left"/>
              <w:rPr>
                <w:sz w:val="22"/>
                <w:szCs w:val="22"/>
                <w:rtl/>
              </w:rPr>
            </w:pPr>
            <w:r w:rsidRPr="009427E0">
              <w:rPr>
                <w:rFonts w:hint="cs"/>
                <w:sz w:val="22"/>
                <w:szCs w:val="22"/>
                <w:rtl/>
              </w:rPr>
              <w:t>מספר ה</w:t>
            </w:r>
            <w:r w:rsidRPr="009427E0">
              <w:rPr>
                <w:sz w:val="22"/>
                <w:szCs w:val="22"/>
                <w:rtl/>
              </w:rPr>
              <w:t xml:space="preserve">שיחות שנענו </w:t>
            </w:r>
            <w:r w:rsidRPr="009427E0">
              <w:rPr>
                <w:rFonts w:hint="cs"/>
                <w:sz w:val="22"/>
                <w:szCs w:val="22"/>
                <w:rtl/>
              </w:rPr>
              <w:t>בידי מוקדן בנושא ה</w:t>
            </w:r>
            <w:r w:rsidRPr="009427E0">
              <w:rPr>
                <w:sz w:val="22"/>
                <w:szCs w:val="22"/>
                <w:rtl/>
              </w:rPr>
              <w:t>קורונה</w:t>
            </w:r>
          </w:p>
        </w:tc>
        <w:tc>
          <w:tcPr>
            <w:tcW w:w="1068" w:type="dxa"/>
            <w:tcBorders>
              <w:top w:val="none" w:sz="0" w:space="0" w:color="auto"/>
              <w:left w:val="none" w:sz="0" w:space="0" w:color="auto"/>
              <w:bottom w:val="none" w:sz="0" w:space="0" w:color="auto"/>
              <w:right w:val="none" w:sz="0" w:space="0" w:color="auto"/>
            </w:tcBorders>
            <w:hideMark/>
          </w:tcPr>
          <w:p w:rsidR="00E92F67" w:rsidRPr="009427E0" w:rsidP="00F26F18" w14:paraId="27D0EC74" w14:textId="77777777">
            <w:pPr>
              <w:spacing w:line="269" w:lineRule="auto"/>
              <w:jc w:val="left"/>
              <w:rPr>
                <w:sz w:val="22"/>
                <w:szCs w:val="22"/>
                <w:rtl/>
              </w:rPr>
            </w:pPr>
            <w:r w:rsidRPr="009427E0">
              <w:rPr>
                <w:sz w:val="22"/>
                <w:szCs w:val="22"/>
                <w:rtl/>
              </w:rPr>
              <w:t>שיעור השיחות</w:t>
            </w:r>
            <w:r w:rsidRPr="009427E0">
              <w:rPr>
                <w:rFonts w:hint="cs"/>
                <w:sz w:val="22"/>
                <w:szCs w:val="22"/>
                <w:rtl/>
              </w:rPr>
              <w:t xml:space="preserve"> בנושא הקורונה </w:t>
            </w:r>
            <w:r w:rsidRPr="009427E0">
              <w:rPr>
                <w:sz w:val="22"/>
                <w:szCs w:val="22"/>
                <w:rtl/>
              </w:rPr>
              <w:t>שלא נענו</w:t>
            </w:r>
            <w:r w:rsidRPr="009427E0">
              <w:rPr>
                <w:rFonts w:hint="cs"/>
                <w:sz w:val="22"/>
                <w:szCs w:val="22"/>
                <w:rtl/>
              </w:rPr>
              <w:t xml:space="preserve"> בידי מוקדן</w:t>
            </w:r>
          </w:p>
        </w:tc>
        <w:tc>
          <w:tcPr>
            <w:tcW w:w="1069" w:type="dxa"/>
            <w:tcBorders>
              <w:top w:val="none" w:sz="0" w:space="0" w:color="auto"/>
              <w:left w:val="none" w:sz="0" w:space="0" w:color="auto"/>
              <w:bottom w:val="none" w:sz="0" w:space="0" w:color="auto"/>
              <w:right w:val="none" w:sz="0" w:space="0" w:color="auto"/>
            </w:tcBorders>
          </w:tcPr>
          <w:p w:rsidR="00E92F67" w:rsidRPr="009427E0" w:rsidP="00F26F18" w14:paraId="150BEC25" w14:textId="77777777">
            <w:pPr>
              <w:spacing w:line="269" w:lineRule="auto"/>
              <w:jc w:val="left"/>
              <w:rPr>
                <w:sz w:val="22"/>
                <w:szCs w:val="22"/>
                <w:rtl/>
              </w:rPr>
            </w:pPr>
            <w:r w:rsidRPr="009427E0">
              <w:rPr>
                <w:rFonts w:hint="cs"/>
                <w:sz w:val="22"/>
                <w:szCs w:val="22"/>
                <w:rtl/>
              </w:rPr>
              <w:t>מספר הפניות שנעשו בערוצים דיגיטליים אחרים</w:t>
            </w:r>
          </w:p>
        </w:tc>
      </w:tr>
      <w:tr w14:paraId="534652D1" w14:textId="77777777" w:rsidTr="009427E0">
        <w:tblPrEx>
          <w:tblW w:w="8548" w:type="dxa"/>
          <w:jc w:val="center"/>
          <w:tblLayout w:type="fixed"/>
          <w:tblLook w:val="04A0"/>
        </w:tblPrEx>
        <w:trPr>
          <w:trHeight w:val="256"/>
          <w:jc w:val="center"/>
        </w:trPr>
        <w:tc>
          <w:tcPr>
            <w:tcW w:w="1068" w:type="dxa"/>
            <w:noWrap/>
            <w:hideMark/>
          </w:tcPr>
          <w:p w:rsidR="00E92F67" w:rsidRPr="009427E0" w:rsidP="00E81188" w14:paraId="0E1E353A" w14:textId="77777777">
            <w:pPr>
              <w:spacing w:line="269" w:lineRule="auto"/>
              <w:rPr>
                <w:sz w:val="22"/>
                <w:szCs w:val="22"/>
                <w:rtl/>
              </w:rPr>
            </w:pPr>
            <w:r w:rsidRPr="009427E0">
              <w:rPr>
                <w:sz w:val="22"/>
                <w:szCs w:val="22"/>
                <w:rtl/>
              </w:rPr>
              <w:t>מרץ*</w:t>
            </w:r>
          </w:p>
        </w:tc>
        <w:tc>
          <w:tcPr>
            <w:tcW w:w="1069" w:type="dxa"/>
            <w:noWrap/>
            <w:hideMark/>
          </w:tcPr>
          <w:p w:rsidR="00E92F67" w:rsidRPr="009427E0" w:rsidP="00E81188" w14:paraId="37ECAB77" w14:textId="77777777">
            <w:pPr>
              <w:spacing w:line="269" w:lineRule="auto"/>
              <w:rPr>
                <w:sz w:val="22"/>
                <w:szCs w:val="22"/>
              </w:rPr>
            </w:pPr>
            <w:r w:rsidRPr="009427E0">
              <w:rPr>
                <w:sz w:val="22"/>
                <w:szCs w:val="22"/>
              </w:rPr>
              <w:t>1,054</w:t>
            </w:r>
          </w:p>
        </w:tc>
        <w:tc>
          <w:tcPr>
            <w:tcW w:w="1068" w:type="dxa"/>
            <w:noWrap/>
            <w:hideMark/>
          </w:tcPr>
          <w:p w:rsidR="00E92F67" w:rsidRPr="009427E0" w:rsidP="00E81188" w14:paraId="0D7AD351" w14:textId="77777777">
            <w:pPr>
              <w:spacing w:line="269" w:lineRule="auto"/>
              <w:rPr>
                <w:sz w:val="22"/>
                <w:szCs w:val="22"/>
              </w:rPr>
            </w:pPr>
            <w:r w:rsidRPr="009427E0">
              <w:rPr>
                <w:sz w:val="22"/>
                <w:szCs w:val="22"/>
              </w:rPr>
              <w:t>120</w:t>
            </w:r>
          </w:p>
        </w:tc>
        <w:tc>
          <w:tcPr>
            <w:tcW w:w="1069" w:type="dxa"/>
            <w:noWrap/>
            <w:hideMark/>
          </w:tcPr>
          <w:p w:rsidR="00E92F67" w:rsidRPr="009427E0" w:rsidP="00E81188" w14:paraId="3C099129" w14:textId="77777777">
            <w:pPr>
              <w:spacing w:line="269" w:lineRule="auto"/>
              <w:rPr>
                <w:sz w:val="22"/>
                <w:szCs w:val="22"/>
              </w:rPr>
            </w:pPr>
            <w:r w:rsidRPr="009427E0">
              <w:rPr>
                <w:sz w:val="22"/>
                <w:szCs w:val="22"/>
              </w:rPr>
              <w:t>11%</w:t>
            </w:r>
          </w:p>
        </w:tc>
        <w:tc>
          <w:tcPr>
            <w:tcW w:w="1068" w:type="dxa"/>
            <w:noWrap/>
            <w:hideMark/>
          </w:tcPr>
          <w:p w:rsidR="00E92F67" w:rsidRPr="009427E0" w:rsidP="00E81188" w14:paraId="5612975A" w14:textId="77777777">
            <w:pPr>
              <w:spacing w:line="269" w:lineRule="auto"/>
              <w:rPr>
                <w:sz w:val="22"/>
                <w:szCs w:val="22"/>
              </w:rPr>
            </w:pPr>
            <w:r w:rsidRPr="009427E0">
              <w:rPr>
                <w:sz w:val="22"/>
                <w:szCs w:val="22"/>
              </w:rPr>
              <w:t>305</w:t>
            </w:r>
          </w:p>
        </w:tc>
        <w:tc>
          <w:tcPr>
            <w:tcW w:w="1069" w:type="dxa"/>
            <w:noWrap/>
            <w:hideMark/>
          </w:tcPr>
          <w:p w:rsidR="00E92F67" w:rsidRPr="009427E0" w:rsidP="00E81188" w14:paraId="22454026" w14:textId="77777777">
            <w:pPr>
              <w:spacing w:line="269" w:lineRule="auto"/>
              <w:rPr>
                <w:sz w:val="22"/>
                <w:szCs w:val="22"/>
              </w:rPr>
            </w:pPr>
            <w:r w:rsidRPr="009427E0">
              <w:rPr>
                <w:sz w:val="22"/>
                <w:szCs w:val="22"/>
              </w:rPr>
              <w:t>151</w:t>
            </w:r>
          </w:p>
        </w:tc>
        <w:tc>
          <w:tcPr>
            <w:tcW w:w="1068" w:type="dxa"/>
            <w:noWrap/>
            <w:hideMark/>
          </w:tcPr>
          <w:p w:rsidR="00E92F67" w:rsidRPr="009427E0" w:rsidP="00E81188" w14:paraId="55BAAD39" w14:textId="77777777">
            <w:pPr>
              <w:spacing w:line="269" w:lineRule="auto"/>
              <w:rPr>
                <w:sz w:val="22"/>
                <w:szCs w:val="22"/>
              </w:rPr>
            </w:pPr>
            <w:r w:rsidRPr="009427E0">
              <w:rPr>
                <w:sz w:val="22"/>
                <w:szCs w:val="22"/>
              </w:rPr>
              <w:t>50%</w:t>
            </w:r>
          </w:p>
        </w:tc>
        <w:tc>
          <w:tcPr>
            <w:tcW w:w="1069" w:type="dxa"/>
          </w:tcPr>
          <w:p w:rsidR="00E92F67" w:rsidRPr="009427E0" w:rsidP="00E81188" w14:paraId="75943F1E" w14:textId="77777777">
            <w:pPr>
              <w:spacing w:line="269" w:lineRule="auto"/>
              <w:rPr>
                <w:sz w:val="22"/>
                <w:szCs w:val="22"/>
              </w:rPr>
            </w:pPr>
            <w:r w:rsidRPr="009427E0">
              <w:rPr>
                <w:rFonts w:hint="cs"/>
                <w:sz w:val="22"/>
                <w:szCs w:val="22"/>
                <w:rtl/>
              </w:rPr>
              <w:t>69</w:t>
            </w:r>
          </w:p>
        </w:tc>
      </w:tr>
      <w:tr w14:paraId="2E71E678" w14:textId="77777777" w:rsidTr="009427E0">
        <w:tblPrEx>
          <w:tblW w:w="8548" w:type="dxa"/>
          <w:jc w:val="center"/>
          <w:tblLayout w:type="fixed"/>
          <w:tblLook w:val="04A0"/>
        </w:tblPrEx>
        <w:trPr>
          <w:trHeight w:val="256"/>
          <w:jc w:val="center"/>
        </w:trPr>
        <w:tc>
          <w:tcPr>
            <w:tcW w:w="1068" w:type="dxa"/>
            <w:noWrap/>
            <w:hideMark/>
          </w:tcPr>
          <w:p w:rsidR="00E92F67" w:rsidRPr="009427E0" w:rsidP="00E81188" w14:paraId="4BE3EB93" w14:textId="77777777">
            <w:pPr>
              <w:spacing w:line="269" w:lineRule="auto"/>
              <w:rPr>
                <w:sz w:val="22"/>
                <w:szCs w:val="22"/>
              </w:rPr>
            </w:pPr>
            <w:r w:rsidRPr="009427E0">
              <w:rPr>
                <w:sz w:val="22"/>
                <w:szCs w:val="22"/>
                <w:rtl/>
              </w:rPr>
              <w:t>אפר</w:t>
            </w:r>
            <w:r w:rsidRPr="009427E0">
              <w:rPr>
                <w:rFonts w:hint="cs"/>
                <w:sz w:val="22"/>
                <w:szCs w:val="22"/>
                <w:rtl/>
              </w:rPr>
              <w:t>יל</w:t>
            </w:r>
          </w:p>
        </w:tc>
        <w:tc>
          <w:tcPr>
            <w:tcW w:w="1069" w:type="dxa"/>
            <w:noWrap/>
            <w:hideMark/>
          </w:tcPr>
          <w:p w:rsidR="00E92F67" w:rsidRPr="009427E0" w:rsidP="00E81188" w14:paraId="01D14378" w14:textId="77777777">
            <w:pPr>
              <w:spacing w:line="269" w:lineRule="auto"/>
              <w:rPr>
                <w:sz w:val="22"/>
                <w:szCs w:val="22"/>
              </w:rPr>
            </w:pPr>
            <w:r w:rsidRPr="009427E0">
              <w:rPr>
                <w:sz w:val="22"/>
                <w:szCs w:val="22"/>
              </w:rPr>
              <w:t>406</w:t>
            </w:r>
          </w:p>
        </w:tc>
        <w:tc>
          <w:tcPr>
            <w:tcW w:w="1068" w:type="dxa"/>
            <w:noWrap/>
            <w:hideMark/>
          </w:tcPr>
          <w:p w:rsidR="00E92F67" w:rsidRPr="009427E0" w:rsidP="00E81188" w14:paraId="5415F6A2" w14:textId="77777777">
            <w:pPr>
              <w:spacing w:line="269" w:lineRule="auto"/>
              <w:rPr>
                <w:sz w:val="22"/>
                <w:szCs w:val="22"/>
              </w:rPr>
            </w:pPr>
            <w:r w:rsidRPr="009427E0">
              <w:rPr>
                <w:sz w:val="22"/>
                <w:szCs w:val="22"/>
              </w:rPr>
              <w:t>0</w:t>
            </w:r>
          </w:p>
        </w:tc>
        <w:tc>
          <w:tcPr>
            <w:tcW w:w="1069" w:type="dxa"/>
            <w:noWrap/>
            <w:hideMark/>
          </w:tcPr>
          <w:p w:rsidR="00E92F67" w:rsidRPr="009427E0" w:rsidP="00E81188" w14:paraId="69A38CDA" w14:textId="77777777">
            <w:pPr>
              <w:spacing w:line="269" w:lineRule="auto"/>
              <w:rPr>
                <w:sz w:val="22"/>
                <w:szCs w:val="22"/>
              </w:rPr>
            </w:pPr>
            <w:r w:rsidRPr="009427E0">
              <w:rPr>
                <w:sz w:val="22"/>
                <w:szCs w:val="22"/>
              </w:rPr>
              <w:t>0%</w:t>
            </w:r>
          </w:p>
        </w:tc>
        <w:tc>
          <w:tcPr>
            <w:tcW w:w="1068" w:type="dxa"/>
            <w:noWrap/>
            <w:hideMark/>
          </w:tcPr>
          <w:p w:rsidR="00E92F67" w:rsidRPr="009427E0" w:rsidP="00E81188" w14:paraId="425F7C88" w14:textId="77777777">
            <w:pPr>
              <w:spacing w:line="269" w:lineRule="auto"/>
              <w:rPr>
                <w:sz w:val="22"/>
                <w:szCs w:val="22"/>
              </w:rPr>
            </w:pPr>
            <w:r w:rsidRPr="009427E0">
              <w:rPr>
                <w:sz w:val="22"/>
                <w:szCs w:val="22"/>
              </w:rPr>
              <w:t>211</w:t>
            </w:r>
          </w:p>
        </w:tc>
        <w:tc>
          <w:tcPr>
            <w:tcW w:w="1069" w:type="dxa"/>
            <w:noWrap/>
            <w:hideMark/>
          </w:tcPr>
          <w:p w:rsidR="00E92F67" w:rsidRPr="009427E0" w:rsidP="00E81188" w14:paraId="6439587A" w14:textId="77777777">
            <w:pPr>
              <w:spacing w:line="269" w:lineRule="auto"/>
              <w:rPr>
                <w:sz w:val="22"/>
                <w:szCs w:val="22"/>
              </w:rPr>
            </w:pPr>
            <w:r w:rsidRPr="009427E0">
              <w:rPr>
                <w:sz w:val="22"/>
                <w:szCs w:val="22"/>
              </w:rPr>
              <w:t>197</w:t>
            </w:r>
          </w:p>
        </w:tc>
        <w:tc>
          <w:tcPr>
            <w:tcW w:w="1068" w:type="dxa"/>
            <w:noWrap/>
            <w:hideMark/>
          </w:tcPr>
          <w:p w:rsidR="00E92F67" w:rsidRPr="009427E0" w:rsidP="00E81188" w14:paraId="07042FD1" w14:textId="77777777">
            <w:pPr>
              <w:spacing w:line="269" w:lineRule="auto"/>
              <w:rPr>
                <w:sz w:val="22"/>
                <w:szCs w:val="22"/>
              </w:rPr>
            </w:pPr>
            <w:r w:rsidRPr="009427E0">
              <w:rPr>
                <w:sz w:val="22"/>
                <w:szCs w:val="22"/>
              </w:rPr>
              <w:t>7%</w:t>
            </w:r>
          </w:p>
        </w:tc>
        <w:tc>
          <w:tcPr>
            <w:tcW w:w="1069" w:type="dxa"/>
          </w:tcPr>
          <w:p w:rsidR="00E92F67" w:rsidRPr="009427E0" w:rsidP="00E81188" w14:paraId="46AB2331" w14:textId="77777777">
            <w:pPr>
              <w:spacing w:line="269" w:lineRule="auto"/>
              <w:rPr>
                <w:sz w:val="22"/>
                <w:szCs w:val="22"/>
              </w:rPr>
            </w:pPr>
            <w:r w:rsidRPr="009427E0">
              <w:rPr>
                <w:rFonts w:hint="cs"/>
                <w:sz w:val="22"/>
                <w:szCs w:val="22"/>
                <w:rtl/>
              </w:rPr>
              <w:t>108</w:t>
            </w:r>
          </w:p>
        </w:tc>
      </w:tr>
      <w:tr w14:paraId="6C0422F7" w14:textId="77777777" w:rsidTr="009427E0">
        <w:tblPrEx>
          <w:tblW w:w="8548" w:type="dxa"/>
          <w:jc w:val="center"/>
          <w:tblLayout w:type="fixed"/>
          <w:tblLook w:val="04A0"/>
        </w:tblPrEx>
        <w:trPr>
          <w:trHeight w:val="256"/>
          <w:jc w:val="center"/>
        </w:trPr>
        <w:tc>
          <w:tcPr>
            <w:tcW w:w="1068" w:type="dxa"/>
            <w:noWrap/>
            <w:hideMark/>
          </w:tcPr>
          <w:p w:rsidR="00E92F67" w:rsidRPr="009427E0" w:rsidP="00E81188" w14:paraId="62A35100" w14:textId="77777777">
            <w:pPr>
              <w:spacing w:line="269" w:lineRule="auto"/>
              <w:rPr>
                <w:sz w:val="22"/>
                <w:szCs w:val="22"/>
              </w:rPr>
            </w:pPr>
            <w:r w:rsidRPr="009427E0">
              <w:rPr>
                <w:sz w:val="22"/>
                <w:szCs w:val="22"/>
                <w:rtl/>
              </w:rPr>
              <w:t>מאי</w:t>
            </w:r>
          </w:p>
        </w:tc>
        <w:tc>
          <w:tcPr>
            <w:tcW w:w="1069" w:type="dxa"/>
            <w:noWrap/>
            <w:hideMark/>
          </w:tcPr>
          <w:p w:rsidR="00E92F67" w:rsidRPr="009427E0" w:rsidP="00E81188" w14:paraId="2E674AD0" w14:textId="77777777">
            <w:pPr>
              <w:spacing w:line="269" w:lineRule="auto"/>
              <w:rPr>
                <w:sz w:val="22"/>
                <w:szCs w:val="22"/>
                <w:rtl/>
              </w:rPr>
            </w:pPr>
            <w:r w:rsidRPr="009427E0">
              <w:rPr>
                <w:sz w:val="22"/>
                <w:szCs w:val="22"/>
              </w:rPr>
              <w:t>264</w:t>
            </w:r>
          </w:p>
        </w:tc>
        <w:tc>
          <w:tcPr>
            <w:tcW w:w="1068" w:type="dxa"/>
            <w:noWrap/>
            <w:hideMark/>
          </w:tcPr>
          <w:p w:rsidR="00E92F67" w:rsidRPr="009427E0" w:rsidP="00E81188" w14:paraId="4BADD0EC" w14:textId="77777777">
            <w:pPr>
              <w:spacing w:line="269" w:lineRule="auto"/>
              <w:rPr>
                <w:sz w:val="22"/>
                <w:szCs w:val="22"/>
              </w:rPr>
            </w:pPr>
            <w:r w:rsidRPr="009427E0">
              <w:rPr>
                <w:sz w:val="22"/>
                <w:szCs w:val="22"/>
              </w:rPr>
              <w:t>0</w:t>
            </w:r>
          </w:p>
        </w:tc>
        <w:tc>
          <w:tcPr>
            <w:tcW w:w="1069" w:type="dxa"/>
            <w:noWrap/>
            <w:hideMark/>
          </w:tcPr>
          <w:p w:rsidR="00E92F67" w:rsidRPr="009427E0" w:rsidP="00E81188" w14:paraId="6634D2E3" w14:textId="77777777">
            <w:pPr>
              <w:spacing w:line="269" w:lineRule="auto"/>
              <w:rPr>
                <w:sz w:val="22"/>
                <w:szCs w:val="22"/>
              </w:rPr>
            </w:pPr>
            <w:r w:rsidRPr="009427E0">
              <w:rPr>
                <w:sz w:val="22"/>
                <w:szCs w:val="22"/>
              </w:rPr>
              <w:t>0%</w:t>
            </w:r>
          </w:p>
        </w:tc>
        <w:tc>
          <w:tcPr>
            <w:tcW w:w="1068" w:type="dxa"/>
            <w:noWrap/>
            <w:hideMark/>
          </w:tcPr>
          <w:p w:rsidR="00E92F67" w:rsidRPr="009427E0" w:rsidP="00E81188" w14:paraId="138B308D" w14:textId="77777777">
            <w:pPr>
              <w:spacing w:line="269" w:lineRule="auto"/>
              <w:rPr>
                <w:sz w:val="22"/>
                <w:szCs w:val="22"/>
              </w:rPr>
            </w:pPr>
            <w:r w:rsidRPr="009427E0">
              <w:rPr>
                <w:sz w:val="22"/>
                <w:szCs w:val="22"/>
              </w:rPr>
              <w:t>103</w:t>
            </w:r>
          </w:p>
        </w:tc>
        <w:tc>
          <w:tcPr>
            <w:tcW w:w="1069" w:type="dxa"/>
            <w:noWrap/>
            <w:hideMark/>
          </w:tcPr>
          <w:p w:rsidR="00E92F67" w:rsidRPr="009427E0" w:rsidP="00E81188" w14:paraId="5DD23BC8" w14:textId="77777777">
            <w:pPr>
              <w:spacing w:line="269" w:lineRule="auto"/>
              <w:rPr>
                <w:sz w:val="22"/>
                <w:szCs w:val="22"/>
              </w:rPr>
            </w:pPr>
            <w:r w:rsidRPr="009427E0">
              <w:rPr>
                <w:sz w:val="22"/>
                <w:szCs w:val="22"/>
              </w:rPr>
              <w:t>99</w:t>
            </w:r>
          </w:p>
        </w:tc>
        <w:tc>
          <w:tcPr>
            <w:tcW w:w="1068" w:type="dxa"/>
            <w:noWrap/>
            <w:hideMark/>
          </w:tcPr>
          <w:p w:rsidR="00E92F67" w:rsidRPr="009427E0" w:rsidP="00E81188" w14:paraId="654C4816" w14:textId="77777777">
            <w:pPr>
              <w:spacing w:line="269" w:lineRule="auto"/>
              <w:rPr>
                <w:sz w:val="22"/>
                <w:szCs w:val="22"/>
              </w:rPr>
            </w:pPr>
            <w:r w:rsidRPr="009427E0">
              <w:rPr>
                <w:sz w:val="22"/>
                <w:szCs w:val="22"/>
              </w:rPr>
              <w:t>4%</w:t>
            </w:r>
          </w:p>
        </w:tc>
        <w:tc>
          <w:tcPr>
            <w:tcW w:w="1069" w:type="dxa"/>
          </w:tcPr>
          <w:p w:rsidR="00E92F67" w:rsidRPr="009427E0" w:rsidP="00E81188" w14:paraId="3A766B6E" w14:textId="77777777">
            <w:pPr>
              <w:spacing w:line="269" w:lineRule="auto"/>
              <w:rPr>
                <w:sz w:val="22"/>
                <w:szCs w:val="22"/>
              </w:rPr>
            </w:pPr>
            <w:r w:rsidRPr="009427E0">
              <w:rPr>
                <w:rFonts w:hint="cs"/>
                <w:sz w:val="22"/>
                <w:szCs w:val="22"/>
                <w:rtl/>
              </w:rPr>
              <w:t>89</w:t>
            </w:r>
          </w:p>
        </w:tc>
      </w:tr>
      <w:tr w14:paraId="13D17BEF" w14:textId="77777777" w:rsidTr="009427E0">
        <w:tblPrEx>
          <w:tblW w:w="8548" w:type="dxa"/>
          <w:jc w:val="center"/>
          <w:tblLayout w:type="fixed"/>
          <w:tblLook w:val="04A0"/>
        </w:tblPrEx>
        <w:trPr>
          <w:trHeight w:val="256"/>
          <w:jc w:val="center"/>
        </w:trPr>
        <w:tc>
          <w:tcPr>
            <w:tcW w:w="1068" w:type="dxa"/>
            <w:noWrap/>
            <w:hideMark/>
          </w:tcPr>
          <w:p w:rsidR="00E92F67" w:rsidRPr="009427E0" w:rsidP="00E81188" w14:paraId="75BE4CEC" w14:textId="77777777">
            <w:pPr>
              <w:spacing w:line="269" w:lineRule="auto"/>
              <w:rPr>
                <w:sz w:val="22"/>
                <w:szCs w:val="22"/>
              </w:rPr>
            </w:pPr>
            <w:r w:rsidRPr="009427E0">
              <w:rPr>
                <w:sz w:val="22"/>
                <w:szCs w:val="22"/>
                <w:rtl/>
              </w:rPr>
              <w:t>יוני</w:t>
            </w:r>
          </w:p>
        </w:tc>
        <w:tc>
          <w:tcPr>
            <w:tcW w:w="1069" w:type="dxa"/>
            <w:noWrap/>
            <w:hideMark/>
          </w:tcPr>
          <w:p w:rsidR="00E92F67" w:rsidRPr="009427E0" w:rsidP="00E81188" w14:paraId="2099E8DB" w14:textId="77777777">
            <w:pPr>
              <w:spacing w:line="269" w:lineRule="auto"/>
              <w:rPr>
                <w:sz w:val="22"/>
                <w:szCs w:val="22"/>
              </w:rPr>
            </w:pPr>
            <w:r w:rsidRPr="009427E0">
              <w:rPr>
                <w:sz w:val="22"/>
                <w:szCs w:val="22"/>
              </w:rPr>
              <w:t>497</w:t>
            </w:r>
          </w:p>
        </w:tc>
        <w:tc>
          <w:tcPr>
            <w:tcW w:w="1068" w:type="dxa"/>
            <w:noWrap/>
            <w:hideMark/>
          </w:tcPr>
          <w:p w:rsidR="00E92F67" w:rsidRPr="009427E0" w:rsidP="00E81188" w14:paraId="4B86DB6C" w14:textId="77777777">
            <w:pPr>
              <w:spacing w:line="269" w:lineRule="auto"/>
              <w:rPr>
                <w:sz w:val="22"/>
                <w:szCs w:val="22"/>
              </w:rPr>
            </w:pPr>
            <w:r w:rsidRPr="009427E0">
              <w:rPr>
                <w:sz w:val="22"/>
                <w:szCs w:val="22"/>
              </w:rPr>
              <w:t>0</w:t>
            </w:r>
          </w:p>
        </w:tc>
        <w:tc>
          <w:tcPr>
            <w:tcW w:w="1069" w:type="dxa"/>
            <w:noWrap/>
            <w:hideMark/>
          </w:tcPr>
          <w:p w:rsidR="00E92F67" w:rsidRPr="009427E0" w:rsidP="00E81188" w14:paraId="0F9C8B1D" w14:textId="77777777">
            <w:pPr>
              <w:spacing w:line="269" w:lineRule="auto"/>
              <w:rPr>
                <w:sz w:val="22"/>
                <w:szCs w:val="22"/>
              </w:rPr>
            </w:pPr>
            <w:r w:rsidRPr="009427E0">
              <w:rPr>
                <w:sz w:val="22"/>
                <w:szCs w:val="22"/>
              </w:rPr>
              <w:t>0%</w:t>
            </w:r>
          </w:p>
        </w:tc>
        <w:tc>
          <w:tcPr>
            <w:tcW w:w="1068" w:type="dxa"/>
            <w:noWrap/>
            <w:hideMark/>
          </w:tcPr>
          <w:p w:rsidR="00E92F67" w:rsidRPr="009427E0" w:rsidP="00E81188" w14:paraId="039198F4" w14:textId="77777777">
            <w:pPr>
              <w:spacing w:line="269" w:lineRule="auto"/>
              <w:rPr>
                <w:sz w:val="22"/>
                <w:szCs w:val="22"/>
              </w:rPr>
            </w:pPr>
            <w:r w:rsidRPr="009427E0">
              <w:rPr>
                <w:sz w:val="22"/>
                <w:szCs w:val="22"/>
              </w:rPr>
              <w:t>243</w:t>
            </w:r>
          </w:p>
        </w:tc>
        <w:tc>
          <w:tcPr>
            <w:tcW w:w="1069" w:type="dxa"/>
            <w:noWrap/>
            <w:hideMark/>
          </w:tcPr>
          <w:p w:rsidR="00E92F67" w:rsidRPr="009427E0" w:rsidP="00E81188" w14:paraId="03A56BB6" w14:textId="77777777">
            <w:pPr>
              <w:spacing w:line="269" w:lineRule="auto"/>
              <w:rPr>
                <w:sz w:val="22"/>
                <w:szCs w:val="22"/>
              </w:rPr>
            </w:pPr>
            <w:r w:rsidRPr="009427E0">
              <w:rPr>
                <w:sz w:val="22"/>
                <w:szCs w:val="22"/>
              </w:rPr>
              <w:t>152</w:t>
            </w:r>
          </w:p>
        </w:tc>
        <w:tc>
          <w:tcPr>
            <w:tcW w:w="1068" w:type="dxa"/>
            <w:noWrap/>
            <w:hideMark/>
          </w:tcPr>
          <w:p w:rsidR="00E92F67" w:rsidRPr="009427E0" w:rsidP="00E81188" w14:paraId="7C21D8E4" w14:textId="77777777">
            <w:pPr>
              <w:spacing w:line="269" w:lineRule="auto"/>
              <w:rPr>
                <w:sz w:val="22"/>
                <w:szCs w:val="22"/>
              </w:rPr>
            </w:pPr>
            <w:r w:rsidRPr="009427E0">
              <w:rPr>
                <w:sz w:val="22"/>
                <w:szCs w:val="22"/>
              </w:rPr>
              <w:t>37%</w:t>
            </w:r>
          </w:p>
        </w:tc>
        <w:tc>
          <w:tcPr>
            <w:tcW w:w="1069" w:type="dxa"/>
          </w:tcPr>
          <w:p w:rsidR="00E92F67" w:rsidRPr="009427E0" w:rsidP="00E81188" w14:paraId="398A9060" w14:textId="77777777">
            <w:pPr>
              <w:spacing w:line="269" w:lineRule="auto"/>
              <w:rPr>
                <w:sz w:val="22"/>
                <w:szCs w:val="22"/>
              </w:rPr>
            </w:pPr>
            <w:r w:rsidRPr="009427E0">
              <w:rPr>
                <w:rFonts w:hint="cs"/>
                <w:sz w:val="22"/>
                <w:szCs w:val="22"/>
                <w:rtl/>
              </w:rPr>
              <w:t>144</w:t>
            </w:r>
          </w:p>
        </w:tc>
      </w:tr>
      <w:tr w14:paraId="415F67F2" w14:textId="77777777" w:rsidTr="009427E0">
        <w:tblPrEx>
          <w:tblW w:w="8548" w:type="dxa"/>
          <w:jc w:val="center"/>
          <w:tblLayout w:type="fixed"/>
          <w:tblLook w:val="04A0"/>
        </w:tblPrEx>
        <w:trPr>
          <w:trHeight w:val="256"/>
          <w:jc w:val="center"/>
        </w:trPr>
        <w:tc>
          <w:tcPr>
            <w:tcW w:w="1068" w:type="dxa"/>
            <w:noWrap/>
            <w:hideMark/>
          </w:tcPr>
          <w:p w:rsidR="00E92F67" w:rsidRPr="009427E0" w:rsidP="00E81188" w14:paraId="668C371F" w14:textId="77777777">
            <w:pPr>
              <w:spacing w:line="269" w:lineRule="auto"/>
              <w:rPr>
                <w:sz w:val="22"/>
                <w:szCs w:val="22"/>
                <w:rtl/>
              </w:rPr>
            </w:pPr>
            <w:r w:rsidRPr="009427E0">
              <w:rPr>
                <w:sz w:val="22"/>
                <w:szCs w:val="22"/>
                <w:rtl/>
              </w:rPr>
              <w:t>יולי</w:t>
            </w:r>
          </w:p>
        </w:tc>
        <w:tc>
          <w:tcPr>
            <w:tcW w:w="1069" w:type="dxa"/>
            <w:noWrap/>
            <w:hideMark/>
          </w:tcPr>
          <w:p w:rsidR="00E92F67" w:rsidRPr="009427E0" w:rsidP="00E81188" w14:paraId="2C2B7C0D" w14:textId="77777777">
            <w:pPr>
              <w:spacing w:line="269" w:lineRule="auto"/>
              <w:rPr>
                <w:sz w:val="22"/>
                <w:szCs w:val="22"/>
                <w:rtl/>
              </w:rPr>
            </w:pPr>
            <w:r w:rsidRPr="009427E0">
              <w:rPr>
                <w:sz w:val="22"/>
                <w:szCs w:val="22"/>
              </w:rPr>
              <w:t>1,456</w:t>
            </w:r>
          </w:p>
        </w:tc>
        <w:tc>
          <w:tcPr>
            <w:tcW w:w="1068" w:type="dxa"/>
            <w:noWrap/>
            <w:hideMark/>
          </w:tcPr>
          <w:p w:rsidR="00E92F67" w:rsidRPr="009427E0" w:rsidP="00E81188" w14:paraId="1B42C5C2" w14:textId="77777777">
            <w:pPr>
              <w:spacing w:line="269" w:lineRule="auto"/>
              <w:rPr>
                <w:sz w:val="22"/>
                <w:szCs w:val="22"/>
              </w:rPr>
            </w:pPr>
            <w:r w:rsidRPr="009427E0">
              <w:rPr>
                <w:sz w:val="22"/>
                <w:szCs w:val="22"/>
              </w:rPr>
              <w:t>0</w:t>
            </w:r>
          </w:p>
        </w:tc>
        <w:tc>
          <w:tcPr>
            <w:tcW w:w="1069" w:type="dxa"/>
            <w:noWrap/>
            <w:hideMark/>
          </w:tcPr>
          <w:p w:rsidR="00E92F67" w:rsidRPr="009427E0" w:rsidP="00E81188" w14:paraId="6BA95E71" w14:textId="77777777">
            <w:pPr>
              <w:spacing w:line="269" w:lineRule="auto"/>
              <w:rPr>
                <w:sz w:val="22"/>
                <w:szCs w:val="22"/>
              </w:rPr>
            </w:pPr>
            <w:r w:rsidRPr="009427E0">
              <w:rPr>
                <w:sz w:val="22"/>
                <w:szCs w:val="22"/>
              </w:rPr>
              <w:t>0%</w:t>
            </w:r>
          </w:p>
        </w:tc>
        <w:tc>
          <w:tcPr>
            <w:tcW w:w="1068" w:type="dxa"/>
            <w:noWrap/>
            <w:hideMark/>
          </w:tcPr>
          <w:p w:rsidR="00E92F67" w:rsidRPr="009427E0" w:rsidP="00E81188" w14:paraId="5B991361" w14:textId="77777777">
            <w:pPr>
              <w:spacing w:line="269" w:lineRule="auto"/>
              <w:rPr>
                <w:sz w:val="22"/>
                <w:szCs w:val="22"/>
              </w:rPr>
            </w:pPr>
            <w:r w:rsidRPr="009427E0">
              <w:rPr>
                <w:sz w:val="22"/>
                <w:szCs w:val="22"/>
              </w:rPr>
              <w:t>593</w:t>
            </w:r>
          </w:p>
        </w:tc>
        <w:tc>
          <w:tcPr>
            <w:tcW w:w="1069" w:type="dxa"/>
            <w:noWrap/>
            <w:hideMark/>
          </w:tcPr>
          <w:p w:rsidR="00E92F67" w:rsidRPr="009427E0" w:rsidP="00E81188" w14:paraId="1A8953AC" w14:textId="77777777">
            <w:pPr>
              <w:spacing w:line="269" w:lineRule="auto"/>
              <w:rPr>
                <w:sz w:val="22"/>
                <w:szCs w:val="22"/>
              </w:rPr>
            </w:pPr>
            <w:r w:rsidRPr="009427E0">
              <w:rPr>
                <w:sz w:val="22"/>
                <w:szCs w:val="22"/>
              </w:rPr>
              <w:t>358</w:t>
            </w:r>
          </w:p>
        </w:tc>
        <w:tc>
          <w:tcPr>
            <w:tcW w:w="1068" w:type="dxa"/>
            <w:noWrap/>
            <w:hideMark/>
          </w:tcPr>
          <w:p w:rsidR="00E92F67" w:rsidRPr="009427E0" w:rsidP="00E81188" w14:paraId="215BA263" w14:textId="77777777">
            <w:pPr>
              <w:spacing w:line="269" w:lineRule="auto"/>
              <w:rPr>
                <w:sz w:val="22"/>
                <w:szCs w:val="22"/>
              </w:rPr>
            </w:pPr>
            <w:r w:rsidRPr="009427E0">
              <w:rPr>
                <w:sz w:val="22"/>
                <w:szCs w:val="22"/>
              </w:rPr>
              <w:t>40%</w:t>
            </w:r>
          </w:p>
        </w:tc>
        <w:tc>
          <w:tcPr>
            <w:tcW w:w="1069" w:type="dxa"/>
          </w:tcPr>
          <w:p w:rsidR="00E92F67" w:rsidRPr="009427E0" w:rsidP="00E81188" w14:paraId="53716C95" w14:textId="77777777">
            <w:pPr>
              <w:spacing w:line="269" w:lineRule="auto"/>
              <w:rPr>
                <w:sz w:val="22"/>
                <w:szCs w:val="22"/>
              </w:rPr>
            </w:pPr>
            <w:r w:rsidRPr="009427E0">
              <w:rPr>
                <w:rFonts w:hint="cs"/>
                <w:sz w:val="22"/>
                <w:szCs w:val="22"/>
                <w:rtl/>
              </w:rPr>
              <w:t>333</w:t>
            </w:r>
          </w:p>
        </w:tc>
      </w:tr>
      <w:tr w14:paraId="3819C1EF" w14:textId="77777777" w:rsidTr="009427E0">
        <w:tblPrEx>
          <w:tblW w:w="8548" w:type="dxa"/>
          <w:jc w:val="center"/>
          <w:tblLayout w:type="fixed"/>
          <w:tblLook w:val="04A0"/>
        </w:tblPrEx>
        <w:trPr>
          <w:trHeight w:val="256"/>
          <w:jc w:val="center"/>
        </w:trPr>
        <w:tc>
          <w:tcPr>
            <w:tcW w:w="1068" w:type="dxa"/>
            <w:noWrap/>
            <w:hideMark/>
          </w:tcPr>
          <w:p w:rsidR="00E92F67" w:rsidRPr="009427E0" w:rsidP="00E81188" w14:paraId="04238443" w14:textId="77777777">
            <w:pPr>
              <w:spacing w:line="269" w:lineRule="auto"/>
              <w:rPr>
                <w:sz w:val="22"/>
                <w:szCs w:val="22"/>
              </w:rPr>
            </w:pPr>
            <w:r w:rsidRPr="009427E0">
              <w:rPr>
                <w:sz w:val="22"/>
                <w:szCs w:val="22"/>
                <w:rtl/>
              </w:rPr>
              <w:t>אוגוסט</w:t>
            </w:r>
          </w:p>
        </w:tc>
        <w:tc>
          <w:tcPr>
            <w:tcW w:w="1069" w:type="dxa"/>
            <w:noWrap/>
            <w:hideMark/>
          </w:tcPr>
          <w:p w:rsidR="00E92F67" w:rsidRPr="009427E0" w:rsidP="00E81188" w14:paraId="6195AD8B" w14:textId="77777777">
            <w:pPr>
              <w:spacing w:line="269" w:lineRule="auto"/>
              <w:rPr>
                <w:sz w:val="22"/>
                <w:szCs w:val="22"/>
                <w:rtl/>
              </w:rPr>
            </w:pPr>
            <w:r w:rsidRPr="009427E0">
              <w:rPr>
                <w:sz w:val="22"/>
                <w:szCs w:val="22"/>
              </w:rPr>
              <w:t>900</w:t>
            </w:r>
          </w:p>
        </w:tc>
        <w:tc>
          <w:tcPr>
            <w:tcW w:w="1068" w:type="dxa"/>
            <w:noWrap/>
            <w:hideMark/>
          </w:tcPr>
          <w:p w:rsidR="00E92F67" w:rsidRPr="009427E0" w:rsidP="00E81188" w14:paraId="462F97F8" w14:textId="77777777">
            <w:pPr>
              <w:spacing w:line="269" w:lineRule="auto"/>
              <w:rPr>
                <w:sz w:val="22"/>
                <w:szCs w:val="22"/>
              </w:rPr>
            </w:pPr>
            <w:r w:rsidRPr="009427E0">
              <w:rPr>
                <w:sz w:val="22"/>
                <w:szCs w:val="22"/>
              </w:rPr>
              <w:t>7</w:t>
            </w:r>
          </w:p>
        </w:tc>
        <w:tc>
          <w:tcPr>
            <w:tcW w:w="1069" w:type="dxa"/>
            <w:noWrap/>
            <w:hideMark/>
          </w:tcPr>
          <w:p w:rsidR="00E92F67" w:rsidRPr="009427E0" w:rsidP="00E81188" w14:paraId="2AE5E335" w14:textId="77777777">
            <w:pPr>
              <w:spacing w:line="269" w:lineRule="auto"/>
              <w:rPr>
                <w:sz w:val="22"/>
                <w:szCs w:val="22"/>
              </w:rPr>
            </w:pPr>
            <w:r w:rsidRPr="009427E0">
              <w:rPr>
                <w:sz w:val="22"/>
                <w:szCs w:val="22"/>
              </w:rPr>
              <w:t>1%</w:t>
            </w:r>
          </w:p>
        </w:tc>
        <w:tc>
          <w:tcPr>
            <w:tcW w:w="1068" w:type="dxa"/>
            <w:noWrap/>
            <w:hideMark/>
          </w:tcPr>
          <w:p w:rsidR="00E92F67" w:rsidRPr="009427E0" w:rsidP="00E81188" w14:paraId="504A2120" w14:textId="77777777">
            <w:pPr>
              <w:spacing w:line="269" w:lineRule="auto"/>
              <w:rPr>
                <w:sz w:val="22"/>
                <w:szCs w:val="22"/>
              </w:rPr>
            </w:pPr>
            <w:r w:rsidRPr="009427E0">
              <w:rPr>
                <w:sz w:val="22"/>
                <w:szCs w:val="22"/>
              </w:rPr>
              <w:t>613</w:t>
            </w:r>
          </w:p>
        </w:tc>
        <w:tc>
          <w:tcPr>
            <w:tcW w:w="1069" w:type="dxa"/>
            <w:noWrap/>
            <w:hideMark/>
          </w:tcPr>
          <w:p w:rsidR="00E92F67" w:rsidRPr="009427E0" w:rsidP="00E81188" w14:paraId="46E59D4B" w14:textId="77777777">
            <w:pPr>
              <w:spacing w:line="269" w:lineRule="auto"/>
              <w:rPr>
                <w:sz w:val="22"/>
                <w:szCs w:val="22"/>
              </w:rPr>
            </w:pPr>
            <w:r w:rsidRPr="009427E0">
              <w:rPr>
                <w:sz w:val="22"/>
                <w:szCs w:val="22"/>
              </w:rPr>
              <w:t>467</w:t>
            </w:r>
          </w:p>
        </w:tc>
        <w:tc>
          <w:tcPr>
            <w:tcW w:w="1068" w:type="dxa"/>
            <w:noWrap/>
            <w:hideMark/>
          </w:tcPr>
          <w:p w:rsidR="00E92F67" w:rsidRPr="009427E0" w:rsidP="00E81188" w14:paraId="71D029D3" w14:textId="77777777">
            <w:pPr>
              <w:spacing w:line="269" w:lineRule="auto"/>
              <w:rPr>
                <w:sz w:val="22"/>
                <w:szCs w:val="22"/>
              </w:rPr>
            </w:pPr>
            <w:r w:rsidRPr="009427E0">
              <w:rPr>
                <w:sz w:val="22"/>
                <w:szCs w:val="22"/>
              </w:rPr>
              <w:t>24%</w:t>
            </w:r>
          </w:p>
        </w:tc>
        <w:tc>
          <w:tcPr>
            <w:tcW w:w="1069" w:type="dxa"/>
          </w:tcPr>
          <w:p w:rsidR="00E92F67" w:rsidRPr="009427E0" w:rsidP="00E81188" w14:paraId="59E16CDA" w14:textId="77777777">
            <w:pPr>
              <w:spacing w:line="269" w:lineRule="auto"/>
              <w:rPr>
                <w:sz w:val="22"/>
                <w:szCs w:val="22"/>
              </w:rPr>
            </w:pPr>
            <w:r w:rsidRPr="009427E0">
              <w:rPr>
                <w:rFonts w:hint="cs"/>
                <w:sz w:val="22"/>
                <w:szCs w:val="22"/>
                <w:rtl/>
              </w:rPr>
              <w:t>139</w:t>
            </w:r>
          </w:p>
        </w:tc>
      </w:tr>
      <w:tr w14:paraId="1EBF83C7" w14:textId="77777777" w:rsidTr="009427E0">
        <w:tblPrEx>
          <w:tblW w:w="8548" w:type="dxa"/>
          <w:jc w:val="center"/>
          <w:tblLayout w:type="fixed"/>
          <w:tblLook w:val="04A0"/>
        </w:tblPrEx>
        <w:trPr>
          <w:trHeight w:val="256"/>
          <w:jc w:val="center"/>
        </w:trPr>
        <w:tc>
          <w:tcPr>
            <w:tcW w:w="1068" w:type="dxa"/>
            <w:noWrap/>
            <w:hideMark/>
          </w:tcPr>
          <w:p w:rsidR="00E92F67" w:rsidRPr="009427E0" w:rsidP="00E81188" w14:paraId="4F31C664" w14:textId="77777777">
            <w:pPr>
              <w:spacing w:line="269" w:lineRule="auto"/>
              <w:rPr>
                <w:sz w:val="22"/>
                <w:szCs w:val="22"/>
              </w:rPr>
            </w:pPr>
            <w:r w:rsidRPr="009427E0">
              <w:rPr>
                <w:sz w:val="22"/>
                <w:szCs w:val="22"/>
                <w:rtl/>
              </w:rPr>
              <w:t>ספטמבר</w:t>
            </w:r>
          </w:p>
        </w:tc>
        <w:tc>
          <w:tcPr>
            <w:tcW w:w="1069" w:type="dxa"/>
            <w:noWrap/>
            <w:hideMark/>
          </w:tcPr>
          <w:p w:rsidR="00E92F67" w:rsidRPr="009427E0" w:rsidP="00E81188" w14:paraId="4394B8A1" w14:textId="77777777">
            <w:pPr>
              <w:spacing w:line="269" w:lineRule="auto"/>
              <w:rPr>
                <w:sz w:val="22"/>
                <w:szCs w:val="22"/>
                <w:rtl/>
              </w:rPr>
            </w:pPr>
            <w:r w:rsidRPr="009427E0">
              <w:rPr>
                <w:sz w:val="22"/>
                <w:szCs w:val="22"/>
              </w:rPr>
              <w:t>2,570</w:t>
            </w:r>
          </w:p>
        </w:tc>
        <w:tc>
          <w:tcPr>
            <w:tcW w:w="1068" w:type="dxa"/>
            <w:noWrap/>
            <w:hideMark/>
          </w:tcPr>
          <w:p w:rsidR="00E92F67" w:rsidRPr="009427E0" w:rsidP="00E81188" w14:paraId="3B7BCB36" w14:textId="77777777">
            <w:pPr>
              <w:spacing w:line="269" w:lineRule="auto"/>
              <w:rPr>
                <w:sz w:val="22"/>
                <w:szCs w:val="22"/>
              </w:rPr>
            </w:pPr>
            <w:r w:rsidRPr="009427E0">
              <w:rPr>
                <w:sz w:val="22"/>
                <w:szCs w:val="22"/>
              </w:rPr>
              <w:t>802</w:t>
            </w:r>
          </w:p>
        </w:tc>
        <w:tc>
          <w:tcPr>
            <w:tcW w:w="1069" w:type="dxa"/>
            <w:noWrap/>
            <w:hideMark/>
          </w:tcPr>
          <w:p w:rsidR="00E92F67" w:rsidRPr="009427E0" w:rsidP="00E81188" w14:paraId="172F9E7A" w14:textId="77777777">
            <w:pPr>
              <w:spacing w:line="269" w:lineRule="auto"/>
              <w:rPr>
                <w:sz w:val="22"/>
                <w:szCs w:val="22"/>
              </w:rPr>
            </w:pPr>
            <w:r w:rsidRPr="009427E0">
              <w:rPr>
                <w:sz w:val="22"/>
                <w:szCs w:val="22"/>
              </w:rPr>
              <w:t>31%</w:t>
            </w:r>
          </w:p>
        </w:tc>
        <w:tc>
          <w:tcPr>
            <w:tcW w:w="1068" w:type="dxa"/>
            <w:noWrap/>
            <w:hideMark/>
          </w:tcPr>
          <w:p w:rsidR="00E92F67" w:rsidRPr="009427E0" w:rsidP="00E81188" w14:paraId="18DF6937" w14:textId="77777777">
            <w:pPr>
              <w:spacing w:line="269" w:lineRule="auto"/>
              <w:rPr>
                <w:sz w:val="22"/>
                <w:szCs w:val="22"/>
              </w:rPr>
            </w:pPr>
            <w:r w:rsidRPr="009427E0">
              <w:rPr>
                <w:sz w:val="22"/>
                <w:szCs w:val="22"/>
              </w:rPr>
              <w:t>822</w:t>
            </w:r>
          </w:p>
        </w:tc>
        <w:tc>
          <w:tcPr>
            <w:tcW w:w="1069" w:type="dxa"/>
            <w:noWrap/>
            <w:hideMark/>
          </w:tcPr>
          <w:p w:rsidR="00E92F67" w:rsidRPr="009427E0" w:rsidP="00E81188" w14:paraId="4DD433FA" w14:textId="77777777">
            <w:pPr>
              <w:spacing w:line="269" w:lineRule="auto"/>
              <w:rPr>
                <w:sz w:val="22"/>
                <w:szCs w:val="22"/>
              </w:rPr>
            </w:pPr>
            <w:r w:rsidRPr="009427E0">
              <w:rPr>
                <w:sz w:val="22"/>
                <w:szCs w:val="22"/>
              </w:rPr>
              <w:t>478</w:t>
            </w:r>
          </w:p>
        </w:tc>
        <w:tc>
          <w:tcPr>
            <w:tcW w:w="1068" w:type="dxa"/>
            <w:noWrap/>
            <w:hideMark/>
          </w:tcPr>
          <w:p w:rsidR="00E92F67" w:rsidRPr="009427E0" w:rsidP="00E81188" w14:paraId="60DAE538" w14:textId="77777777">
            <w:pPr>
              <w:spacing w:line="269" w:lineRule="auto"/>
              <w:rPr>
                <w:sz w:val="22"/>
                <w:szCs w:val="22"/>
              </w:rPr>
            </w:pPr>
            <w:r w:rsidRPr="009427E0">
              <w:rPr>
                <w:sz w:val="22"/>
                <w:szCs w:val="22"/>
              </w:rPr>
              <w:t>42%</w:t>
            </w:r>
          </w:p>
        </w:tc>
        <w:tc>
          <w:tcPr>
            <w:tcW w:w="1069" w:type="dxa"/>
          </w:tcPr>
          <w:p w:rsidR="00E92F67" w:rsidRPr="009427E0" w:rsidP="00E81188" w14:paraId="489888A8" w14:textId="77777777">
            <w:pPr>
              <w:spacing w:line="269" w:lineRule="auto"/>
              <w:rPr>
                <w:sz w:val="22"/>
                <w:szCs w:val="22"/>
              </w:rPr>
            </w:pPr>
            <w:r w:rsidRPr="009427E0">
              <w:rPr>
                <w:rFonts w:hint="cs"/>
                <w:sz w:val="22"/>
                <w:szCs w:val="22"/>
                <w:rtl/>
              </w:rPr>
              <w:t>324</w:t>
            </w:r>
          </w:p>
        </w:tc>
      </w:tr>
      <w:tr w14:paraId="0F0E66F1" w14:textId="77777777" w:rsidTr="009427E0">
        <w:tblPrEx>
          <w:tblW w:w="8548" w:type="dxa"/>
          <w:jc w:val="center"/>
          <w:tblLayout w:type="fixed"/>
          <w:tblLook w:val="04A0"/>
        </w:tblPrEx>
        <w:trPr>
          <w:trHeight w:val="256"/>
          <w:jc w:val="center"/>
        </w:trPr>
        <w:tc>
          <w:tcPr>
            <w:tcW w:w="1068" w:type="dxa"/>
            <w:noWrap/>
            <w:hideMark/>
          </w:tcPr>
          <w:p w:rsidR="00E92F67" w:rsidRPr="009427E0" w:rsidP="00E81188" w14:paraId="342F2E9A" w14:textId="77777777">
            <w:pPr>
              <w:spacing w:line="269" w:lineRule="auto"/>
              <w:rPr>
                <w:sz w:val="22"/>
                <w:szCs w:val="22"/>
              </w:rPr>
            </w:pPr>
            <w:r w:rsidRPr="009427E0">
              <w:rPr>
                <w:sz w:val="22"/>
                <w:szCs w:val="22"/>
                <w:rtl/>
              </w:rPr>
              <w:t>אוקטובר</w:t>
            </w:r>
          </w:p>
        </w:tc>
        <w:tc>
          <w:tcPr>
            <w:tcW w:w="1069" w:type="dxa"/>
            <w:noWrap/>
            <w:hideMark/>
          </w:tcPr>
          <w:p w:rsidR="00E92F67" w:rsidRPr="009427E0" w:rsidP="00E81188" w14:paraId="111BA476" w14:textId="77777777">
            <w:pPr>
              <w:spacing w:line="269" w:lineRule="auto"/>
              <w:rPr>
                <w:sz w:val="22"/>
                <w:szCs w:val="22"/>
                <w:rtl/>
              </w:rPr>
            </w:pPr>
            <w:r w:rsidRPr="009427E0">
              <w:rPr>
                <w:sz w:val="22"/>
                <w:szCs w:val="22"/>
              </w:rPr>
              <w:t>440</w:t>
            </w:r>
          </w:p>
        </w:tc>
        <w:tc>
          <w:tcPr>
            <w:tcW w:w="1068" w:type="dxa"/>
            <w:noWrap/>
            <w:hideMark/>
          </w:tcPr>
          <w:p w:rsidR="00E92F67" w:rsidRPr="009427E0" w:rsidP="00E81188" w14:paraId="6C810686" w14:textId="77777777">
            <w:pPr>
              <w:spacing w:line="269" w:lineRule="auto"/>
              <w:rPr>
                <w:sz w:val="22"/>
                <w:szCs w:val="22"/>
              </w:rPr>
            </w:pPr>
            <w:r w:rsidRPr="009427E0">
              <w:rPr>
                <w:sz w:val="22"/>
                <w:szCs w:val="22"/>
              </w:rPr>
              <w:t>0</w:t>
            </w:r>
          </w:p>
        </w:tc>
        <w:tc>
          <w:tcPr>
            <w:tcW w:w="1069" w:type="dxa"/>
            <w:noWrap/>
            <w:hideMark/>
          </w:tcPr>
          <w:p w:rsidR="00E92F67" w:rsidRPr="009427E0" w:rsidP="00E81188" w14:paraId="2CE443B5" w14:textId="77777777">
            <w:pPr>
              <w:spacing w:line="269" w:lineRule="auto"/>
              <w:rPr>
                <w:sz w:val="22"/>
                <w:szCs w:val="22"/>
              </w:rPr>
            </w:pPr>
            <w:r w:rsidRPr="009427E0">
              <w:rPr>
                <w:sz w:val="22"/>
                <w:szCs w:val="22"/>
              </w:rPr>
              <w:t>0%</w:t>
            </w:r>
          </w:p>
        </w:tc>
        <w:tc>
          <w:tcPr>
            <w:tcW w:w="1068" w:type="dxa"/>
            <w:noWrap/>
            <w:hideMark/>
          </w:tcPr>
          <w:p w:rsidR="00E92F67" w:rsidRPr="009427E0" w:rsidP="00E81188" w14:paraId="4C064880" w14:textId="77777777">
            <w:pPr>
              <w:spacing w:line="269" w:lineRule="auto"/>
              <w:rPr>
                <w:sz w:val="22"/>
                <w:szCs w:val="22"/>
              </w:rPr>
            </w:pPr>
            <w:r w:rsidRPr="009427E0">
              <w:rPr>
                <w:sz w:val="22"/>
                <w:szCs w:val="22"/>
              </w:rPr>
              <w:t>408</w:t>
            </w:r>
          </w:p>
        </w:tc>
        <w:tc>
          <w:tcPr>
            <w:tcW w:w="1069" w:type="dxa"/>
            <w:noWrap/>
            <w:hideMark/>
          </w:tcPr>
          <w:p w:rsidR="00E92F67" w:rsidRPr="009427E0" w:rsidP="00E81188" w14:paraId="281836DC" w14:textId="77777777">
            <w:pPr>
              <w:spacing w:line="269" w:lineRule="auto"/>
              <w:rPr>
                <w:sz w:val="22"/>
                <w:szCs w:val="22"/>
              </w:rPr>
            </w:pPr>
            <w:r w:rsidRPr="009427E0">
              <w:rPr>
                <w:sz w:val="22"/>
                <w:szCs w:val="22"/>
              </w:rPr>
              <w:t>378</w:t>
            </w:r>
          </w:p>
        </w:tc>
        <w:tc>
          <w:tcPr>
            <w:tcW w:w="1068" w:type="dxa"/>
            <w:noWrap/>
            <w:hideMark/>
          </w:tcPr>
          <w:p w:rsidR="00E92F67" w:rsidRPr="009427E0" w:rsidP="00E81188" w14:paraId="43FD6007" w14:textId="77777777">
            <w:pPr>
              <w:spacing w:line="269" w:lineRule="auto"/>
              <w:rPr>
                <w:sz w:val="22"/>
                <w:szCs w:val="22"/>
              </w:rPr>
            </w:pPr>
            <w:r w:rsidRPr="009427E0">
              <w:rPr>
                <w:sz w:val="22"/>
                <w:szCs w:val="22"/>
              </w:rPr>
              <w:t>7%</w:t>
            </w:r>
          </w:p>
        </w:tc>
        <w:tc>
          <w:tcPr>
            <w:tcW w:w="1069" w:type="dxa"/>
          </w:tcPr>
          <w:p w:rsidR="00E92F67" w:rsidRPr="009427E0" w:rsidP="00E81188" w14:paraId="6A59B8AB" w14:textId="77777777">
            <w:pPr>
              <w:spacing w:line="269" w:lineRule="auto"/>
              <w:rPr>
                <w:sz w:val="22"/>
                <w:szCs w:val="22"/>
              </w:rPr>
            </w:pPr>
            <w:r w:rsidRPr="009427E0">
              <w:rPr>
                <w:rFonts w:hint="cs"/>
                <w:sz w:val="22"/>
                <w:szCs w:val="22"/>
                <w:rtl/>
              </w:rPr>
              <w:t>127</w:t>
            </w:r>
          </w:p>
        </w:tc>
      </w:tr>
      <w:tr w14:paraId="79C4543B" w14:textId="77777777" w:rsidTr="009427E0">
        <w:tblPrEx>
          <w:tblW w:w="8548" w:type="dxa"/>
          <w:jc w:val="center"/>
          <w:tblLayout w:type="fixed"/>
          <w:tblLook w:val="04A0"/>
        </w:tblPrEx>
        <w:trPr>
          <w:trHeight w:val="256"/>
          <w:jc w:val="center"/>
        </w:trPr>
        <w:tc>
          <w:tcPr>
            <w:tcW w:w="1068" w:type="dxa"/>
            <w:noWrap/>
            <w:hideMark/>
          </w:tcPr>
          <w:p w:rsidR="00E92F67" w:rsidRPr="009427E0" w:rsidP="00E81188" w14:paraId="368FF7D4" w14:textId="77777777">
            <w:pPr>
              <w:spacing w:line="269" w:lineRule="auto"/>
              <w:rPr>
                <w:sz w:val="22"/>
                <w:szCs w:val="22"/>
              </w:rPr>
            </w:pPr>
            <w:r w:rsidRPr="009427E0">
              <w:rPr>
                <w:rFonts w:hint="cs"/>
                <w:sz w:val="22"/>
                <w:szCs w:val="22"/>
                <w:rtl/>
              </w:rPr>
              <w:t>סך הכול</w:t>
            </w:r>
          </w:p>
        </w:tc>
        <w:tc>
          <w:tcPr>
            <w:tcW w:w="1069" w:type="dxa"/>
            <w:noWrap/>
            <w:hideMark/>
          </w:tcPr>
          <w:p w:rsidR="00E92F67" w:rsidRPr="009427E0" w:rsidP="00E81188" w14:paraId="4C235668" w14:textId="77777777">
            <w:pPr>
              <w:spacing w:line="269" w:lineRule="auto"/>
              <w:rPr>
                <w:sz w:val="22"/>
                <w:szCs w:val="22"/>
                <w:rtl/>
              </w:rPr>
            </w:pPr>
            <w:r w:rsidRPr="009427E0">
              <w:rPr>
                <w:rFonts w:hint="cs"/>
                <w:sz w:val="22"/>
                <w:szCs w:val="22"/>
                <w:rtl/>
              </w:rPr>
              <w:t>7,587</w:t>
            </w:r>
          </w:p>
        </w:tc>
        <w:tc>
          <w:tcPr>
            <w:tcW w:w="1068" w:type="dxa"/>
            <w:noWrap/>
            <w:hideMark/>
          </w:tcPr>
          <w:p w:rsidR="00E92F67" w:rsidRPr="009427E0" w:rsidP="00E81188" w14:paraId="02B6BE2F" w14:textId="77777777">
            <w:pPr>
              <w:spacing w:line="269" w:lineRule="auto"/>
              <w:rPr>
                <w:sz w:val="22"/>
                <w:szCs w:val="22"/>
              </w:rPr>
            </w:pPr>
            <w:r w:rsidRPr="009427E0">
              <w:rPr>
                <w:rFonts w:hint="cs"/>
                <w:sz w:val="22"/>
                <w:szCs w:val="22"/>
                <w:rtl/>
              </w:rPr>
              <w:t>929</w:t>
            </w:r>
          </w:p>
        </w:tc>
        <w:tc>
          <w:tcPr>
            <w:tcW w:w="1069" w:type="dxa"/>
            <w:noWrap/>
            <w:hideMark/>
          </w:tcPr>
          <w:p w:rsidR="00E92F67" w:rsidRPr="009427E0" w:rsidP="00E81188" w14:paraId="37AAC1DA" w14:textId="77777777">
            <w:pPr>
              <w:spacing w:line="269" w:lineRule="auto"/>
              <w:rPr>
                <w:sz w:val="22"/>
                <w:szCs w:val="22"/>
              </w:rPr>
            </w:pPr>
            <w:r w:rsidRPr="009427E0">
              <w:rPr>
                <w:sz w:val="22"/>
                <w:szCs w:val="22"/>
              </w:rPr>
              <w:t>12%</w:t>
            </w:r>
          </w:p>
        </w:tc>
        <w:tc>
          <w:tcPr>
            <w:tcW w:w="1068" w:type="dxa"/>
            <w:noWrap/>
            <w:hideMark/>
          </w:tcPr>
          <w:p w:rsidR="00E92F67" w:rsidRPr="009427E0" w:rsidP="00E81188" w14:paraId="2CDBAB8E" w14:textId="77777777">
            <w:pPr>
              <w:spacing w:line="269" w:lineRule="auto"/>
              <w:rPr>
                <w:sz w:val="22"/>
                <w:szCs w:val="22"/>
              </w:rPr>
            </w:pPr>
            <w:r w:rsidRPr="009427E0">
              <w:rPr>
                <w:sz w:val="22"/>
                <w:szCs w:val="22"/>
              </w:rPr>
              <w:t>3,298</w:t>
            </w:r>
          </w:p>
        </w:tc>
        <w:tc>
          <w:tcPr>
            <w:tcW w:w="1069" w:type="dxa"/>
            <w:noWrap/>
            <w:hideMark/>
          </w:tcPr>
          <w:p w:rsidR="00E92F67" w:rsidRPr="009427E0" w:rsidP="00E81188" w14:paraId="02512B86" w14:textId="77777777">
            <w:pPr>
              <w:spacing w:line="269" w:lineRule="auto"/>
              <w:rPr>
                <w:sz w:val="22"/>
                <w:szCs w:val="22"/>
              </w:rPr>
            </w:pPr>
            <w:r w:rsidRPr="009427E0">
              <w:rPr>
                <w:sz w:val="22"/>
                <w:szCs w:val="22"/>
              </w:rPr>
              <w:t>2,280</w:t>
            </w:r>
          </w:p>
        </w:tc>
        <w:tc>
          <w:tcPr>
            <w:tcW w:w="1068" w:type="dxa"/>
            <w:noWrap/>
            <w:hideMark/>
          </w:tcPr>
          <w:p w:rsidR="00E92F67" w:rsidRPr="009427E0" w:rsidP="00E81188" w14:paraId="7EFF6B59" w14:textId="77777777">
            <w:pPr>
              <w:spacing w:line="269" w:lineRule="auto"/>
              <w:rPr>
                <w:sz w:val="22"/>
                <w:szCs w:val="22"/>
              </w:rPr>
            </w:pPr>
            <w:r w:rsidRPr="009427E0">
              <w:rPr>
                <w:sz w:val="22"/>
                <w:szCs w:val="22"/>
              </w:rPr>
              <w:t>31%</w:t>
            </w:r>
          </w:p>
        </w:tc>
        <w:tc>
          <w:tcPr>
            <w:tcW w:w="1069" w:type="dxa"/>
          </w:tcPr>
          <w:p w:rsidR="00E92F67" w:rsidRPr="009427E0" w:rsidP="00E81188" w14:paraId="27C633F7" w14:textId="77777777">
            <w:pPr>
              <w:spacing w:line="269" w:lineRule="auto"/>
              <w:rPr>
                <w:sz w:val="22"/>
                <w:szCs w:val="22"/>
              </w:rPr>
            </w:pPr>
            <w:r w:rsidRPr="009427E0">
              <w:rPr>
                <w:rFonts w:hint="cs"/>
                <w:sz w:val="22"/>
                <w:szCs w:val="22"/>
                <w:rtl/>
              </w:rPr>
              <w:t>1,333</w:t>
            </w:r>
          </w:p>
        </w:tc>
      </w:tr>
    </w:tbl>
    <w:p w:rsidR="00E92F67" w:rsidRPr="00DC3374" w:rsidP="00E81188" w14:paraId="7BE062E7" w14:textId="039D7400">
      <w:pPr>
        <w:spacing w:line="269" w:lineRule="auto"/>
        <w:jc w:val="left"/>
        <w:rPr>
          <w:szCs w:val="20"/>
          <w:rtl/>
        </w:rPr>
      </w:pPr>
      <w:r>
        <w:rPr>
          <w:rFonts w:hint="cs"/>
          <w:szCs w:val="20"/>
          <w:rtl/>
        </w:rPr>
        <w:t xml:space="preserve"> </w:t>
      </w:r>
      <w:r w:rsidRPr="00DC3374">
        <w:rPr>
          <w:rFonts w:hint="cs"/>
          <w:szCs w:val="20"/>
          <w:rtl/>
        </w:rPr>
        <w:t>על פי</w:t>
      </w:r>
      <w:r w:rsidRPr="00DC3374">
        <w:rPr>
          <w:szCs w:val="20"/>
          <w:rtl/>
        </w:rPr>
        <w:t xml:space="preserve"> נתוני משרד </w:t>
      </w:r>
      <w:r w:rsidRPr="00DC3374">
        <w:rPr>
          <w:rFonts w:hint="cs"/>
          <w:szCs w:val="20"/>
          <w:rtl/>
        </w:rPr>
        <w:t>הבריאות</w:t>
      </w:r>
      <w:r w:rsidRPr="00DC3374">
        <w:rPr>
          <w:szCs w:val="20"/>
          <w:rtl/>
        </w:rPr>
        <w:t>, בעיבוד משרד מבקר המדינה</w:t>
      </w:r>
      <w:r w:rsidRPr="00DC3374">
        <w:rPr>
          <w:rFonts w:hint="cs"/>
          <w:szCs w:val="20"/>
          <w:rtl/>
        </w:rPr>
        <w:t>.</w:t>
      </w:r>
    </w:p>
    <w:p w:rsidR="00E92F67" w:rsidRPr="00DC3374" w:rsidP="00E81188" w14:paraId="6A3F2157" w14:textId="70089238">
      <w:pPr>
        <w:spacing w:line="269" w:lineRule="auto"/>
        <w:jc w:val="left"/>
        <w:rPr>
          <w:szCs w:val="20"/>
          <w:rtl/>
        </w:rPr>
      </w:pPr>
      <w:r>
        <w:rPr>
          <w:rFonts w:hint="cs"/>
          <w:szCs w:val="20"/>
          <w:rtl/>
        </w:rPr>
        <w:t xml:space="preserve"> </w:t>
      </w:r>
      <w:r w:rsidRPr="00DC3374">
        <w:rPr>
          <w:rFonts w:hint="cs"/>
          <w:szCs w:val="20"/>
          <w:rtl/>
        </w:rPr>
        <w:t xml:space="preserve">* הנתונים נכונים ל-10.3.20. </w:t>
      </w:r>
    </w:p>
    <w:p w:rsidR="00E92F67" w:rsidRPr="00DC3374" w:rsidP="00E81188" w14:paraId="12EEF654" w14:textId="63CF0AD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46CA152" w14:textId="77777777">
      <w:pPr>
        <w:spacing w:line="269" w:lineRule="auto"/>
        <w:ind w:left="312"/>
        <w:rPr>
          <w:b/>
          <w:bCs/>
          <w:rtl/>
        </w:rPr>
      </w:pPr>
      <w:r w:rsidRPr="00DC3374">
        <w:rPr>
          <w:rFonts w:hint="eastAsia"/>
          <w:b/>
          <w:bCs/>
          <w:rtl/>
        </w:rPr>
        <w:t>מהלוח</w:t>
      </w:r>
      <w:r w:rsidRPr="00DC3374">
        <w:rPr>
          <w:b/>
          <w:bCs/>
          <w:rtl/>
        </w:rPr>
        <w:t xml:space="preserve"> </w:t>
      </w:r>
      <w:r w:rsidRPr="00DC3374">
        <w:rPr>
          <w:rFonts w:hint="eastAsia"/>
          <w:b/>
          <w:bCs/>
          <w:rtl/>
        </w:rPr>
        <w:t>עולה</w:t>
      </w:r>
      <w:r w:rsidRPr="00DC3374">
        <w:rPr>
          <w:b/>
          <w:bCs/>
          <w:rtl/>
        </w:rPr>
        <w:t xml:space="preserve"> </w:t>
      </w:r>
      <w:r w:rsidRPr="00DC3374">
        <w:rPr>
          <w:rFonts w:hint="eastAsia"/>
          <w:b/>
          <w:bCs/>
          <w:rtl/>
        </w:rPr>
        <w:t>כי</w:t>
      </w:r>
      <w:r w:rsidRPr="00DC3374">
        <w:rPr>
          <w:b/>
          <w:bCs/>
          <w:rtl/>
        </w:rPr>
        <w:t xml:space="preserve"> </w:t>
      </w:r>
      <w:r w:rsidRPr="00DC3374">
        <w:rPr>
          <w:rFonts w:hint="eastAsia"/>
          <w:b/>
          <w:bCs/>
          <w:rtl/>
        </w:rPr>
        <w:t>בתחילת</w:t>
      </w:r>
      <w:r w:rsidRPr="00DC3374">
        <w:rPr>
          <w:b/>
          <w:bCs/>
          <w:rtl/>
        </w:rPr>
        <w:t xml:space="preserve"> </w:t>
      </w:r>
      <w:r w:rsidRPr="00DC3374">
        <w:rPr>
          <w:rFonts w:hint="eastAsia"/>
          <w:b/>
          <w:bCs/>
          <w:rtl/>
        </w:rPr>
        <w:t>המשבר</w:t>
      </w:r>
      <w:r w:rsidRPr="00DC3374">
        <w:rPr>
          <w:rFonts w:hint="cs"/>
          <w:b/>
          <w:bCs/>
          <w:rtl/>
        </w:rPr>
        <w:t>,</w:t>
      </w:r>
      <w:r w:rsidRPr="00DC3374">
        <w:rPr>
          <w:b/>
          <w:bCs/>
          <w:rtl/>
        </w:rPr>
        <w:t xml:space="preserve"> בחודש מרץ 2020, 11% </w:t>
      </w:r>
      <w:r w:rsidRPr="00DC3374">
        <w:rPr>
          <w:rFonts w:hint="eastAsia"/>
          <w:b/>
          <w:bCs/>
          <w:rtl/>
        </w:rPr>
        <w:t>מהשיחות</w:t>
      </w:r>
      <w:r w:rsidRPr="00DC3374">
        <w:rPr>
          <w:b/>
          <w:bCs/>
          <w:rtl/>
        </w:rPr>
        <w:t xml:space="preserve"> </w:t>
      </w:r>
      <w:r w:rsidRPr="00DC3374">
        <w:rPr>
          <w:rFonts w:hint="eastAsia"/>
          <w:b/>
          <w:bCs/>
          <w:rtl/>
        </w:rPr>
        <w:t>למוקד</w:t>
      </w:r>
      <w:r w:rsidRPr="00DC3374">
        <w:rPr>
          <w:b/>
          <w:bCs/>
          <w:rtl/>
        </w:rPr>
        <w:t xml:space="preserve"> </w:t>
      </w:r>
      <w:r w:rsidRPr="00DC3374">
        <w:rPr>
          <w:rFonts w:hint="eastAsia"/>
          <w:b/>
          <w:bCs/>
          <w:rtl/>
        </w:rPr>
        <w:t>הטלפוני</w:t>
      </w:r>
      <w:r w:rsidRPr="00DC3374">
        <w:rPr>
          <w:b/>
          <w:bCs/>
          <w:rtl/>
        </w:rPr>
        <w:t xml:space="preserve"> </w:t>
      </w:r>
      <w:r w:rsidRPr="00DC3374">
        <w:rPr>
          <w:rFonts w:hint="eastAsia"/>
          <w:b/>
          <w:bCs/>
          <w:rtl/>
        </w:rPr>
        <w:t>של</w:t>
      </w:r>
      <w:r w:rsidRPr="00DC3374">
        <w:rPr>
          <w:b/>
          <w:bCs/>
          <w:rtl/>
        </w:rPr>
        <w:t xml:space="preserve"> </w:t>
      </w:r>
      <w:r w:rsidRPr="00DC3374">
        <w:rPr>
          <w:rFonts w:hint="eastAsia"/>
          <w:b/>
          <w:bCs/>
          <w:rtl/>
        </w:rPr>
        <w:t>משרד</w:t>
      </w:r>
      <w:r w:rsidRPr="00DC3374">
        <w:rPr>
          <w:b/>
          <w:bCs/>
          <w:rtl/>
        </w:rPr>
        <w:t xml:space="preserve"> </w:t>
      </w:r>
      <w:r w:rsidRPr="00DC3374">
        <w:rPr>
          <w:rFonts w:hint="eastAsia"/>
          <w:b/>
          <w:bCs/>
          <w:rtl/>
        </w:rPr>
        <w:t>הבריאות</w:t>
      </w:r>
      <w:r w:rsidRPr="00DC3374">
        <w:rPr>
          <w:b/>
          <w:bCs/>
          <w:rtl/>
        </w:rPr>
        <w:t xml:space="preserve"> </w:t>
      </w:r>
      <w:r w:rsidRPr="00DC3374">
        <w:rPr>
          <w:rFonts w:hint="eastAsia"/>
          <w:b/>
          <w:bCs/>
          <w:rtl/>
        </w:rPr>
        <w:t>נעצרו</w:t>
      </w:r>
      <w:r w:rsidRPr="00DC3374">
        <w:rPr>
          <w:b/>
          <w:bCs/>
          <w:rtl/>
        </w:rPr>
        <w:t xml:space="preserve"> </w:t>
      </w:r>
      <w:r w:rsidRPr="00DC3374">
        <w:rPr>
          <w:rFonts w:hint="eastAsia"/>
          <w:b/>
          <w:bCs/>
          <w:rtl/>
        </w:rPr>
        <w:t>בנתב</w:t>
      </w:r>
      <w:r w:rsidRPr="00DC3374">
        <w:rPr>
          <w:b/>
          <w:bCs/>
          <w:rtl/>
        </w:rPr>
        <w:t xml:space="preserve"> </w:t>
      </w:r>
      <w:r w:rsidRPr="00DC3374">
        <w:rPr>
          <w:rFonts w:hint="eastAsia"/>
          <w:b/>
          <w:bCs/>
          <w:rtl/>
        </w:rPr>
        <w:t>ולא</w:t>
      </w:r>
      <w:r w:rsidRPr="00DC3374">
        <w:rPr>
          <w:b/>
          <w:bCs/>
          <w:rtl/>
        </w:rPr>
        <w:t xml:space="preserve"> </w:t>
      </w:r>
      <w:r w:rsidRPr="00DC3374">
        <w:rPr>
          <w:rFonts w:hint="eastAsia"/>
          <w:b/>
          <w:bCs/>
          <w:rtl/>
        </w:rPr>
        <w:t>הגיעו</w:t>
      </w:r>
      <w:r w:rsidRPr="00DC3374">
        <w:rPr>
          <w:b/>
          <w:bCs/>
          <w:rtl/>
        </w:rPr>
        <w:t xml:space="preserve"> </w:t>
      </w:r>
      <w:r w:rsidRPr="00DC3374">
        <w:rPr>
          <w:rFonts w:hint="eastAsia"/>
          <w:b/>
          <w:bCs/>
          <w:rtl/>
        </w:rPr>
        <w:t>למוקד</w:t>
      </w:r>
      <w:r w:rsidRPr="00DC3374">
        <w:rPr>
          <w:rFonts w:hint="cs"/>
          <w:b/>
          <w:bCs/>
          <w:rtl/>
        </w:rPr>
        <w:t>.</w:t>
      </w:r>
      <w:r w:rsidRPr="00DC3374">
        <w:rPr>
          <w:b/>
          <w:bCs/>
          <w:rtl/>
        </w:rPr>
        <w:t xml:space="preserve"> נוסף על כך 50% מהשיחות שהגיעו למוקד לא נענו בידי מוקדן; בחודשים יוני, יולי ואוגוסט 2020 כמעט כל השיחות עברו את הנתב בהצלחה, אך 37%, 40% ו-24% מהן, בהתאמה, לא נענו בידי מוקדן; </w:t>
      </w:r>
      <w:r w:rsidRPr="00DC3374">
        <w:rPr>
          <w:rFonts w:hint="eastAsia"/>
          <w:b/>
          <w:bCs/>
          <w:rtl/>
        </w:rPr>
        <w:t>בתקופת</w:t>
      </w:r>
      <w:r w:rsidRPr="00DC3374">
        <w:rPr>
          <w:b/>
          <w:bCs/>
          <w:rtl/>
        </w:rPr>
        <w:t xml:space="preserve"> </w:t>
      </w:r>
      <w:r w:rsidRPr="00DC3374">
        <w:rPr>
          <w:rFonts w:hint="eastAsia"/>
          <w:b/>
          <w:bCs/>
          <w:rtl/>
        </w:rPr>
        <w:t>הסגר</w:t>
      </w:r>
      <w:r w:rsidRPr="00DC3374">
        <w:rPr>
          <w:b/>
          <w:bCs/>
          <w:rtl/>
        </w:rPr>
        <w:t xml:space="preserve"> </w:t>
      </w:r>
      <w:r w:rsidRPr="00DC3374">
        <w:rPr>
          <w:rFonts w:hint="eastAsia"/>
          <w:b/>
          <w:bCs/>
          <w:rtl/>
        </w:rPr>
        <w:t>השני</w:t>
      </w:r>
      <w:r w:rsidRPr="00DC3374">
        <w:rPr>
          <w:rFonts w:hint="cs"/>
          <w:b/>
          <w:bCs/>
          <w:rtl/>
        </w:rPr>
        <w:t>,</w:t>
      </w:r>
      <w:r w:rsidRPr="00DC3374">
        <w:rPr>
          <w:b/>
          <w:bCs/>
          <w:rtl/>
        </w:rPr>
        <w:t xml:space="preserve"> </w:t>
      </w:r>
      <w:r w:rsidRPr="00DC3374">
        <w:rPr>
          <w:rFonts w:hint="eastAsia"/>
          <w:b/>
          <w:bCs/>
          <w:rtl/>
        </w:rPr>
        <w:t>בחודש</w:t>
      </w:r>
      <w:r w:rsidRPr="00DC3374">
        <w:rPr>
          <w:b/>
          <w:bCs/>
          <w:rtl/>
        </w:rPr>
        <w:t xml:space="preserve"> </w:t>
      </w:r>
      <w:r w:rsidRPr="00DC3374">
        <w:rPr>
          <w:rFonts w:hint="eastAsia"/>
          <w:b/>
          <w:bCs/>
          <w:rtl/>
        </w:rPr>
        <w:t>ספטמבר</w:t>
      </w:r>
      <w:r w:rsidRPr="00DC3374">
        <w:rPr>
          <w:b/>
          <w:bCs/>
          <w:rtl/>
        </w:rPr>
        <w:t xml:space="preserve"> 2020, </w:t>
      </w:r>
      <w:r w:rsidRPr="00DC3374">
        <w:rPr>
          <w:rFonts w:hint="eastAsia"/>
          <w:b/>
          <w:bCs/>
          <w:rtl/>
        </w:rPr>
        <w:t>יותר</w:t>
      </w:r>
      <w:r w:rsidRPr="00DC3374">
        <w:rPr>
          <w:b/>
          <w:bCs/>
          <w:rtl/>
        </w:rPr>
        <w:t xml:space="preserve"> </w:t>
      </w:r>
      <w:r w:rsidRPr="00DC3374">
        <w:rPr>
          <w:rFonts w:hint="eastAsia"/>
          <w:b/>
          <w:bCs/>
          <w:rtl/>
        </w:rPr>
        <w:t>מחצי</w:t>
      </w:r>
      <w:r w:rsidRPr="00DC3374">
        <w:rPr>
          <w:b/>
          <w:bCs/>
          <w:rtl/>
        </w:rPr>
        <w:t xml:space="preserve"> </w:t>
      </w:r>
      <w:r w:rsidRPr="00DC3374">
        <w:rPr>
          <w:rFonts w:hint="eastAsia"/>
          <w:b/>
          <w:bCs/>
          <w:rtl/>
        </w:rPr>
        <w:t>שנה</w:t>
      </w:r>
      <w:r w:rsidRPr="00DC3374">
        <w:rPr>
          <w:b/>
          <w:bCs/>
          <w:rtl/>
        </w:rPr>
        <w:t xml:space="preserve"> מתחילת המשבר, 31% </w:t>
      </w:r>
      <w:r w:rsidRPr="00DC3374">
        <w:rPr>
          <w:rFonts w:hint="eastAsia"/>
          <w:b/>
          <w:bCs/>
          <w:rtl/>
        </w:rPr>
        <w:t>מהשיחות</w:t>
      </w:r>
      <w:r w:rsidRPr="00DC3374">
        <w:rPr>
          <w:b/>
          <w:bCs/>
          <w:rtl/>
        </w:rPr>
        <w:t xml:space="preserve"> </w:t>
      </w:r>
      <w:r w:rsidRPr="00DC3374">
        <w:rPr>
          <w:rFonts w:hint="eastAsia"/>
          <w:b/>
          <w:bCs/>
          <w:rtl/>
        </w:rPr>
        <w:t>נותקו</w:t>
      </w:r>
      <w:r w:rsidRPr="00DC3374">
        <w:rPr>
          <w:b/>
          <w:bCs/>
          <w:rtl/>
        </w:rPr>
        <w:t xml:space="preserve"> </w:t>
      </w:r>
      <w:r w:rsidRPr="00DC3374">
        <w:rPr>
          <w:rFonts w:hint="eastAsia"/>
          <w:b/>
          <w:bCs/>
          <w:rtl/>
        </w:rPr>
        <w:t>בנתב</w:t>
      </w:r>
      <w:r w:rsidRPr="00DC3374">
        <w:rPr>
          <w:rFonts w:hint="cs"/>
          <w:b/>
          <w:bCs/>
          <w:rtl/>
        </w:rPr>
        <w:t>.</w:t>
      </w:r>
      <w:r w:rsidRPr="00DC3374">
        <w:rPr>
          <w:b/>
          <w:bCs/>
          <w:rtl/>
        </w:rPr>
        <w:t xml:space="preserve"> </w:t>
      </w:r>
      <w:r w:rsidRPr="00DC3374">
        <w:rPr>
          <w:rFonts w:hint="eastAsia"/>
          <w:b/>
          <w:bCs/>
          <w:rtl/>
        </w:rPr>
        <w:t>נוסף</w:t>
      </w:r>
      <w:r w:rsidRPr="00DC3374">
        <w:rPr>
          <w:b/>
          <w:bCs/>
          <w:rtl/>
        </w:rPr>
        <w:t xml:space="preserve"> על </w:t>
      </w:r>
      <w:r w:rsidRPr="00DC3374">
        <w:rPr>
          <w:rFonts w:hint="eastAsia"/>
          <w:b/>
          <w:bCs/>
          <w:rtl/>
        </w:rPr>
        <w:t>כך</w:t>
      </w:r>
      <w:r w:rsidRPr="00DC3374">
        <w:rPr>
          <w:b/>
          <w:bCs/>
          <w:rtl/>
        </w:rPr>
        <w:t xml:space="preserve"> 42% </w:t>
      </w:r>
      <w:r w:rsidRPr="00DC3374">
        <w:rPr>
          <w:rFonts w:hint="eastAsia"/>
          <w:b/>
          <w:bCs/>
          <w:rtl/>
        </w:rPr>
        <w:t>מהשיחות</w:t>
      </w:r>
      <w:r w:rsidRPr="00DC3374">
        <w:rPr>
          <w:b/>
          <w:bCs/>
          <w:rtl/>
        </w:rPr>
        <w:t xml:space="preserve"> </w:t>
      </w:r>
      <w:r>
        <w:rPr>
          <w:rFonts w:hint="cs"/>
          <w:b/>
          <w:bCs/>
          <w:rtl/>
        </w:rPr>
        <w:t>שנכנסו</w:t>
      </w:r>
      <w:r w:rsidRPr="00DC3374">
        <w:rPr>
          <w:b/>
          <w:bCs/>
          <w:rtl/>
        </w:rPr>
        <w:t xml:space="preserve"> </w:t>
      </w:r>
      <w:r w:rsidRPr="00DC3374">
        <w:rPr>
          <w:rFonts w:hint="eastAsia"/>
          <w:b/>
          <w:bCs/>
          <w:rtl/>
        </w:rPr>
        <w:t>למוקד</w:t>
      </w:r>
      <w:r w:rsidRPr="00DC3374">
        <w:rPr>
          <w:b/>
          <w:bCs/>
          <w:rtl/>
        </w:rPr>
        <w:t xml:space="preserve"> </w:t>
      </w:r>
      <w:r w:rsidRPr="00DC3374">
        <w:rPr>
          <w:rFonts w:hint="eastAsia"/>
          <w:b/>
          <w:bCs/>
          <w:rtl/>
        </w:rPr>
        <w:t>לא</w:t>
      </w:r>
      <w:r w:rsidRPr="00DC3374">
        <w:rPr>
          <w:b/>
          <w:bCs/>
          <w:rtl/>
        </w:rPr>
        <w:t xml:space="preserve"> </w:t>
      </w:r>
      <w:r w:rsidRPr="00DC3374">
        <w:rPr>
          <w:rFonts w:hint="eastAsia"/>
          <w:b/>
          <w:bCs/>
          <w:rtl/>
        </w:rPr>
        <w:t>נענו</w:t>
      </w:r>
      <w:r w:rsidRPr="00DC3374">
        <w:rPr>
          <w:b/>
          <w:bCs/>
          <w:rtl/>
        </w:rPr>
        <w:t xml:space="preserve"> </w:t>
      </w:r>
      <w:r w:rsidRPr="00DC3374">
        <w:rPr>
          <w:rFonts w:hint="eastAsia"/>
          <w:b/>
          <w:bCs/>
          <w:rtl/>
        </w:rPr>
        <w:t>בידי</w:t>
      </w:r>
      <w:r w:rsidRPr="00DC3374">
        <w:rPr>
          <w:b/>
          <w:bCs/>
          <w:rtl/>
        </w:rPr>
        <w:t xml:space="preserve"> </w:t>
      </w:r>
      <w:r w:rsidRPr="00DC3374">
        <w:rPr>
          <w:rFonts w:hint="eastAsia"/>
          <w:b/>
          <w:bCs/>
          <w:rtl/>
        </w:rPr>
        <w:t>מוקדן</w:t>
      </w:r>
      <w:r w:rsidRPr="00DC3374">
        <w:rPr>
          <w:b/>
          <w:bCs/>
          <w:rtl/>
        </w:rPr>
        <w:t xml:space="preserve">. </w:t>
      </w:r>
    </w:p>
    <w:p w:rsidR="00E92F67" w:rsidRPr="00DC3374" w:rsidP="00E81188" w14:paraId="0675B876" w14:textId="77777777">
      <w:pPr>
        <w:spacing w:line="269" w:lineRule="auto"/>
        <w:ind w:left="720" w:hanging="720"/>
        <w:rPr>
          <w:szCs w:val="20"/>
          <w:rtl/>
        </w:rPr>
      </w:pPr>
      <w:r w:rsidRPr="00DC3374">
        <w:rPr>
          <w:rtl/>
        </w:rPr>
        <w:br w:type="page"/>
      </w:r>
    </w:p>
    <w:p w:rsidR="00E92F67" w:rsidRPr="00DC3374" w:rsidP="00E81188" w14:paraId="6D32291B" w14:textId="2C83423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85FF163" w14:textId="77777777">
      <w:pPr>
        <w:pStyle w:val="ListParagraph"/>
        <w:spacing w:line="269" w:lineRule="auto"/>
        <w:ind w:left="-1"/>
        <w:jc w:val="center"/>
        <w:rPr>
          <w:b/>
          <w:bCs/>
          <w:rtl/>
        </w:rPr>
      </w:pPr>
      <w:r w:rsidRPr="00DC3374">
        <w:rPr>
          <w:rFonts w:hint="eastAsia"/>
          <w:b/>
          <w:bCs/>
          <w:rtl/>
        </w:rPr>
        <w:t>לוח</w:t>
      </w:r>
      <w:r w:rsidRPr="00DC3374">
        <w:rPr>
          <w:b/>
          <w:bCs/>
          <w:rtl/>
        </w:rPr>
        <w:t xml:space="preserve"> 2: </w:t>
      </w:r>
      <w:r w:rsidRPr="00DC3374">
        <w:rPr>
          <w:rFonts w:hint="eastAsia"/>
          <w:b/>
          <w:bCs/>
          <w:rtl/>
        </w:rPr>
        <w:t>הפניות</w:t>
      </w:r>
      <w:r w:rsidRPr="00DC3374">
        <w:rPr>
          <w:b/>
          <w:bCs/>
          <w:rtl/>
        </w:rPr>
        <w:t xml:space="preserve"> </w:t>
      </w:r>
      <w:r w:rsidRPr="00DC3374">
        <w:rPr>
          <w:rFonts w:hint="eastAsia"/>
          <w:b/>
          <w:bCs/>
          <w:rtl/>
        </w:rPr>
        <w:t>למוקד</w:t>
      </w:r>
      <w:r w:rsidRPr="00DC3374">
        <w:rPr>
          <w:b/>
          <w:bCs/>
          <w:rtl/>
        </w:rPr>
        <w:t xml:space="preserve"> </w:t>
      </w:r>
      <w:r w:rsidRPr="00DC3374">
        <w:rPr>
          <w:rFonts w:hint="eastAsia"/>
          <w:b/>
          <w:bCs/>
          <w:rtl/>
        </w:rPr>
        <w:t>המידע</w:t>
      </w:r>
      <w:r w:rsidRPr="00DC3374">
        <w:rPr>
          <w:b/>
          <w:bCs/>
          <w:rtl/>
        </w:rPr>
        <w:t xml:space="preserve"> </w:t>
      </w:r>
      <w:r w:rsidRPr="00DC3374">
        <w:rPr>
          <w:rFonts w:hint="eastAsia"/>
          <w:b/>
          <w:bCs/>
          <w:rtl/>
        </w:rPr>
        <w:t>של</w:t>
      </w:r>
      <w:r w:rsidRPr="00DC3374">
        <w:rPr>
          <w:b/>
          <w:bCs/>
          <w:rtl/>
        </w:rPr>
        <w:t xml:space="preserve"> </w:t>
      </w:r>
      <w:r w:rsidRPr="00DC3374">
        <w:rPr>
          <w:rFonts w:hint="eastAsia"/>
          <w:b/>
          <w:bCs/>
          <w:rtl/>
        </w:rPr>
        <w:t>המשטרה</w:t>
      </w:r>
      <w:r w:rsidRPr="00DC3374">
        <w:rPr>
          <w:b/>
          <w:bCs/>
          <w:rtl/>
        </w:rPr>
        <w:t xml:space="preserve">, מרץ-אוקטובר 2020 </w:t>
      </w:r>
      <w:r w:rsidRPr="00DC3374">
        <w:rPr>
          <w:rFonts w:hint="cs"/>
          <w:b/>
          <w:bCs/>
          <w:rtl/>
        </w:rPr>
        <w:t>(באלפים, מעוגל)*</w:t>
      </w:r>
    </w:p>
    <w:tbl>
      <w:tblPr>
        <w:tblStyle w:val="GridTable4Accent5"/>
        <w:bidiVisual/>
        <w:tblW w:w="881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2"/>
        <w:gridCol w:w="1062"/>
        <w:gridCol w:w="1062"/>
        <w:gridCol w:w="1062"/>
        <w:gridCol w:w="1062"/>
        <w:gridCol w:w="1062"/>
        <w:gridCol w:w="1062"/>
        <w:gridCol w:w="1379"/>
      </w:tblGrid>
      <w:tr w14:paraId="724A3BA0" w14:textId="77777777" w:rsidTr="009427E0">
        <w:tblPrEx>
          <w:tblW w:w="881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478"/>
        </w:trPr>
        <w:tc>
          <w:tcPr>
            <w:tcW w:w="1062" w:type="dxa"/>
            <w:tcBorders>
              <w:top w:val="none" w:sz="0" w:space="0" w:color="auto"/>
              <w:left w:val="none" w:sz="0" w:space="0" w:color="auto"/>
              <w:bottom w:val="none" w:sz="0" w:space="0" w:color="auto"/>
              <w:right w:val="none" w:sz="0" w:space="0" w:color="auto"/>
            </w:tcBorders>
            <w:hideMark/>
          </w:tcPr>
          <w:p w:rsidR="00E92F67" w:rsidRPr="009427E0" w:rsidP="00F26F18" w14:paraId="53BC311D" w14:textId="77777777">
            <w:pPr>
              <w:spacing w:line="269" w:lineRule="auto"/>
              <w:jc w:val="left"/>
              <w:rPr>
                <w:sz w:val="22"/>
                <w:szCs w:val="22"/>
              </w:rPr>
            </w:pPr>
            <w:r w:rsidRPr="009427E0">
              <w:rPr>
                <w:sz w:val="22"/>
                <w:szCs w:val="22"/>
                <w:rtl/>
              </w:rPr>
              <w:t>חודש</w:t>
            </w:r>
          </w:p>
        </w:tc>
        <w:tc>
          <w:tcPr>
            <w:tcW w:w="1062" w:type="dxa"/>
            <w:tcBorders>
              <w:top w:val="none" w:sz="0" w:space="0" w:color="auto"/>
              <w:left w:val="none" w:sz="0" w:space="0" w:color="auto"/>
              <w:bottom w:val="none" w:sz="0" w:space="0" w:color="auto"/>
              <w:right w:val="none" w:sz="0" w:space="0" w:color="auto"/>
            </w:tcBorders>
            <w:hideMark/>
          </w:tcPr>
          <w:p w:rsidR="00E92F67" w:rsidRPr="009427E0" w:rsidP="00F26F18" w14:paraId="75B510AE" w14:textId="77777777">
            <w:pPr>
              <w:spacing w:line="269" w:lineRule="auto"/>
              <w:jc w:val="left"/>
              <w:rPr>
                <w:sz w:val="22"/>
                <w:szCs w:val="22"/>
                <w:rtl/>
              </w:rPr>
            </w:pPr>
            <w:r w:rsidRPr="009427E0">
              <w:rPr>
                <w:sz w:val="22"/>
                <w:szCs w:val="22"/>
                <w:rtl/>
              </w:rPr>
              <w:t xml:space="preserve">מספר הפניות </w:t>
            </w:r>
            <w:r w:rsidRPr="009427E0">
              <w:rPr>
                <w:rFonts w:hint="cs"/>
                <w:sz w:val="22"/>
                <w:szCs w:val="22"/>
                <w:rtl/>
              </w:rPr>
              <w:t>למוקד</w:t>
            </w:r>
          </w:p>
        </w:tc>
        <w:tc>
          <w:tcPr>
            <w:tcW w:w="1062" w:type="dxa"/>
            <w:tcBorders>
              <w:top w:val="none" w:sz="0" w:space="0" w:color="auto"/>
              <w:left w:val="none" w:sz="0" w:space="0" w:color="auto"/>
              <w:bottom w:val="none" w:sz="0" w:space="0" w:color="auto"/>
              <w:right w:val="none" w:sz="0" w:space="0" w:color="auto"/>
            </w:tcBorders>
            <w:hideMark/>
          </w:tcPr>
          <w:p w:rsidR="00E92F67" w:rsidRPr="009427E0" w:rsidP="00F26F18" w14:paraId="3E4DD9AC" w14:textId="77777777">
            <w:pPr>
              <w:spacing w:line="269" w:lineRule="auto"/>
              <w:jc w:val="left"/>
              <w:rPr>
                <w:sz w:val="22"/>
                <w:szCs w:val="22"/>
                <w:rtl/>
              </w:rPr>
            </w:pPr>
            <w:r w:rsidRPr="009427E0">
              <w:rPr>
                <w:sz w:val="22"/>
                <w:szCs w:val="22"/>
                <w:rtl/>
              </w:rPr>
              <w:t xml:space="preserve">מספר השיחות שנותקו </w:t>
            </w:r>
            <w:r w:rsidRPr="009427E0">
              <w:rPr>
                <w:rFonts w:hint="cs"/>
                <w:sz w:val="22"/>
                <w:szCs w:val="22"/>
                <w:rtl/>
              </w:rPr>
              <w:t>לפני הגעתן למוקד</w:t>
            </w:r>
          </w:p>
        </w:tc>
        <w:tc>
          <w:tcPr>
            <w:tcW w:w="1062" w:type="dxa"/>
            <w:tcBorders>
              <w:top w:val="none" w:sz="0" w:space="0" w:color="auto"/>
              <w:left w:val="none" w:sz="0" w:space="0" w:color="auto"/>
              <w:bottom w:val="none" w:sz="0" w:space="0" w:color="auto"/>
              <w:right w:val="none" w:sz="0" w:space="0" w:color="auto"/>
            </w:tcBorders>
            <w:hideMark/>
          </w:tcPr>
          <w:p w:rsidR="00E92F67" w:rsidRPr="009427E0" w:rsidP="00F26F18" w14:paraId="4BA47C11" w14:textId="77777777">
            <w:pPr>
              <w:spacing w:line="269" w:lineRule="auto"/>
              <w:jc w:val="left"/>
              <w:rPr>
                <w:sz w:val="22"/>
                <w:szCs w:val="22"/>
                <w:rtl/>
              </w:rPr>
            </w:pPr>
            <w:r w:rsidRPr="009427E0">
              <w:rPr>
                <w:sz w:val="22"/>
                <w:szCs w:val="22"/>
                <w:rtl/>
              </w:rPr>
              <w:t xml:space="preserve">שיעור השיחות שנותקו </w:t>
            </w:r>
            <w:r w:rsidRPr="009427E0">
              <w:rPr>
                <w:rFonts w:hint="cs"/>
                <w:sz w:val="22"/>
                <w:szCs w:val="22"/>
                <w:rtl/>
              </w:rPr>
              <w:t>לפני הגעתן למוקד</w:t>
            </w:r>
          </w:p>
        </w:tc>
        <w:tc>
          <w:tcPr>
            <w:tcW w:w="1062" w:type="dxa"/>
            <w:tcBorders>
              <w:top w:val="none" w:sz="0" w:space="0" w:color="auto"/>
              <w:left w:val="none" w:sz="0" w:space="0" w:color="auto"/>
              <w:bottom w:val="none" w:sz="0" w:space="0" w:color="auto"/>
              <w:right w:val="none" w:sz="0" w:space="0" w:color="auto"/>
            </w:tcBorders>
            <w:hideMark/>
          </w:tcPr>
          <w:p w:rsidR="00E92F67" w:rsidRPr="009427E0" w:rsidP="00F26F18" w14:paraId="00387730" w14:textId="34D7020B">
            <w:pPr>
              <w:spacing w:line="269" w:lineRule="auto"/>
              <w:jc w:val="left"/>
              <w:rPr>
                <w:sz w:val="22"/>
                <w:szCs w:val="22"/>
                <w:rtl/>
              </w:rPr>
            </w:pPr>
            <w:r w:rsidRPr="009427E0">
              <w:rPr>
                <w:rFonts w:hint="cs"/>
                <w:sz w:val="22"/>
                <w:szCs w:val="22"/>
                <w:rtl/>
              </w:rPr>
              <w:t>מספר ה</w:t>
            </w:r>
            <w:r w:rsidRPr="009427E0">
              <w:rPr>
                <w:sz w:val="22"/>
                <w:szCs w:val="22"/>
                <w:rtl/>
              </w:rPr>
              <w:t>שיחות</w:t>
            </w:r>
            <w:r w:rsidRPr="009427E0" w:rsidR="009A11FC">
              <w:rPr>
                <w:sz w:val="22"/>
                <w:szCs w:val="22"/>
                <w:rtl/>
              </w:rPr>
              <w:t xml:space="preserve"> </w:t>
            </w:r>
            <w:r w:rsidRPr="009427E0">
              <w:rPr>
                <w:rFonts w:hint="cs"/>
                <w:sz w:val="22"/>
                <w:szCs w:val="22"/>
                <w:rtl/>
              </w:rPr>
              <w:t>שנכנסו למוקד בנושא ה</w:t>
            </w:r>
            <w:r w:rsidRPr="009427E0">
              <w:rPr>
                <w:sz w:val="22"/>
                <w:szCs w:val="22"/>
                <w:rtl/>
              </w:rPr>
              <w:t>קורונה</w:t>
            </w:r>
          </w:p>
        </w:tc>
        <w:tc>
          <w:tcPr>
            <w:tcW w:w="1062" w:type="dxa"/>
            <w:tcBorders>
              <w:top w:val="none" w:sz="0" w:space="0" w:color="auto"/>
              <w:left w:val="none" w:sz="0" w:space="0" w:color="auto"/>
              <w:bottom w:val="none" w:sz="0" w:space="0" w:color="auto"/>
              <w:right w:val="none" w:sz="0" w:space="0" w:color="auto"/>
            </w:tcBorders>
            <w:hideMark/>
          </w:tcPr>
          <w:p w:rsidR="00E92F67" w:rsidRPr="009427E0" w:rsidP="00F26F18" w14:paraId="11412C34" w14:textId="77777777">
            <w:pPr>
              <w:spacing w:line="269" w:lineRule="auto"/>
              <w:jc w:val="left"/>
              <w:rPr>
                <w:sz w:val="22"/>
                <w:szCs w:val="22"/>
                <w:rtl/>
              </w:rPr>
            </w:pPr>
            <w:r w:rsidRPr="009427E0">
              <w:rPr>
                <w:rFonts w:hint="cs"/>
                <w:sz w:val="22"/>
                <w:szCs w:val="22"/>
                <w:rtl/>
              </w:rPr>
              <w:t>מספר ה</w:t>
            </w:r>
            <w:r w:rsidRPr="009427E0">
              <w:rPr>
                <w:sz w:val="22"/>
                <w:szCs w:val="22"/>
                <w:rtl/>
              </w:rPr>
              <w:t xml:space="preserve">שיחות שנענו </w:t>
            </w:r>
            <w:r w:rsidRPr="009427E0">
              <w:rPr>
                <w:rFonts w:hint="cs"/>
                <w:sz w:val="22"/>
                <w:szCs w:val="22"/>
                <w:rtl/>
              </w:rPr>
              <w:t>בידי מוקדן בנושא ה</w:t>
            </w:r>
            <w:r w:rsidRPr="009427E0">
              <w:rPr>
                <w:sz w:val="22"/>
                <w:szCs w:val="22"/>
                <w:rtl/>
              </w:rPr>
              <w:t>קורונה</w:t>
            </w:r>
          </w:p>
        </w:tc>
        <w:tc>
          <w:tcPr>
            <w:tcW w:w="1062" w:type="dxa"/>
            <w:tcBorders>
              <w:top w:val="none" w:sz="0" w:space="0" w:color="auto"/>
              <w:left w:val="none" w:sz="0" w:space="0" w:color="auto"/>
              <w:bottom w:val="none" w:sz="0" w:space="0" w:color="auto"/>
              <w:right w:val="none" w:sz="0" w:space="0" w:color="auto"/>
            </w:tcBorders>
            <w:hideMark/>
          </w:tcPr>
          <w:p w:rsidR="00E92F67" w:rsidRPr="009427E0" w:rsidP="00F26F18" w14:paraId="0C49907A" w14:textId="4CE9202C">
            <w:pPr>
              <w:spacing w:line="269" w:lineRule="auto"/>
              <w:jc w:val="left"/>
              <w:rPr>
                <w:sz w:val="22"/>
                <w:szCs w:val="22"/>
                <w:rtl/>
              </w:rPr>
            </w:pPr>
            <w:r w:rsidRPr="009427E0">
              <w:rPr>
                <w:sz w:val="22"/>
                <w:szCs w:val="22"/>
                <w:rtl/>
              </w:rPr>
              <w:t xml:space="preserve">שיעור השיחות </w:t>
            </w:r>
            <w:r w:rsidRPr="009427E0">
              <w:rPr>
                <w:rFonts w:hint="cs"/>
                <w:sz w:val="22"/>
                <w:szCs w:val="22"/>
                <w:rtl/>
              </w:rPr>
              <w:t xml:space="preserve">בנושא הקורונה </w:t>
            </w:r>
            <w:r w:rsidRPr="009427E0">
              <w:rPr>
                <w:sz w:val="22"/>
                <w:szCs w:val="22"/>
                <w:rtl/>
              </w:rPr>
              <w:t>שלא נענו</w:t>
            </w:r>
            <w:r w:rsidRPr="009427E0" w:rsidR="009A11FC">
              <w:rPr>
                <w:rFonts w:hint="cs"/>
                <w:sz w:val="22"/>
                <w:szCs w:val="22"/>
                <w:rtl/>
              </w:rPr>
              <w:t xml:space="preserve"> </w:t>
            </w:r>
            <w:r w:rsidRPr="009427E0">
              <w:rPr>
                <w:rFonts w:hint="cs"/>
                <w:sz w:val="22"/>
                <w:szCs w:val="22"/>
                <w:rtl/>
              </w:rPr>
              <w:t>בידי מוקדן</w:t>
            </w:r>
          </w:p>
        </w:tc>
        <w:tc>
          <w:tcPr>
            <w:tcW w:w="1379" w:type="dxa"/>
            <w:tcBorders>
              <w:top w:val="none" w:sz="0" w:space="0" w:color="auto"/>
              <w:left w:val="none" w:sz="0" w:space="0" w:color="auto"/>
              <w:bottom w:val="none" w:sz="0" w:space="0" w:color="auto"/>
              <w:right w:val="none" w:sz="0" w:space="0" w:color="auto"/>
            </w:tcBorders>
          </w:tcPr>
          <w:p w:rsidR="00E92F67" w:rsidRPr="009427E0" w:rsidP="00F26F18" w14:paraId="7D384209" w14:textId="77777777">
            <w:pPr>
              <w:spacing w:line="269" w:lineRule="auto"/>
              <w:jc w:val="left"/>
              <w:rPr>
                <w:sz w:val="22"/>
                <w:szCs w:val="22"/>
                <w:rtl/>
              </w:rPr>
            </w:pPr>
            <w:r w:rsidRPr="009427E0">
              <w:rPr>
                <w:rFonts w:hint="cs"/>
                <w:sz w:val="22"/>
                <w:szCs w:val="22"/>
                <w:rtl/>
              </w:rPr>
              <w:t xml:space="preserve">מספר הפניות שנעשו באמצעות </w:t>
            </w:r>
            <w:r w:rsidRPr="00F26F18">
              <w:rPr>
                <w:szCs w:val="20"/>
              </w:rPr>
              <w:t>WhatsApp</w:t>
            </w:r>
            <w:r w:rsidRPr="009427E0">
              <w:rPr>
                <w:rFonts w:hint="cs"/>
                <w:sz w:val="22"/>
                <w:szCs w:val="22"/>
                <w:rtl/>
              </w:rPr>
              <w:t xml:space="preserve">** </w:t>
            </w:r>
          </w:p>
        </w:tc>
      </w:tr>
      <w:tr w14:paraId="67010A7A" w14:textId="77777777" w:rsidTr="009427E0">
        <w:tblPrEx>
          <w:tblW w:w="8813" w:type="dxa"/>
          <w:tblInd w:w="60" w:type="dxa"/>
          <w:tblLayout w:type="fixed"/>
          <w:tblLook w:val="04A0"/>
        </w:tblPrEx>
        <w:trPr>
          <w:trHeight w:val="244"/>
        </w:trPr>
        <w:tc>
          <w:tcPr>
            <w:tcW w:w="1062" w:type="dxa"/>
            <w:noWrap/>
            <w:hideMark/>
          </w:tcPr>
          <w:p w:rsidR="00E92F67" w:rsidRPr="009427E0" w:rsidP="00E81188" w14:paraId="24DE4BCF" w14:textId="77777777">
            <w:pPr>
              <w:spacing w:line="269" w:lineRule="auto"/>
              <w:rPr>
                <w:sz w:val="22"/>
                <w:szCs w:val="22"/>
                <w:rtl/>
              </w:rPr>
            </w:pPr>
            <w:r w:rsidRPr="009427E0">
              <w:rPr>
                <w:sz w:val="22"/>
                <w:szCs w:val="22"/>
                <w:rtl/>
              </w:rPr>
              <w:t>מרץ*</w:t>
            </w:r>
          </w:p>
        </w:tc>
        <w:tc>
          <w:tcPr>
            <w:tcW w:w="1062" w:type="dxa"/>
            <w:noWrap/>
            <w:hideMark/>
          </w:tcPr>
          <w:p w:rsidR="00E92F67" w:rsidRPr="009427E0" w:rsidP="00E81188" w14:paraId="7F0F0037" w14:textId="77777777">
            <w:pPr>
              <w:spacing w:line="269" w:lineRule="auto"/>
              <w:rPr>
                <w:sz w:val="22"/>
                <w:szCs w:val="22"/>
                <w:rtl/>
              </w:rPr>
            </w:pPr>
            <w:r w:rsidRPr="009427E0">
              <w:rPr>
                <w:sz w:val="22"/>
                <w:szCs w:val="22"/>
              </w:rPr>
              <w:t>2,547</w:t>
            </w:r>
          </w:p>
        </w:tc>
        <w:tc>
          <w:tcPr>
            <w:tcW w:w="1062" w:type="dxa"/>
            <w:noWrap/>
            <w:hideMark/>
          </w:tcPr>
          <w:p w:rsidR="00E92F67" w:rsidRPr="009427E0" w:rsidP="00E81188" w14:paraId="7D882AC6" w14:textId="77777777">
            <w:pPr>
              <w:spacing w:line="269" w:lineRule="auto"/>
              <w:rPr>
                <w:sz w:val="22"/>
                <w:szCs w:val="22"/>
              </w:rPr>
            </w:pPr>
            <w:r w:rsidRPr="009427E0">
              <w:rPr>
                <w:sz w:val="22"/>
                <w:szCs w:val="22"/>
              </w:rPr>
              <w:t>1,676</w:t>
            </w:r>
          </w:p>
        </w:tc>
        <w:tc>
          <w:tcPr>
            <w:tcW w:w="1062" w:type="dxa"/>
            <w:noWrap/>
            <w:hideMark/>
          </w:tcPr>
          <w:p w:rsidR="00E92F67" w:rsidRPr="009427E0" w:rsidP="00E81188" w14:paraId="6BDDE43D" w14:textId="77777777">
            <w:pPr>
              <w:spacing w:line="269" w:lineRule="auto"/>
              <w:rPr>
                <w:sz w:val="22"/>
                <w:szCs w:val="22"/>
              </w:rPr>
            </w:pPr>
            <w:r w:rsidRPr="009427E0">
              <w:rPr>
                <w:sz w:val="22"/>
                <w:szCs w:val="22"/>
              </w:rPr>
              <w:t>66%</w:t>
            </w:r>
          </w:p>
        </w:tc>
        <w:tc>
          <w:tcPr>
            <w:tcW w:w="1062" w:type="dxa"/>
            <w:noWrap/>
            <w:hideMark/>
          </w:tcPr>
          <w:p w:rsidR="00E92F67" w:rsidRPr="009427E0" w:rsidP="00E81188" w14:paraId="3A89F12C" w14:textId="77777777">
            <w:pPr>
              <w:spacing w:line="269" w:lineRule="auto"/>
              <w:rPr>
                <w:sz w:val="22"/>
                <w:szCs w:val="22"/>
              </w:rPr>
            </w:pPr>
            <w:r w:rsidRPr="009427E0">
              <w:rPr>
                <w:sz w:val="22"/>
                <w:szCs w:val="22"/>
              </w:rPr>
              <w:t>63</w:t>
            </w:r>
          </w:p>
        </w:tc>
        <w:tc>
          <w:tcPr>
            <w:tcW w:w="1062" w:type="dxa"/>
            <w:noWrap/>
            <w:hideMark/>
          </w:tcPr>
          <w:p w:rsidR="00E92F67" w:rsidRPr="009427E0" w:rsidP="00E81188" w14:paraId="58F5E5F2" w14:textId="77777777">
            <w:pPr>
              <w:spacing w:line="269" w:lineRule="auto"/>
              <w:rPr>
                <w:sz w:val="22"/>
                <w:szCs w:val="22"/>
              </w:rPr>
            </w:pPr>
            <w:r w:rsidRPr="009427E0">
              <w:rPr>
                <w:sz w:val="22"/>
                <w:szCs w:val="22"/>
              </w:rPr>
              <w:t>42</w:t>
            </w:r>
          </w:p>
        </w:tc>
        <w:tc>
          <w:tcPr>
            <w:tcW w:w="1062" w:type="dxa"/>
            <w:noWrap/>
            <w:hideMark/>
          </w:tcPr>
          <w:p w:rsidR="00E92F67" w:rsidRPr="009427E0" w:rsidP="00E81188" w14:paraId="6C836142" w14:textId="77777777">
            <w:pPr>
              <w:spacing w:line="269" w:lineRule="auto"/>
              <w:rPr>
                <w:sz w:val="22"/>
                <w:szCs w:val="22"/>
              </w:rPr>
            </w:pPr>
            <w:r w:rsidRPr="009427E0">
              <w:rPr>
                <w:sz w:val="22"/>
                <w:szCs w:val="22"/>
              </w:rPr>
              <w:t>33%</w:t>
            </w:r>
          </w:p>
        </w:tc>
        <w:tc>
          <w:tcPr>
            <w:tcW w:w="1379" w:type="dxa"/>
          </w:tcPr>
          <w:p w:rsidR="00E92F67" w:rsidRPr="009427E0" w:rsidP="00E81188" w14:paraId="073713D8" w14:textId="77777777">
            <w:pPr>
              <w:spacing w:line="269" w:lineRule="auto"/>
              <w:rPr>
                <w:sz w:val="22"/>
                <w:szCs w:val="22"/>
              </w:rPr>
            </w:pPr>
            <w:r w:rsidRPr="009427E0">
              <w:rPr>
                <w:rFonts w:hint="cs"/>
                <w:sz w:val="22"/>
                <w:szCs w:val="22"/>
                <w:rtl/>
              </w:rPr>
              <w:t>אין נתונים</w:t>
            </w:r>
          </w:p>
        </w:tc>
      </w:tr>
      <w:tr w14:paraId="1E367A2A" w14:textId="77777777" w:rsidTr="009427E0">
        <w:tblPrEx>
          <w:tblW w:w="8813" w:type="dxa"/>
          <w:tblInd w:w="60" w:type="dxa"/>
          <w:tblLayout w:type="fixed"/>
          <w:tblLook w:val="04A0"/>
        </w:tblPrEx>
        <w:trPr>
          <w:trHeight w:val="244"/>
        </w:trPr>
        <w:tc>
          <w:tcPr>
            <w:tcW w:w="1062" w:type="dxa"/>
            <w:noWrap/>
            <w:hideMark/>
          </w:tcPr>
          <w:p w:rsidR="00E92F67" w:rsidRPr="009427E0" w:rsidP="00E81188" w14:paraId="2DFBCF53" w14:textId="77777777">
            <w:pPr>
              <w:spacing w:line="269" w:lineRule="auto"/>
              <w:rPr>
                <w:sz w:val="22"/>
                <w:szCs w:val="22"/>
              </w:rPr>
            </w:pPr>
            <w:r w:rsidRPr="009427E0">
              <w:rPr>
                <w:sz w:val="22"/>
                <w:szCs w:val="22"/>
                <w:rtl/>
              </w:rPr>
              <w:t>אפריל</w:t>
            </w:r>
          </w:p>
        </w:tc>
        <w:tc>
          <w:tcPr>
            <w:tcW w:w="1062" w:type="dxa"/>
            <w:noWrap/>
            <w:hideMark/>
          </w:tcPr>
          <w:p w:rsidR="00E92F67" w:rsidRPr="009427E0" w:rsidP="00E81188" w14:paraId="304D774C" w14:textId="77777777">
            <w:pPr>
              <w:spacing w:line="269" w:lineRule="auto"/>
              <w:rPr>
                <w:sz w:val="22"/>
                <w:szCs w:val="22"/>
              </w:rPr>
            </w:pPr>
            <w:r w:rsidRPr="009427E0">
              <w:rPr>
                <w:sz w:val="22"/>
                <w:szCs w:val="22"/>
              </w:rPr>
              <w:t>460</w:t>
            </w:r>
          </w:p>
        </w:tc>
        <w:tc>
          <w:tcPr>
            <w:tcW w:w="1062" w:type="dxa"/>
            <w:noWrap/>
            <w:hideMark/>
          </w:tcPr>
          <w:p w:rsidR="00E92F67" w:rsidRPr="009427E0" w:rsidP="00E81188" w14:paraId="26E677C7" w14:textId="77777777">
            <w:pPr>
              <w:spacing w:line="269" w:lineRule="auto"/>
              <w:rPr>
                <w:sz w:val="22"/>
                <w:szCs w:val="22"/>
              </w:rPr>
            </w:pPr>
            <w:r w:rsidRPr="009427E0">
              <w:rPr>
                <w:sz w:val="22"/>
                <w:szCs w:val="22"/>
              </w:rPr>
              <w:t>50</w:t>
            </w:r>
          </w:p>
        </w:tc>
        <w:tc>
          <w:tcPr>
            <w:tcW w:w="1062" w:type="dxa"/>
            <w:noWrap/>
            <w:hideMark/>
          </w:tcPr>
          <w:p w:rsidR="00E92F67" w:rsidRPr="009427E0" w:rsidP="00E81188" w14:paraId="728DC69C" w14:textId="77777777">
            <w:pPr>
              <w:spacing w:line="269" w:lineRule="auto"/>
              <w:rPr>
                <w:sz w:val="22"/>
                <w:szCs w:val="22"/>
              </w:rPr>
            </w:pPr>
            <w:r w:rsidRPr="009427E0">
              <w:rPr>
                <w:sz w:val="22"/>
                <w:szCs w:val="22"/>
              </w:rPr>
              <w:t>11%</w:t>
            </w:r>
          </w:p>
        </w:tc>
        <w:tc>
          <w:tcPr>
            <w:tcW w:w="1062" w:type="dxa"/>
            <w:noWrap/>
            <w:hideMark/>
          </w:tcPr>
          <w:p w:rsidR="00E92F67" w:rsidRPr="009427E0" w:rsidP="00E81188" w14:paraId="44094D27" w14:textId="77777777">
            <w:pPr>
              <w:spacing w:line="269" w:lineRule="auto"/>
              <w:rPr>
                <w:sz w:val="22"/>
                <w:szCs w:val="22"/>
              </w:rPr>
            </w:pPr>
            <w:r w:rsidRPr="009427E0">
              <w:rPr>
                <w:sz w:val="22"/>
                <w:szCs w:val="22"/>
              </w:rPr>
              <w:t>83</w:t>
            </w:r>
          </w:p>
        </w:tc>
        <w:tc>
          <w:tcPr>
            <w:tcW w:w="1062" w:type="dxa"/>
            <w:noWrap/>
            <w:hideMark/>
          </w:tcPr>
          <w:p w:rsidR="00E92F67" w:rsidRPr="009427E0" w:rsidP="00E81188" w14:paraId="33E19C06" w14:textId="77777777">
            <w:pPr>
              <w:spacing w:line="269" w:lineRule="auto"/>
              <w:rPr>
                <w:sz w:val="22"/>
                <w:szCs w:val="22"/>
              </w:rPr>
            </w:pPr>
            <w:r w:rsidRPr="009427E0">
              <w:rPr>
                <w:sz w:val="22"/>
                <w:szCs w:val="22"/>
              </w:rPr>
              <w:t>70</w:t>
            </w:r>
          </w:p>
        </w:tc>
        <w:tc>
          <w:tcPr>
            <w:tcW w:w="1062" w:type="dxa"/>
            <w:noWrap/>
            <w:hideMark/>
          </w:tcPr>
          <w:p w:rsidR="00E92F67" w:rsidRPr="009427E0" w:rsidP="00E81188" w14:paraId="712B5743" w14:textId="77777777">
            <w:pPr>
              <w:spacing w:line="269" w:lineRule="auto"/>
              <w:rPr>
                <w:sz w:val="22"/>
                <w:szCs w:val="22"/>
              </w:rPr>
            </w:pPr>
            <w:r w:rsidRPr="009427E0">
              <w:rPr>
                <w:sz w:val="22"/>
                <w:szCs w:val="22"/>
              </w:rPr>
              <w:t>16%</w:t>
            </w:r>
          </w:p>
        </w:tc>
        <w:tc>
          <w:tcPr>
            <w:tcW w:w="1379" w:type="dxa"/>
          </w:tcPr>
          <w:p w:rsidR="00E92F67" w:rsidRPr="009427E0" w:rsidP="00E81188" w14:paraId="26BF9150" w14:textId="77777777">
            <w:pPr>
              <w:spacing w:line="269" w:lineRule="auto"/>
              <w:rPr>
                <w:sz w:val="22"/>
                <w:szCs w:val="22"/>
              </w:rPr>
            </w:pPr>
            <w:r w:rsidRPr="009427E0">
              <w:rPr>
                <w:rFonts w:hint="cs"/>
                <w:sz w:val="22"/>
                <w:szCs w:val="22"/>
                <w:rtl/>
              </w:rPr>
              <w:t>7</w:t>
            </w:r>
          </w:p>
        </w:tc>
      </w:tr>
      <w:tr w14:paraId="1E9D0EBE" w14:textId="77777777" w:rsidTr="009427E0">
        <w:tblPrEx>
          <w:tblW w:w="8813" w:type="dxa"/>
          <w:tblInd w:w="60" w:type="dxa"/>
          <w:tblLayout w:type="fixed"/>
          <w:tblLook w:val="04A0"/>
        </w:tblPrEx>
        <w:trPr>
          <w:trHeight w:val="244"/>
        </w:trPr>
        <w:tc>
          <w:tcPr>
            <w:tcW w:w="1062" w:type="dxa"/>
            <w:noWrap/>
            <w:hideMark/>
          </w:tcPr>
          <w:p w:rsidR="00E92F67" w:rsidRPr="009427E0" w:rsidP="00E81188" w14:paraId="2AF95767" w14:textId="77777777">
            <w:pPr>
              <w:spacing w:line="269" w:lineRule="auto"/>
              <w:rPr>
                <w:sz w:val="22"/>
                <w:szCs w:val="22"/>
              </w:rPr>
            </w:pPr>
            <w:r w:rsidRPr="009427E0">
              <w:rPr>
                <w:sz w:val="22"/>
                <w:szCs w:val="22"/>
                <w:rtl/>
              </w:rPr>
              <w:t>מאי</w:t>
            </w:r>
          </w:p>
        </w:tc>
        <w:tc>
          <w:tcPr>
            <w:tcW w:w="1062" w:type="dxa"/>
            <w:noWrap/>
            <w:hideMark/>
          </w:tcPr>
          <w:p w:rsidR="00E92F67" w:rsidRPr="009427E0" w:rsidP="00E81188" w14:paraId="3A9AE276" w14:textId="77777777">
            <w:pPr>
              <w:spacing w:line="269" w:lineRule="auto"/>
              <w:rPr>
                <w:sz w:val="22"/>
                <w:szCs w:val="22"/>
                <w:rtl/>
              </w:rPr>
            </w:pPr>
            <w:r w:rsidRPr="009427E0">
              <w:rPr>
                <w:sz w:val="22"/>
                <w:szCs w:val="22"/>
              </w:rPr>
              <w:t>254</w:t>
            </w:r>
          </w:p>
        </w:tc>
        <w:tc>
          <w:tcPr>
            <w:tcW w:w="1062" w:type="dxa"/>
            <w:noWrap/>
            <w:hideMark/>
          </w:tcPr>
          <w:p w:rsidR="00E92F67" w:rsidRPr="009427E0" w:rsidP="00E81188" w14:paraId="62EE8CC0" w14:textId="77777777">
            <w:pPr>
              <w:spacing w:line="269" w:lineRule="auto"/>
              <w:rPr>
                <w:sz w:val="22"/>
                <w:szCs w:val="22"/>
              </w:rPr>
            </w:pPr>
            <w:r w:rsidRPr="009427E0">
              <w:rPr>
                <w:sz w:val="22"/>
                <w:szCs w:val="22"/>
              </w:rPr>
              <w:t>4</w:t>
            </w:r>
          </w:p>
        </w:tc>
        <w:tc>
          <w:tcPr>
            <w:tcW w:w="1062" w:type="dxa"/>
            <w:noWrap/>
            <w:hideMark/>
          </w:tcPr>
          <w:p w:rsidR="00E92F67" w:rsidRPr="009427E0" w:rsidP="00E81188" w14:paraId="749A9151" w14:textId="77777777">
            <w:pPr>
              <w:spacing w:line="269" w:lineRule="auto"/>
              <w:rPr>
                <w:sz w:val="22"/>
                <w:szCs w:val="22"/>
              </w:rPr>
            </w:pPr>
            <w:r w:rsidRPr="009427E0">
              <w:rPr>
                <w:sz w:val="22"/>
                <w:szCs w:val="22"/>
              </w:rPr>
              <w:t>2%</w:t>
            </w:r>
          </w:p>
        </w:tc>
        <w:tc>
          <w:tcPr>
            <w:tcW w:w="1062" w:type="dxa"/>
            <w:noWrap/>
            <w:hideMark/>
          </w:tcPr>
          <w:p w:rsidR="00E92F67" w:rsidRPr="009427E0" w:rsidP="00E81188" w14:paraId="68C5BC05" w14:textId="77777777">
            <w:pPr>
              <w:spacing w:line="269" w:lineRule="auto"/>
              <w:rPr>
                <w:sz w:val="22"/>
                <w:szCs w:val="22"/>
              </w:rPr>
            </w:pPr>
            <w:r w:rsidRPr="009427E0">
              <w:rPr>
                <w:sz w:val="22"/>
                <w:szCs w:val="22"/>
              </w:rPr>
              <w:t>60</w:t>
            </w:r>
          </w:p>
        </w:tc>
        <w:tc>
          <w:tcPr>
            <w:tcW w:w="1062" w:type="dxa"/>
            <w:noWrap/>
            <w:hideMark/>
          </w:tcPr>
          <w:p w:rsidR="00E92F67" w:rsidRPr="009427E0" w:rsidP="00E81188" w14:paraId="04CB05BB" w14:textId="77777777">
            <w:pPr>
              <w:spacing w:line="269" w:lineRule="auto"/>
              <w:rPr>
                <w:sz w:val="22"/>
                <w:szCs w:val="22"/>
              </w:rPr>
            </w:pPr>
            <w:r w:rsidRPr="009427E0">
              <w:rPr>
                <w:sz w:val="22"/>
                <w:szCs w:val="22"/>
              </w:rPr>
              <w:t>51</w:t>
            </w:r>
          </w:p>
        </w:tc>
        <w:tc>
          <w:tcPr>
            <w:tcW w:w="1062" w:type="dxa"/>
            <w:noWrap/>
            <w:hideMark/>
          </w:tcPr>
          <w:p w:rsidR="00E92F67" w:rsidRPr="009427E0" w:rsidP="00E81188" w14:paraId="7BA77859" w14:textId="77777777">
            <w:pPr>
              <w:spacing w:line="269" w:lineRule="auto"/>
              <w:rPr>
                <w:sz w:val="22"/>
                <w:szCs w:val="22"/>
              </w:rPr>
            </w:pPr>
            <w:r w:rsidRPr="009427E0">
              <w:rPr>
                <w:sz w:val="22"/>
                <w:szCs w:val="22"/>
              </w:rPr>
              <w:t>15%</w:t>
            </w:r>
          </w:p>
        </w:tc>
        <w:tc>
          <w:tcPr>
            <w:tcW w:w="1379" w:type="dxa"/>
          </w:tcPr>
          <w:p w:rsidR="00E92F67" w:rsidRPr="009427E0" w:rsidP="00E81188" w14:paraId="62C0EEFB" w14:textId="77777777">
            <w:pPr>
              <w:spacing w:line="269" w:lineRule="auto"/>
              <w:rPr>
                <w:sz w:val="22"/>
                <w:szCs w:val="22"/>
              </w:rPr>
            </w:pPr>
            <w:r w:rsidRPr="009427E0">
              <w:rPr>
                <w:rFonts w:hint="cs"/>
                <w:sz w:val="22"/>
                <w:szCs w:val="22"/>
                <w:rtl/>
              </w:rPr>
              <w:t>7</w:t>
            </w:r>
          </w:p>
        </w:tc>
      </w:tr>
      <w:tr w14:paraId="263CC5C8" w14:textId="77777777" w:rsidTr="009427E0">
        <w:tblPrEx>
          <w:tblW w:w="8813" w:type="dxa"/>
          <w:tblInd w:w="60" w:type="dxa"/>
          <w:tblLayout w:type="fixed"/>
          <w:tblLook w:val="04A0"/>
        </w:tblPrEx>
        <w:trPr>
          <w:trHeight w:val="244"/>
        </w:trPr>
        <w:tc>
          <w:tcPr>
            <w:tcW w:w="1062" w:type="dxa"/>
            <w:noWrap/>
            <w:hideMark/>
          </w:tcPr>
          <w:p w:rsidR="00E92F67" w:rsidRPr="009427E0" w:rsidP="00E81188" w14:paraId="0A4B56A9" w14:textId="77777777">
            <w:pPr>
              <w:spacing w:line="269" w:lineRule="auto"/>
              <w:rPr>
                <w:sz w:val="22"/>
                <w:szCs w:val="22"/>
              </w:rPr>
            </w:pPr>
            <w:r w:rsidRPr="009427E0">
              <w:rPr>
                <w:sz w:val="22"/>
                <w:szCs w:val="22"/>
                <w:rtl/>
              </w:rPr>
              <w:t>יוני</w:t>
            </w:r>
          </w:p>
        </w:tc>
        <w:tc>
          <w:tcPr>
            <w:tcW w:w="1062" w:type="dxa"/>
            <w:noWrap/>
            <w:hideMark/>
          </w:tcPr>
          <w:p w:rsidR="00E92F67" w:rsidRPr="009427E0" w:rsidP="00E81188" w14:paraId="07483763" w14:textId="77777777">
            <w:pPr>
              <w:spacing w:line="269" w:lineRule="auto"/>
              <w:rPr>
                <w:sz w:val="22"/>
                <w:szCs w:val="22"/>
                <w:rtl/>
              </w:rPr>
            </w:pPr>
            <w:r w:rsidRPr="009427E0">
              <w:rPr>
                <w:sz w:val="22"/>
                <w:szCs w:val="22"/>
              </w:rPr>
              <w:t>234</w:t>
            </w:r>
          </w:p>
        </w:tc>
        <w:tc>
          <w:tcPr>
            <w:tcW w:w="1062" w:type="dxa"/>
            <w:noWrap/>
            <w:hideMark/>
          </w:tcPr>
          <w:p w:rsidR="00E92F67" w:rsidRPr="009427E0" w:rsidP="00E81188" w14:paraId="788187F6" w14:textId="77777777">
            <w:pPr>
              <w:spacing w:line="269" w:lineRule="auto"/>
              <w:rPr>
                <w:sz w:val="22"/>
                <w:szCs w:val="22"/>
              </w:rPr>
            </w:pPr>
            <w:r w:rsidRPr="009427E0">
              <w:rPr>
                <w:sz w:val="22"/>
                <w:szCs w:val="22"/>
              </w:rPr>
              <w:t>2</w:t>
            </w:r>
          </w:p>
        </w:tc>
        <w:tc>
          <w:tcPr>
            <w:tcW w:w="1062" w:type="dxa"/>
            <w:noWrap/>
            <w:hideMark/>
          </w:tcPr>
          <w:p w:rsidR="00E92F67" w:rsidRPr="009427E0" w:rsidP="00E81188" w14:paraId="1C49CEA6" w14:textId="77777777">
            <w:pPr>
              <w:spacing w:line="269" w:lineRule="auto"/>
              <w:rPr>
                <w:sz w:val="22"/>
                <w:szCs w:val="22"/>
              </w:rPr>
            </w:pPr>
            <w:r w:rsidRPr="009427E0">
              <w:rPr>
                <w:sz w:val="22"/>
                <w:szCs w:val="22"/>
              </w:rPr>
              <w:t>1%</w:t>
            </w:r>
          </w:p>
        </w:tc>
        <w:tc>
          <w:tcPr>
            <w:tcW w:w="1062" w:type="dxa"/>
            <w:noWrap/>
            <w:hideMark/>
          </w:tcPr>
          <w:p w:rsidR="00E92F67" w:rsidRPr="009427E0" w:rsidP="00E81188" w14:paraId="56896788" w14:textId="77777777">
            <w:pPr>
              <w:spacing w:line="269" w:lineRule="auto"/>
              <w:rPr>
                <w:sz w:val="22"/>
                <w:szCs w:val="22"/>
              </w:rPr>
            </w:pPr>
            <w:r w:rsidRPr="009427E0">
              <w:rPr>
                <w:sz w:val="22"/>
                <w:szCs w:val="22"/>
              </w:rPr>
              <w:t>50</w:t>
            </w:r>
          </w:p>
        </w:tc>
        <w:tc>
          <w:tcPr>
            <w:tcW w:w="1062" w:type="dxa"/>
            <w:noWrap/>
            <w:hideMark/>
          </w:tcPr>
          <w:p w:rsidR="00E92F67" w:rsidRPr="009427E0" w:rsidP="00E81188" w14:paraId="7055B335" w14:textId="77777777">
            <w:pPr>
              <w:spacing w:line="269" w:lineRule="auto"/>
              <w:rPr>
                <w:sz w:val="22"/>
                <w:szCs w:val="22"/>
              </w:rPr>
            </w:pPr>
            <w:r w:rsidRPr="009427E0">
              <w:rPr>
                <w:sz w:val="22"/>
                <w:szCs w:val="22"/>
              </w:rPr>
              <w:t>35</w:t>
            </w:r>
          </w:p>
        </w:tc>
        <w:tc>
          <w:tcPr>
            <w:tcW w:w="1062" w:type="dxa"/>
            <w:noWrap/>
            <w:hideMark/>
          </w:tcPr>
          <w:p w:rsidR="00E92F67" w:rsidRPr="009427E0" w:rsidP="00E81188" w14:paraId="22C8DA30" w14:textId="77777777">
            <w:pPr>
              <w:spacing w:line="269" w:lineRule="auto"/>
              <w:rPr>
                <w:sz w:val="22"/>
                <w:szCs w:val="22"/>
              </w:rPr>
            </w:pPr>
            <w:r w:rsidRPr="009427E0">
              <w:rPr>
                <w:sz w:val="22"/>
                <w:szCs w:val="22"/>
              </w:rPr>
              <w:t>30%</w:t>
            </w:r>
          </w:p>
        </w:tc>
        <w:tc>
          <w:tcPr>
            <w:tcW w:w="1379" w:type="dxa"/>
          </w:tcPr>
          <w:p w:rsidR="00E92F67" w:rsidRPr="009427E0" w:rsidP="00E81188" w14:paraId="0E672680" w14:textId="77777777">
            <w:pPr>
              <w:spacing w:line="269" w:lineRule="auto"/>
              <w:rPr>
                <w:sz w:val="22"/>
                <w:szCs w:val="22"/>
              </w:rPr>
            </w:pPr>
            <w:r w:rsidRPr="009427E0">
              <w:rPr>
                <w:rFonts w:hint="cs"/>
                <w:sz w:val="22"/>
                <w:szCs w:val="22"/>
                <w:rtl/>
              </w:rPr>
              <w:t>4</w:t>
            </w:r>
          </w:p>
        </w:tc>
      </w:tr>
      <w:tr w14:paraId="52F00F1D" w14:textId="77777777" w:rsidTr="009427E0">
        <w:tblPrEx>
          <w:tblW w:w="8813" w:type="dxa"/>
          <w:tblInd w:w="60" w:type="dxa"/>
          <w:tblLayout w:type="fixed"/>
          <w:tblLook w:val="04A0"/>
        </w:tblPrEx>
        <w:trPr>
          <w:trHeight w:val="244"/>
        </w:trPr>
        <w:tc>
          <w:tcPr>
            <w:tcW w:w="1062" w:type="dxa"/>
            <w:noWrap/>
            <w:hideMark/>
          </w:tcPr>
          <w:p w:rsidR="00E92F67" w:rsidRPr="009427E0" w:rsidP="00E81188" w14:paraId="047C55DD" w14:textId="77777777">
            <w:pPr>
              <w:spacing w:line="269" w:lineRule="auto"/>
              <w:rPr>
                <w:sz w:val="22"/>
                <w:szCs w:val="22"/>
              </w:rPr>
            </w:pPr>
            <w:r w:rsidRPr="009427E0">
              <w:rPr>
                <w:sz w:val="22"/>
                <w:szCs w:val="22"/>
                <w:rtl/>
              </w:rPr>
              <w:t>יולי</w:t>
            </w:r>
          </w:p>
        </w:tc>
        <w:tc>
          <w:tcPr>
            <w:tcW w:w="1062" w:type="dxa"/>
            <w:noWrap/>
            <w:hideMark/>
          </w:tcPr>
          <w:p w:rsidR="00E92F67" w:rsidRPr="009427E0" w:rsidP="00E81188" w14:paraId="30F6A859" w14:textId="77777777">
            <w:pPr>
              <w:spacing w:line="269" w:lineRule="auto"/>
              <w:rPr>
                <w:sz w:val="22"/>
                <w:szCs w:val="22"/>
                <w:rtl/>
              </w:rPr>
            </w:pPr>
            <w:r w:rsidRPr="009427E0">
              <w:rPr>
                <w:sz w:val="22"/>
                <w:szCs w:val="22"/>
              </w:rPr>
              <w:t>260</w:t>
            </w:r>
          </w:p>
        </w:tc>
        <w:tc>
          <w:tcPr>
            <w:tcW w:w="1062" w:type="dxa"/>
            <w:noWrap/>
            <w:hideMark/>
          </w:tcPr>
          <w:p w:rsidR="00E92F67" w:rsidRPr="009427E0" w:rsidP="00E81188" w14:paraId="01A5267E" w14:textId="77777777">
            <w:pPr>
              <w:spacing w:line="269" w:lineRule="auto"/>
              <w:rPr>
                <w:sz w:val="22"/>
                <w:szCs w:val="22"/>
              </w:rPr>
            </w:pPr>
            <w:r w:rsidRPr="009427E0">
              <w:rPr>
                <w:sz w:val="22"/>
                <w:szCs w:val="22"/>
              </w:rPr>
              <w:t>5</w:t>
            </w:r>
          </w:p>
        </w:tc>
        <w:tc>
          <w:tcPr>
            <w:tcW w:w="1062" w:type="dxa"/>
            <w:noWrap/>
            <w:hideMark/>
          </w:tcPr>
          <w:p w:rsidR="00E92F67" w:rsidRPr="009427E0" w:rsidP="00E81188" w14:paraId="37C2602E" w14:textId="77777777">
            <w:pPr>
              <w:spacing w:line="269" w:lineRule="auto"/>
              <w:rPr>
                <w:sz w:val="22"/>
                <w:szCs w:val="22"/>
              </w:rPr>
            </w:pPr>
            <w:r w:rsidRPr="009427E0">
              <w:rPr>
                <w:sz w:val="22"/>
                <w:szCs w:val="22"/>
              </w:rPr>
              <w:t>2%</w:t>
            </w:r>
          </w:p>
        </w:tc>
        <w:tc>
          <w:tcPr>
            <w:tcW w:w="1062" w:type="dxa"/>
            <w:noWrap/>
            <w:hideMark/>
          </w:tcPr>
          <w:p w:rsidR="00E92F67" w:rsidRPr="009427E0" w:rsidP="00E81188" w14:paraId="36F0853A" w14:textId="77777777">
            <w:pPr>
              <w:spacing w:line="269" w:lineRule="auto"/>
              <w:rPr>
                <w:sz w:val="22"/>
                <w:szCs w:val="22"/>
              </w:rPr>
            </w:pPr>
            <w:r w:rsidRPr="009427E0">
              <w:rPr>
                <w:sz w:val="22"/>
                <w:szCs w:val="22"/>
              </w:rPr>
              <w:t>57</w:t>
            </w:r>
          </w:p>
        </w:tc>
        <w:tc>
          <w:tcPr>
            <w:tcW w:w="1062" w:type="dxa"/>
            <w:noWrap/>
            <w:hideMark/>
          </w:tcPr>
          <w:p w:rsidR="00E92F67" w:rsidRPr="009427E0" w:rsidP="00E81188" w14:paraId="4433D012" w14:textId="77777777">
            <w:pPr>
              <w:spacing w:line="269" w:lineRule="auto"/>
              <w:rPr>
                <w:sz w:val="22"/>
                <w:szCs w:val="22"/>
              </w:rPr>
            </w:pPr>
            <w:r w:rsidRPr="009427E0">
              <w:rPr>
                <w:sz w:val="22"/>
                <w:szCs w:val="22"/>
              </w:rPr>
              <w:t>46</w:t>
            </w:r>
          </w:p>
        </w:tc>
        <w:tc>
          <w:tcPr>
            <w:tcW w:w="1062" w:type="dxa"/>
            <w:noWrap/>
            <w:hideMark/>
          </w:tcPr>
          <w:p w:rsidR="00E92F67" w:rsidRPr="009427E0" w:rsidP="00E81188" w14:paraId="12C21FC1" w14:textId="77777777">
            <w:pPr>
              <w:spacing w:line="269" w:lineRule="auto"/>
              <w:rPr>
                <w:sz w:val="22"/>
                <w:szCs w:val="22"/>
              </w:rPr>
            </w:pPr>
            <w:r w:rsidRPr="009427E0">
              <w:rPr>
                <w:sz w:val="22"/>
                <w:szCs w:val="22"/>
              </w:rPr>
              <w:t>19%</w:t>
            </w:r>
          </w:p>
        </w:tc>
        <w:tc>
          <w:tcPr>
            <w:tcW w:w="1379" w:type="dxa"/>
          </w:tcPr>
          <w:p w:rsidR="00E92F67" w:rsidRPr="009427E0" w:rsidP="00E81188" w14:paraId="3C48E117" w14:textId="77777777">
            <w:pPr>
              <w:spacing w:line="269" w:lineRule="auto"/>
              <w:rPr>
                <w:sz w:val="22"/>
                <w:szCs w:val="22"/>
              </w:rPr>
            </w:pPr>
            <w:r w:rsidRPr="009427E0">
              <w:rPr>
                <w:rFonts w:hint="cs"/>
                <w:sz w:val="22"/>
                <w:szCs w:val="22"/>
                <w:rtl/>
              </w:rPr>
              <w:t>5</w:t>
            </w:r>
          </w:p>
        </w:tc>
      </w:tr>
      <w:tr w14:paraId="3D844A63" w14:textId="77777777" w:rsidTr="009427E0">
        <w:tblPrEx>
          <w:tblW w:w="8813" w:type="dxa"/>
          <w:tblInd w:w="60" w:type="dxa"/>
          <w:tblLayout w:type="fixed"/>
          <w:tblLook w:val="04A0"/>
        </w:tblPrEx>
        <w:trPr>
          <w:trHeight w:val="244"/>
        </w:trPr>
        <w:tc>
          <w:tcPr>
            <w:tcW w:w="1062" w:type="dxa"/>
            <w:noWrap/>
            <w:hideMark/>
          </w:tcPr>
          <w:p w:rsidR="00E92F67" w:rsidRPr="009427E0" w:rsidP="00E81188" w14:paraId="5E80AA9E" w14:textId="77777777">
            <w:pPr>
              <w:spacing w:line="269" w:lineRule="auto"/>
              <w:rPr>
                <w:sz w:val="22"/>
                <w:szCs w:val="22"/>
              </w:rPr>
            </w:pPr>
            <w:r w:rsidRPr="009427E0">
              <w:rPr>
                <w:sz w:val="22"/>
                <w:szCs w:val="22"/>
                <w:rtl/>
              </w:rPr>
              <w:t>אוגוסט</w:t>
            </w:r>
          </w:p>
        </w:tc>
        <w:tc>
          <w:tcPr>
            <w:tcW w:w="1062" w:type="dxa"/>
            <w:noWrap/>
            <w:hideMark/>
          </w:tcPr>
          <w:p w:rsidR="00E92F67" w:rsidRPr="009427E0" w:rsidP="00E81188" w14:paraId="091E5C7F" w14:textId="77777777">
            <w:pPr>
              <w:spacing w:line="269" w:lineRule="auto"/>
              <w:rPr>
                <w:sz w:val="22"/>
                <w:szCs w:val="22"/>
                <w:rtl/>
              </w:rPr>
            </w:pPr>
            <w:r w:rsidRPr="009427E0">
              <w:rPr>
                <w:sz w:val="22"/>
                <w:szCs w:val="22"/>
              </w:rPr>
              <w:t>207</w:t>
            </w:r>
          </w:p>
        </w:tc>
        <w:tc>
          <w:tcPr>
            <w:tcW w:w="1062" w:type="dxa"/>
            <w:noWrap/>
            <w:hideMark/>
          </w:tcPr>
          <w:p w:rsidR="00E92F67" w:rsidRPr="009427E0" w:rsidP="00E81188" w14:paraId="6CCF3998" w14:textId="77777777">
            <w:pPr>
              <w:spacing w:line="269" w:lineRule="auto"/>
              <w:rPr>
                <w:sz w:val="22"/>
                <w:szCs w:val="22"/>
              </w:rPr>
            </w:pPr>
            <w:r w:rsidRPr="009427E0">
              <w:rPr>
                <w:sz w:val="22"/>
                <w:szCs w:val="22"/>
              </w:rPr>
              <w:t>3</w:t>
            </w:r>
          </w:p>
        </w:tc>
        <w:tc>
          <w:tcPr>
            <w:tcW w:w="1062" w:type="dxa"/>
            <w:noWrap/>
            <w:hideMark/>
          </w:tcPr>
          <w:p w:rsidR="00E92F67" w:rsidRPr="009427E0" w:rsidP="00E81188" w14:paraId="64E164AB" w14:textId="77777777">
            <w:pPr>
              <w:spacing w:line="269" w:lineRule="auto"/>
              <w:rPr>
                <w:sz w:val="22"/>
                <w:szCs w:val="22"/>
              </w:rPr>
            </w:pPr>
            <w:r w:rsidRPr="009427E0">
              <w:rPr>
                <w:sz w:val="22"/>
                <w:szCs w:val="22"/>
              </w:rPr>
              <w:t>2%</w:t>
            </w:r>
          </w:p>
        </w:tc>
        <w:tc>
          <w:tcPr>
            <w:tcW w:w="1062" w:type="dxa"/>
            <w:noWrap/>
            <w:hideMark/>
          </w:tcPr>
          <w:p w:rsidR="00E92F67" w:rsidRPr="009427E0" w:rsidP="00E81188" w14:paraId="35DFD60E" w14:textId="77777777">
            <w:pPr>
              <w:spacing w:line="269" w:lineRule="auto"/>
              <w:rPr>
                <w:sz w:val="22"/>
                <w:szCs w:val="22"/>
              </w:rPr>
            </w:pPr>
            <w:r w:rsidRPr="009427E0">
              <w:rPr>
                <w:sz w:val="22"/>
                <w:szCs w:val="22"/>
              </w:rPr>
              <w:t>40</w:t>
            </w:r>
          </w:p>
        </w:tc>
        <w:tc>
          <w:tcPr>
            <w:tcW w:w="1062" w:type="dxa"/>
            <w:noWrap/>
            <w:hideMark/>
          </w:tcPr>
          <w:p w:rsidR="00E92F67" w:rsidRPr="009427E0" w:rsidP="00E81188" w14:paraId="67239A12" w14:textId="77777777">
            <w:pPr>
              <w:spacing w:line="269" w:lineRule="auto"/>
              <w:rPr>
                <w:sz w:val="22"/>
                <w:szCs w:val="22"/>
              </w:rPr>
            </w:pPr>
            <w:r w:rsidRPr="009427E0">
              <w:rPr>
                <w:sz w:val="22"/>
                <w:szCs w:val="22"/>
              </w:rPr>
              <w:t>32</w:t>
            </w:r>
          </w:p>
        </w:tc>
        <w:tc>
          <w:tcPr>
            <w:tcW w:w="1062" w:type="dxa"/>
            <w:noWrap/>
            <w:hideMark/>
          </w:tcPr>
          <w:p w:rsidR="00E92F67" w:rsidRPr="009427E0" w:rsidP="00E81188" w14:paraId="5BDA8D36" w14:textId="77777777">
            <w:pPr>
              <w:spacing w:line="269" w:lineRule="auto"/>
              <w:rPr>
                <w:sz w:val="22"/>
                <w:szCs w:val="22"/>
              </w:rPr>
            </w:pPr>
            <w:r w:rsidRPr="009427E0">
              <w:rPr>
                <w:sz w:val="22"/>
                <w:szCs w:val="22"/>
              </w:rPr>
              <w:t>20%</w:t>
            </w:r>
          </w:p>
        </w:tc>
        <w:tc>
          <w:tcPr>
            <w:tcW w:w="1379" w:type="dxa"/>
          </w:tcPr>
          <w:p w:rsidR="00E92F67" w:rsidRPr="009427E0" w:rsidP="00E81188" w14:paraId="6A68474D" w14:textId="77777777">
            <w:pPr>
              <w:spacing w:line="269" w:lineRule="auto"/>
              <w:rPr>
                <w:sz w:val="22"/>
                <w:szCs w:val="22"/>
              </w:rPr>
            </w:pPr>
            <w:r w:rsidRPr="009427E0">
              <w:rPr>
                <w:rFonts w:hint="cs"/>
                <w:sz w:val="22"/>
                <w:szCs w:val="22"/>
                <w:rtl/>
              </w:rPr>
              <w:t>3</w:t>
            </w:r>
          </w:p>
        </w:tc>
      </w:tr>
      <w:tr w14:paraId="2E5A9F31" w14:textId="77777777" w:rsidTr="009427E0">
        <w:tblPrEx>
          <w:tblW w:w="8813" w:type="dxa"/>
          <w:tblInd w:w="60" w:type="dxa"/>
          <w:tblLayout w:type="fixed"/>
          <w:tblLook w:val="04A0"/>
        </w:tblPrEx>
        <w:trPr>
          <w:trHeight w:val="244"/>
        </w:trPr>
        <w:tc>
          <w:tcPr>
            <w:tcW w:w="1062" w:type="dxa"/>
            <w:noWrap/>
            <w:hideMark/>
          </w:tcPr>
          <w:p w:rsidR="00E92F67" w:rsidRPr="009427E0" w:rsidP="00E81188" w14:paraId="172683A5" w14:textId="77777777">
            <w:pPr>
              <w:spacing w:line="269" w:lineRule="auto"/>
              <w:rPr>
                <w:sz w:val="22"/>
                <w:szCs w:val="22"/>
              </w:rPr>
            </w:pPr>
            <w:r w:rsidRPr="009427E0">
              <w:rPr>
                <w:sz w:val="22"/>
                <w:szCs w:val="22"/>
                <w:rtl/>
              </w:rPr>
              <w:t>ספטמבר</w:t>
            </w:r>
          </w:p>
        </w:tc>
        <w:tc>
          <w:tcPr>
            <w:tcW w:w="1062" w:type="dxa"/>
            <w:noWrap/>
            <w:hideMark/>
          </w:tcPr>
          <w:p w:rsidR="00E92F67" w:rsidRPr="009427E0" w:rsidP="00E81188" w14:paraId="3B9515F3" w14:textId="77777777">
            <w:pPr>
              <w:spacing w:line="269" w:lineRule="auto"/>
              <w:rPr>
                <w:sz w:val="22"/>
                <w:szCs w:val="22"/>
                <w:rtl/>
              </w:rPr>
            </w:pPr>
            <w:r w:rsidRPr="009427E0">
              <w:rPr>
                <w:sz w:val="22"/>
                <w:szCs w:val="22"/>
              </w:rPr>
              <w:t>541</w:t>
            </w:r>
          </w:p>
        </w:tc>
        <w:tc>
          <w:tcPr>
            <w:tcW w:w="1062" w:type="dxa"/>
            <w:noWrap/>
            <w:hideMark/>
          </w:tcPr>
          <w:p w:rsidR="00E92F67" w:rsidRPr="009427E0" w:rsidP="00E81188" w14:paraId="6177F047" w14:textId="77777777">
            <w:pPr>
              <w:spacing w:line="269" w:lineRule="auto"/>
              <w:rPr>
                <w:sz w:val="22"/>
                <w:szCs w:val="22"/>
              </w:rPr>
            </w:pPr>
            <w:r w:rsidRPr="009427E0">
              <w:rPr>
                <w:sz w:val="22"/>
                <w:szCs w:val="22"/>
              </w:rPr>
              <w:t>175</w:t>
            </w:r>
          </w:p>
        </w:tc>
        <w:tc>
          <w:tcPr>
            <w:tcW w:w="1062" w:type="dxa"/>
            <w:noWrap/>
            <w:hideMark/>
          </w:tcPr>
          <w:p w:rsidR="00E92F67" w:rsidRPr="009427E0" w:rsidP="00E81188" w14:paraId="5149CE4D" w14:textId="77777777">
            <w:pPr>
              <w:spacing w:line="269" w:lineRule="auto"/>
              <w:rPr>
                <w:sz w:val="22"/>
                <w:szCs w:val="22"/>
              </w:rPr>
            </w:pPr>
            <w:r w:rsidRPr="009427E0">
              <w:rPr>
                <w:sz w:val="22"/>
                <w:szCs w:val="22"/>
              </w:rPr>
              <w:t>32%</w:t>
            </w:r>
          </w:p>
        </w:tc>
        <w:tc>
          <w:tcPr>
            <w:tcW w:w="1062" w:type="dxa"/>
            <w:noWrap/>
            <w:hideMark/>
          </w:tcPr>
          <w:p w:rsidR="00E92F67" w:rsidRPr="009427E0" w:rsidP="00E81188" w14:paraId="177C3924" w14:textId="77777777">
            <w:pPr>
              <w:spacing w:line="269" w:lineRule="auto"/>
              <w:rPr>
                <w:sz w:val="22"/>
                <w:szCs w:val="22"/>
              </w:rPr>
            </w:pPr>
            <w:r w:rsidRPr="009427E0">
              <w:rPr>
                <w:sz w:val="22"/>
                <w:szCs w:val="22"/>
              </w:rPr>
              <w:t>92</w:t>
            </w:r>
          </w:p>
        </w:tc>
        <w:tc>
          <w:tcPr>
            <w:tcW w:w="1062" w:type="dxa"/>
            <w:noWrap/>
            <w:hideMark/>
          </w:tcPr>
          <w:p w:rsidR="00E92F67" w:rsidRPr="009427E0" w:rsidP="00E81188" w14:paraId="13A8D367" w14:textId="77777777">
            <w:pPr>
              <w:spacing w:line="269" w:lineRule="auto"/>
              <w:rPr>
                <w:sz w:val="22"/>
                <w:szCs w:val="22"/>
              </w:rPr>
            </w:pPr>
            <w:r w:rsidRPr="009427E0">
              <w:rPr>
                <w:sz w:val="22"/>
                <w:szCs w:val="22"/>
              </w:rPr>
              <w:t>54</w:t>
            </w:r>
          </w:p>
        </w:tc>
        <w:tc>
          <w:tcPr>
            <w:tcW w:w="1062" w:type="dxa"/>
            <w:noWrap/>
            <w:hideMark/>
          </w:tcPr>
          <w:p w:rsidR="00E92F67" w:rsidRPr="009427E0" w:rsidP="00E81188" w14:paraId="4EC2C82B" w14:textId="77777777">
            <w:pPr>
              <w:spacing w:line="269" w:lineRule="auto"/>
              <w:rPr>
                <w:sz w:val="22"/>
                <w:szCs w:val="22"/>
              </w:rPr>
            </w:pPr>
            <w:r w:rsidRPr="009427E0">
              <w:rPr>
                <w:sz w:val="22"/>
                <w:szCs w:val="22"/>
              </w:rPr>
              <w:t>41%</w:t>
            </w:r>
          </w:p>
        </w:tc>
        <w:tc>
          <w:tcPr>
            <w:tcW w:w="1379" w:type="dxa"/>
          </w:tcPr>
          <w:p w:rsidR="00E92F67" w:rsidRPr="009427E0" w:rsidP="00E81188" w14:paraId="21860AD7" w14:textId="77777777">
            <w:pPr>
              <w:spacing w:line="269" w:lineRule="auto"/>
              <w:rPr>
                <w:sz w:val="22"/>
                <w:szCs w:val="22"/>
              </w:rPr>
            </w:pPr>
            <w:r w:rsidRPr="009427E0">
              <w:rPr>
                <w:rFonts w:hint="cs"/>
                <w:sz w:val="22"/>
                <w:szCs w:val="22"/>
                <w:rtl/>
              </w:rPr>
              <w:t>13</w:t>
            </w:r>
          </w:p>
        </w:tc>
      </w:tr>
      <w:tr w14:paraId="749DF25A" w14:textId="77777777" w:rsidTr="009427E0">
        <w:tblPrEx>
          <w:tblW w:w="8813" w:type="dxa"/>
          <w:tblInd w:w="60" w:type="dxa"/>
          <w:tblLayout w:type="fixed"/>
          <w:tblLook w:val="04A0"/>
        </w:tblPrEx>
        <w:trPr>
          <w:trHeight w:val="244"/>
        </w:trPr>
        <w:tc>
          <w:tcPr>
            <w:tcW w:w="1062" w:type="dxa"/>
            <w:noWrap/>
            <w:hideMark/>
          </w:tcPr>
          <w:p w:rsidR="00E92F67" w:rsidRPr="009427E0" w:rsidP="00E81188" w14:paraId="6599E068" w14:textId="77777777">
            <w:pPr>
              <w:spacing w:line="269" w:lineRule="auto"/>
              <w:rPr>
                <w:sz w:val="22"/>
                <w:szCs w:val="22"/>
              </w:rPr>
            </w:pPr>
            <w:r w:rsidRPr="009427E0">
              <w:rPr>
                <w:sz w:val="22"/>
                <w:szCs w:val="22"/>
                <w:rtl/>
              </w:rPr>
              <w:t>אוקטובר</w:t>
            </w:r>
          </w:p>
        </w:tc>
        <w:tc>
          <w:tcPr>
            <w:tcW w:w="1062" w:type="dxa"/>
            <w:noWrap/>
            <w:hideMark/>
          </w:tcPr>
          <w:p w:rsidR="00E92F67" w:rsidRPr="009427E0" w:rsidP="00E81188" w14:paraId="5B42EC2B" w14:textId="77777777">
            <w:pPr>
              <w:spacing w:line="269" w:lineRule="auto"/>
              <w:rPr>
                <w:sz w:val="22"/>
                <w:szCs w:val="22"/>
              </w:rPr>
            </w:pPr>
            <w:r w:rsidRPr="009427E0">
              <w:rPr>
                <w:sz w:val="22"/>
                <w:szCs w:val="22"/>
              </w:rPr>
              <w:t>356</w:t>
            </w:r>
          </w:p>
        </w:tc>
        <w:tc>
          <w:tcPr>
            <w:tcW w:w="1062" w:type="dxa"/>
            <w:noWrap/>
            <w:hideMark/>
          </w:tcPr>
          <w:p w:rsidR="00E92F67" w:rsidRPr="009427E0" w:rsidP="00E81188" w14:paraId="316B0729" w14:textId="77777777">
            <w:pPr>
              <w:spacing w:line="269" w:lineRule="auto"/>
              <w:rPr>
                <w:sz w:val="22"/>
                <w:szCs w:val="22"/>
              </w:rPr>
            </w:pPr>
            <w:r w:rsidRPr="009427E0">
              <w:rPr>
                <w:sz w:val="22"/>
                <w:szCs w:val="22"/>
              </w:rPr>
              <w:t>80</w:t>
            </w:r>
          </w:p>
        </w:tc>
        <w:tc>
          <w:tcPr>
            <w:tcW w:w="1062" w:type="dxa"/>
            <w:noWrap/>
            <w:hideMark/>
          </w:tcPr>
          <w:p w:rsidR="00E92F67" w:rsidRPr="009427E0" w:rsidP="00E81188" w14:paraId="71FE8C0E" w14:textId="77777777">
            <w:pPr>
              <w:spacing w:line="269" w:lineRule="auto"/>
              <w:rPr>
                <w:sz w:val="22"/>
                <w:szCs w:val="22"/>
              </w:rPr>
            </w:pPr>
            <w:r w:rsidRPr="009427E0">
              <w:rPr>
                <w:sz w:val="22"/>
                <w:szCs w:val="22"/>
              </w:rPr>
              <w:t>22%</w:t>
            </w:r>
          </w:p>
        </w:tc>
        <w:tc>
          <w:tcPr>
            <w:tcW w:w="1062" w:type="dxa"/>
            <w:noWrap/>
            <w:hideMark/>
          </w:tcPr>
          <w:p w:rsidR="00E92F67" w:rsidRPr="009427E0" w:rsidP="00E81188" w14:paraId="4D4FDEF6" w14:textId="77777777">
            <w:pPr>
              <w:spacing w:line="269" w:lineRule="auto"/>
              <w:rPr>
                <w:sz w:val="22"/>
                <w:szCs w:val="22"/>
              </w:rPr>
            </w:pPr>
            <w:r w:rsidRPr="009427E0">
              <w:rPr>
                <w:sz w:val="22"/>
                <w:szCs w:val="22"/>
              </w:rPr>
              <w:t>78</w:t>
            </w:r>
          </w:p>
        </w:tc>
        <w:tc>
          <w:tcPr>
            <w:tcW w:w="1062" w:type="dxa"/>
            <w:noWrap/>
            <w:hideMark/>
          </w:tcPr>
          <w:p w:rsidR="00E92F67" w:rsidRPr="009427E0" w:rsidP="00E81188" w14:paraId="0C29502C" w14:textId="77777777">
            <w:pPr>
              <w:spacing w:line="269" w:lineRule="auto"/>
              <w:rPr>
                <w:sz w:val="22"/>
                <w:szCs w:val="22"/>
              </w:rPr>
            </w:pPr>
            <w:r w:rsidRPr="009427E0">
              <w:rPr>
                <w:sz w:val="22"/>
                <w:szCs w:val="22"/>
              </w:rPr>
              <w:t>56</w:t>
            </w:r>
          </w:p>
        </w:tc>
        <w:tc>
          <w:tcPr>
            <w:tcW w:w="1062" w:type="dxa"/>
            <w:noWrap/>
            <w:hideMark/>
          </w:tcPr>
          <w:p w:rsidR="00E92F67" w:rsidRPr="009427E0" w:rsidP="00E81188" w14:paraId="27F5626E" w14:textId="77777777">
            <w:pPr>
              <w:spacing w:line="269" w:lineRule="auto"/>
              <w:rPr>
                <w:sz w:val="22"/>
                <w:szCs w:val="22"/>
              </w:rPr>
            </w:pPr>
            <w:r w:rsidRPr="009427E0">
              <w:rPr>
                <w:sz w:val="22"/>
                <w:szCs w:val="22"/>
              </w:rPr>
              <w:t>28%</w:t>
            </w:r>
          </w:p>
        </w:tc>
        <w:tc>
          <w:tcPr>
            <w:tcW w:w="1379" w:type="dxa"/>
          </w:tcPr>
          <w:p w:rsidR="00E92F67" w:rsidRPr="009427E0" w:rsidP="00E81188" w14:paraId="0BCDE384" w14:textId="77777777">
            <w:pPr>
              <w:spacing w:line="269" w:lineRule="auto"/>
              <w:rPr>
                <w:sz w:val="22"/>
                <w:szCs w:val="22"/>
              </w:rPr>
            </w:pPr>
            <w:r w:rsidRPr="009427E0">
              <w:rPr>
                <w:rFonts w:hint="cs"/>
                <w:sz w:val="22"/>
                <w:szCs w:val="22"/>
                <w:rtl/>
              </w:rPr>
              <w:t xml:space="preserve">אין נתונים*** </w:t>
            </w:r>
          </w:p>
        </w:tc>
      </w:tr>
      <w:tr w14:paraId="503DBC34" w14:textId="77777777" w:rsidTr="009427E0">
        <w:tblPrEx>
          <w:tblW w:w="8813" w:type="dxa"/>
          <w:tblInd w:w="60" w:type="dxa"/>
          <w:tblLayout w:type="fixed"/>
          <w:tblLook w:val="04A0"/>
        </w:tblPrEx>
        <w:trPr>
          <w:trHeight w:val="244"/>
        </w:trPr>
        <w:tc>
          <w:tcPr>
            <w:tcW w:w="1062" w:type="dxa"/>
            <w:noWrap/>
            <w:hideMark/>
          </w:tcPr>
          <w:p w:rsidR="00E92F67" w:rsidRPr="009427E0" w:rsidP="00E81188" w14:paraId="6A6757C3" w14:textId="77777777">
            <w:pPr>
              <w:spacing w:line="269" w:lineRule="auto"/>
              <w:rPr>
                <w:sz w:val="22"/>
                <w:szCs w:val="22"/>
              </w:rPr>
            </w:pPr>
            <w:r w:rsidRPr="009427E0">
              <w:rPr>
                <w:sz w:val="22"/>
                <w:szCs w:val="22"/>
                <w:rtl/>
              </w:rPr>
              <w:t>סך</w:t>
            </w:r>
            <w:r w:rsidRPr="009427E0">
              <w:rPr>
                <w:rFonts w:hint="cs"/>
                <w:sz w:val="22"/>
                <w:szCs w:val="22"/>
                <w:rtl/>
              </w:rPr>
              <w:t xml:space="preserve"> הכול</w:t>
            </w:r>
          </w:p>
        </w:tc>
        <w:tc>
          <w:tcPr>
            <w:tcW w:w="1062" w:type="dxa"/>
            <w:noWrap/>
            <w:hideMark/>
          </w:tcPr>
          <w:p w:rsidR="00E92F67" w:rsidRPr="009427E0" w:rsidP="00E81188" w14:paraId="199EB16E" w14:textId="77777777">
            <w:pPr>
              <w:spacing w:line="269" w:lineRule="auto"/>
              <w:rPr>
                <w:sz w:val="22"/>
                <w:szCs w:val="22"/>
              </w:rPr>
            </w:pPr>
            <w:r w:rsidRPr="009427E0">
              <w:rPr>
                <w:rFonts w:hint="cs"/>
                <w:sz w:val="22"/>
                <w:szCs w:val="22"/>
                <w:rtl/>
              </w:rPr>
              <w:t>4,859</w:t>
            </w:r>
          </w:p>
        </w:tc>
        <w:tc>
          <w:tcPr>
            <w:tcW w:w="1062" w:type="dxa"/>
            <w:noWrap/>
            <w:hideMark/>
          </w:tcPr>
          <w:p w:rsidR="00E92F67" w:rsidRPr="009427E0" w:rsidP="00E81188" w14:paraId="7809776A" w14:textId="77777777">
            <w:pPr>
              <w:spacing w:line="269" w:lineRule="auto"/>
              <w:rPr>
                <w:sz w:val="22"/>
                <w:szCs w:val="22"/>
              </w:rPr>
            </w:pPr>
            <w:r w:rsidRPr="009427E0">
              <w:rPr>
                <w:rFonts w:hint="cs"/>
                <w:sz w:val="22"/>
                <w:szCs w:val="22"/>
                <w:rtl/>
              </w:rPr>
              <w:t>1,995</w:t>
            </w:r>
          </w:p>
        </w:tc>
        <w:tc>
          <w:tcPr>
            <w:tcW w:w="1062" w:type="dxa"/>
            <w:noWrap/>
            <w:hideMark/>
          </w:tcPr>
          <w:p w:rsidR="00E92F67" w:rsidRPr="009427E0" w:rsidP="00E81188" w14:paraId="1E370F07" w14:textId="77777777">
            <w:pPr>
              <w:spacing w:line="269" w:lineRule="auto"/>
              <w:rPr>
                <w:sz w:val="22"/>
                <w:szCs w:val="22"/>
              </w:rPr>
            </w:pPr>
            <w:r w:rsidRPr="009427E0">
              <w:rPr>
                <w:sz w:val="22"/>
                <w:szCs w:val="22"/>
              </w:rPr>
              <w:t>41%</w:t>
            </w:r>
          </w:p>
        </w:tc>
        <w:tc>
          <w:tcPr>
            <w:tcW w:w="1062" w:type="dxa"/>
            <w:noWrap/>
            <w:hideMark/>
          </w:tcPr>
          <w:p w:rsidR="00E92F67" w:rsidRPr="009427E0" w:rsidP="00E81188" w14:paraId="41483A36" w14:textId="5315A1C1">
            <w:pPr>
              <w:spacing w:line="269" w:lineRule="auto"/>
              <w:rPr>
                <w:sz w:val="22"/>
                <w:szCs w:val="22"/>
              </w:rPr>
            </w:pPr>
            <w:r w:rsidRPr="009427E0">
              <w:rPr>
                <w:rFonts w:hint="cs"/>
                <w:sz w:val="22"/>
                <w:szCs w:val="22"/>
                <w:rtl/>
              </w:rPr>
              <w:t>52</w:t>
            </w:r>
            <w:r w:rsidRPr="009427E0" w:rsidR="00260EFD">
              <w:rPr>
                <w:rFonts w:hint="cs"/>
                <w:sz w:val="22"/>
                <w:szCs w:val="22"/>
                <w:rtl/>
              </w:rPr>
              <w:t>3</w:t>
            </w:r>
          </w:p>
        </w:tc>
        <w:tc>
          <w:tcPr>
            <w:tcW w:w="1062" w:type="dxa"/>
            <w:noWrap/>
            <w:hideMark/>
          </w:tcPr>
          <w:p w:rsidR="00E92F67" w:rsidRPr="009427E0" w:rsidP="00E81188" w14:paraId="0AEE0C14" w14:textId="77777777">
            <w:pPr>
              <w:spacing w:line="269" w:lineRule="auto"/>
              <w:rPr>
                <w:sz w:val="22"/>
                <w:szCs w:val="22"/>
              </w:rPr>
            </w:pPr>
            <w:r w:rsidRPr="009427E0">
              <w:rPr>
                <w:sz w:val="22"/>
                <w:szCs w:val="22"/>
              </w:rPr>
              <w:t>385</w:t>
            </w:r>
          </w:p>
        </w:tc>
        <w:tc>
          <w:tcPr>
            <w:tcW w:w="1062" w:type="dxa"/>
            <w:noWrap/>
            <w:hideMark/>
          </w:tcPr>
          <w:p w:rsidR="00E92F67" w:rsidRPr="009427E0" w:rsidP="00E81188" w14:paraId="6952024D" w14:textId="77777777">
            <w:pPr>
              <w:spacing w:line="269" w:lineRule="auto"/>
              <w:rPr>
                <w:sz w:val="22"/>
                <w:szCs w:val="22"/>
              </w:rPr>
            </w:pPr>
            <w:r w:rsidRPr="009427E0">
              <w:rPr>
                <w:sz w:val="22"/>
                <w:szCs w:val="22"/>
              </w:rPr>
              <w:t>26%</w:t>
            </w:r>
          </w:p>
        </w:tc>
        <w:tc>
          <w:tcPr>
            <w:tcW w:w="1379" w:type="dxa"/>
          </w:tcPr>
          <w:p w:rsidR="00E92F67" w:rsidRPr="009427E0" w:rsidP="00E81188" w14:paraId="0A2F362B" w14:textId="77777777">
            <w:pPr>
              <w:spacing w:line="269" w:lineRule="auto"/>
              <w:rPr>
                <w:sz w:val="22"/>
                <w:szCs w:val="22"/>
              </w:rPr>
            </w:pPr>
            <w:r w:rsidRPr="009427E0">
              <w:rPr>
                <w:rFonts w:hint="cs"/>
                <w:sz w:val="22"/>
                <w:szCs w:val="22"/>
                <w:rtl/>
              </w:rPr>
              <w:t>39</w:t>
            </w:r>
          </w:p>
        </w:tc>
      </w:tr>
    </w:tbl>
    <w:p w:rsidR="00E92F67" w:rsidRPr="00DC3374" w:rsidP="00E81188" w14:paraId="6B69F3A6" w14:textId="77777777">
      <w:pPr>
        <w:spacing w:line="269" w:lineRule="auto"/>
        <w:jc w:val="left"/>
        <w:rPr>
          <w:szCs w:val="20"/>
          <w:rtl/>
        </w:rPr>
      </w:pPr>
      <w:r w:rsidRPr="00DC3374">
        <w:rPr>
          <w:rFonts w:hint="cs"/>
          <w:szCs w:val="20"/>
          <w:rtl/>
        </w:rPr>
        <w:t>על פי</w:t>
      </w:r>
      <w:r w:rsidRPr="00DC3374">
        <w:rPr>
          <w:szCs w:val="20"/>
          <w:rtl/>
        </w:rPr>
        <w:t xml:space="preserve"> נתוני </w:t>
      </w:r>
      <w:r w:rsidRPr="00DC3374">
        <w:rPr>
          <w:rFonts w:hint="cs"/>
          <w:szCs w:val="20"/>
          <w:rtl/>
        </w:rPr>
        <w:t>משטרת ישראל</w:t>
      </w:r>
      <w:r w:rsidRPr="00DC3374">
        <w:rPr>
          <w:szCs w:val="20"/>
          <w:rtl/>
        </w:rPr>
        <w:t>, בעיבוד משרד מבקר המדינה</w:t>
      </w:r>
      <w:r w:rsidRPr="00DC3374">
        <w:rPr>
          <w:rFonts w:hint="cs"/>
          <w:szCs w:val="20"/>
          <w:rtl/>
        </w:rPr>
        <w:t>.</w:t>
      </w:r>
    </w:p>
    <w:p w:rsidR="00E92F67" w:rsidRPr="00DC3374" w:rsidP="00E81188" w14:paraId="5AB5228F" w14:textId="77777777">
      <w:pPr>
        <w:spacing w:line="269" w:lineRule="auto"/>
        <w:jc w:val="left"/>
        <w:rPr>
          <w:szCs w:val="20"/>
          <w:rtl/>
        </w:rPr>
      </w:pPr>
      <w:r w:rsidRPr="00DC3374">
        <w:rPr>
          <w:rFonts w:hint="cs"/>
          <w:szCs w:val="20"/>
          <w:rtl/>
        </w:rPr>
        <w:t>* הנתונים נכונים ל-10.3.20.</w:t>
      </w:r>
    </w:p>
    <w:p w:rsidR="00E92F67" w:rsidRPr="00DC3374" w:rsidP="00E81188" w14:paraId="71FBC082" w14:textId="77777777">
      <w:pPr>
        <w:spacing w:line="269" w:lineRule="auto"/>
        <w:jc w:val="left"/>
        <w:rPr>
          <w:szCs w:val="20"/>
          <w:rtl/>
        </w:rPr>
      </w:pPr>
      <w:r w:rsidRPr="00DC3374">
        <w:rPr>
          <w:rFonts w:hint="cs"/>
          <w:szCs w:val="20"/>
          <w:rtl/>
        </w:rPr>
        <w:t>**הנתונים כוללים פניות בנושאים שונים, לרבות בנושא הקורונה.</w:t>
      </w:r>
    </w:p>
    <w:p w:rsidR="00E92F67" w:rsidRPr="00DC3374" w:rsidP="00E81188" w14:paraId="62151F07" w14:textId="77777777">
      <w:pPr>
        <w:spacing w:line="269" w:lineRule="auto"/>
        <w:jc w:val="left"/>
        <w:rPr>
          <w:szCs w:val="20"/>
          <w:rtl/>
        </w:rPr>
      </w:pPr>
      <w:r w:rsidRPr="00DC3374">
        <w:rPr>
          <w:rFonts w:hint="cs"/>
          <w:szCs w:val="20"/>
          <w:rtl/>
        </w:rPr>
        <w:t>*** בחודש זה עברה המשטרה להתכתבויות באמצעות בינה מלאכותית ("צ'אט בוט").</w:t>
      </w:r>
    </w:p>
    <w:p w:rsidR="00E92F67" w:rsidRPr="00DC3374" w:rsidP="00E81188" w14:paraId="5F544DA5" w14:textId="5942D6B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4033A7AE" w14:textId="77777777">
      <w:pPr>
        <w:spacing w:line="269" w:lineRule="auto"/>
        <w:ind w:left="312"/>
        <w:rPr>
          <w:b/>
          <w:bCs/>
          <w:rtl/>
        </w:rPr>
      </w:pPr>
      <w:r w:rsidRPr="00DC3374">
        <w:rPr>
          <w:rFonts w:hint="eastAsia"/>
          <w:b/>
          <w:bCs/>
          <w:rtl/>
        </w:rPr>
        <w:t>מהלוח</w:t>
      </w:r>
      <w:r w:rsidRPr="00DC3374">
        <w:rPr>
          <w:b/>
          <w:bCs/>
          <w:rtl/>
        </w:rPr>
        <w:t xml:space="preserve"> </w:t>
      </w:r>
      <w:r w:rsidRPr="00DC3374">
        <w:rPr>
          <w:rFonts w:hint="eastAsia"/>
          <w:b/>
          <w:bCs/>
          <w:rtl/>
        </w:rPr>
        <w:t>עולה</w:t>
      </w:r>
      <w:r w:rsidRPr="00DC3374">
        <w:rPr>
          <w:b/>
          <w:bCs/>
          <w:rtl/>
        </w:rPr>
        <w:t xml:space="preserve"> </w:t>
      </w:r>
      <w:r w:rsidRPr="00DC3374">
        <w:rPr>
          <w:rFonts w:hint="eastAsia"/>
          <w:b/>
          <w:bCs/>
          <w:rtl/>
        </w:rPr>
        <w:t>כי</w:t>
      </w:r>
      <w:r w:rsidRPr="00DC3374">
        <w:rPr>
          <w:b/>
          <w:bCs/>
          <w:rtl/>
        </w:rPr>
        <w:t xml:space="preserve"> </w:t>
      </w:r>
      <w:r w:rsidRPr="00DC3374">
        <w:rPr>
          <w:rFonts w:hint="eastAsia"/>
          <w:b/>
          <w:bCs/>
          <w:rtl/>
        </w:rPr>
        <w:t>בתחילת</w:t>
      </w:r>
      <w:r w:rsidRPr="00DC3374">
        <w:rPr>
          <w:b/>
          <w:bCs/>
          <w:rtl/>
        </w:rPr>
        <w:t xml:space="preserve"> </w:t>
      </w:r>
      <w:r w:rsidRPr="00DC3374">
        <w:rPr>
          <w:rFonts w:hint="eastAsia"/>
          <w:b/>
          <w:bCs/>
          <w:rtl/>
        </w:rPr>
        <w:t>המשבר</w:t>
      </w:r>
      <w:r w:rsidRPr="00DC3374">
        <w:rPr>
          <w:rFonts w:hint="cs"/>
          <w:b/>
          <w:bCs/>
          <w:rtl/>
        </w:rPr>
        <w:t>,</w:t>
      </w:r>
      <w:r w:rsidRPr="00DC3374">
        <w:rPr>
          <w:b/>
          <w:bCs/>
          <w:rtl/>
        </w:rPr>
        <w:t xml:space="preserve"> בחודש מרץ 2020, שני שליש</w:t>
      </w:r>
      <w:r w:rsidRPr="00DC3374">
        <w:rPr>
          <w:rFonts w:hint="cs"/>
          <w:b/>
          <w:bCs/>
          <w:rtl/>
        </w:rPr>
        <w:t>ים</w:t>
      </w:r>
      <w:r w:rsidRPr="00DC3374">
        <w:rPr>
          <w:b/>
          <w:bCs/>
          <w:rtl/>
        </w:rPr>
        <w:t xml:space="preserve"> מהפניות </w:t>
      </w:r>
      <w:r w:rsidRPr="00DC3374">
        <w:rPr>
          <w:rFonts w:hint="eastAsia"/>
          <w:b/>
          <w:bCs/>
          <w:rtl/>
        </w:rPr>
        <w:t>למוקד</w:t>
      </w:r>
      <w:r w:rsidRPr="00DC3374">
        <w:rPr>
          <w:b/>
          <w:bCs/>
          <w:rtl/>
        </w:rPr>
        <w:t xml:space="preserve"> 110 </w:t>
      </w:r>
      <w:r w:rsidRPr="00DC3374">
        <w:rPr>
          <w:rFonts w:hint="eastAsia"/>
          <w:b/>
          <w:bCs/>
          <w:rtl/>
        </w:rPr>
        <w:t>של</w:t>
      </w:r>
      <w:r w:rsidRPr="00DC3374">
        <w:rPr>
          <w:b/>
          <w:bCs/>
          <w:rtl/>
        </w:rPr>
        <w:t xml:space="preserve"> </w:t>
      </w:r>
      <w:r w:rsidRPr="00DC3374">
        <w:rPr>
          <w:rFonts w:hint="eastAsia"/>
          <w:b/>
          <w:bCs/>
          <w:rtl/>
        </w:rPr>
        <w:t>המשטרה</w:t>
      </w:r>
      <w:r w:rsidRPr="00DC3374">
        <w:rPr>
          <w:b/>
          <w:bCs/>
          <w:rtl/>
        </w:rPr>
        <w:t xml:space="preserve"> </w:t>
      </w:r>
      <w:r w:rsidRPr="00DC3374">
        <w:rPr>
          <w:rFonts w:hint="eastAsia"/>
          <w:b/>
          <w:bCs/>
          <w:rtl/>
        </w:rPr>
        <w:t>נותקו</w:t>
      </w:r>
      <w:r w:rsidRPr="00DC3374">
        <w:rPr>
          <w:b/>
          <w:bCs/>
          <w:rtl/>
        </w:rPr>
        <w:t xml:space="preserve"> </w:t>
      </w:r>
      <w:r w:rsidRPr="00DC3374">
        <w:rPr>
          <w:rFonts w:hint="eastAsia"/>
          <w:b/>
          <w:bCs/>
          <w:rtl/>
        </w:rPr>
        <w:t>בשל</w:t>
      </w:r>
      <w:r w:rsidRPr="00DC3374">
        <w:rPr>
          <w:b/>
          <w:bCs/>
          <w:rtl/>
        </w:rPr>
        <w:t xml:space="preserve"> </w:t>
      </w:r>
      <w:r w:rsidRPr="00DC3374">
        <w:rPr>
          <w:rFonts w:hint="eastAsia"/>
          <w:b/>
          <w:bCs/>
          <w:rtl/>
        </w:rPr>
        <w:t>מגבלת</w:t>
      </w:r>
      <w:r w:rsidRPr="00DC3374">
        <w:rPr>
          <w:b/>
          <w:bCs/>
          <w:rtl/>
        </w:rPr>
        <w:t xml:space="preserve"> </w:t>
      </w:r>
      <w:r w:rsidRPr="00DC3374">
        <w:rPr>
          <w:rFonts w:hint="eastAsia"/>
          <w:b/>
          <w:bCs/>
          <w:rtl/>
        </w:rPr>
        <w:t>הנתב</w:t>
      </w:r>
      <w:r w:rsidRPr="00DC3374">
        <w:rPr>
          <w:b/>
          <w:bCs/>
          <w:rtl/>
        </w:rPr>
        <w:t xml:space="preserve"> </w:t>
      </w:r>
      <w:r w:rsidRPr="00DC3374">
        <w:rPr>
          <w:rFonts w:hint="eastAsia"/>
          <w:b/>
          <w:bCs/>
          <w:rtl/>
        </w:rPr>
        <w:t>ולא</w:t>
      </w:r>
      <w:r w:rsidRPr="00DC3374">
        <w:rPr>
          <w:b/>
          <w:bCs/>
          <w:rtl/>
        </w:rPr>
        <w:t xml:space="preserve"> </w:t>
      </w:r>
      <w:r w:rsidRPr="00DC3374">
        <w:rPr>
          <w:rFonts w:hint="eastAsia"/>
          <w:b/>
          <w:bCs/>
          <w:rtl/>
        </w:rPr>
        <w:t>הגיעו</w:t>
      </w:r>
      <w:r w:rsidRPr="00DC3374">
        <w:rPr>
          <w:b/>
          <w:bCs/>
          <w:rtl/>
        </w:rPr>
        <w:t xml:space="preserve"> </w:t>
      </w:r>
      <w:r w:rsidRPr="00DC3374">
        <w:rPr>
          <w:rFonts w:hint="eastAsia"/>
          <w:b/>
          <w:bCs/>
          <w:rtl/>
        </w:rPr>
        <w:t>למוקד</w:t>
      </w:r>
      <w:r w:rsidRPr="00DC3374">
        <w:rPr>
          <w:b/>
          <w:bCs/>
          <w:rtl/>
        </w:rPr>
        <w:t xml:space="preserve"> (66%)</w:t>
      </w:r>
      <w:r w:rsidRPr="00DC3374">
        <w:rPr>
          <w:rFonts w:hint="cs"/>
          <w:b/>
          <w:bCs/>
          <w:rtl/>
        </w:rPr>
        <w:t>.</w:t>
      </w:r>
      <w:r w:rsidRPr="00DC3374">
        <w:rPr>
          <w:b/>
          <w:bCs/>
          <w:rtl/>
        </w:rPr>
        <w:t xml:space="preserve"> נוסף על כך 33% מהשיחות שהגיעו למוקד לא נענו</w:t>
      </w:r>
      <w:r w:rsidRPr="00DC3374">
        <w:rPr>
          <w:rFonts w:hint="cs"/>
          <w:b/>
          <w:bCs/>
          <w:rtl/>
        </w:rPr>
        <w:t xml:space="preserve"> בידי מוקדן</w:t>
      </w:r>
      <w:r w:rsidRPr="00DC3374">
        <w:rPr>
          <w:b/>
          <w:bCs/>
          <w:rtl/>
        </w:rPr>
        <w:t xml:space="preserve">; </w:t>
      </w:r>
      <w:r w:rsidRPr="00DC3374">
        <w:rPr>
          <w:rFonts w:hint="eastAsia"/>
          <w:b/>
          <w:bCs/>
          <w:rtl/>
        </w:rPr>
        <w:t>ב</w:t>
      </w:r>
      <w:r w:rsidRPr="00DC3374">
        <w:rPr>
          <w:rFonts w:hint="cs"/>
          <w:b/>
          <w:bCs/>
          <w:rtl/>
        </w:rPr>
        <w:t>חודשים</w:t>
      </w:r>
      <w:r w:rsidRPr="00DC3374">
        <w:rPr>
          <w:b/>
          <w:bCs/>
          <w:rtl/>
        </w:rPr>
        <w:t xml:space="preserve"> </w:t>
      </w:r>
      <w:r w:rsidRPr="00DC3374">
        <w:rPr>
          <w:rFonts w:hint="eastAsia"/>
          <w:b/>
          <w:bCs/>
          <w:rtl/>
        </w:rPr>
        <w:t>מאי</w:t>
      </w:r>
      <w:r w:rsidRPr="00DC3374">
        <w:rPr>
          <w:b/>
          <w:bCs/>
          <w:rtl/>
        </w:rPr>
        <w:t xml:space="preserve"> </w:t>
      </w:r>
      <w:r w:rsidRPr="00DC3374">
        <w:rPr>
          <w:rFonts w:hint="cs"/>
          <w:b/>
          <w:bCs/>
          <w:rtl/>
        </w:rPr>
        <w:t xml:space="preserve">עד </w:t>
      </w:r>
      <w:r w:rsidRPr="00DC3374">
        <w:rPr>
          <w:rFonts w:hint="eastAsia"/>
          <w:b/>
          <w:bCs/>
          <w:rtl/>
        </w:rPr>
        <w:t>אוגוסט</w:t>
      </w:r>
      <w:r w:rsidRPr="00DC3374">
        <w:rPr>
          <w:b/>
          <w:bCs/>
          <w:rtl/>
        </w:rPr>
        <w:t xml:space="preserve"> 2020 </w:t>
      </w:r>
      <w:r w:rsidRPr="00DC3374">
        <w:rPr>
          <w:rFonts w:hint="eastAsia"/>
          <w:b/>
          <w:bCs/>
          <w:rtl/>
        </w:rPr>
        <w:t>כמעט</w:t>
      </w:r>
      <w:r w:rsidRPr="00DC3374">
        <w:rPr>
          <w:b/>
          <w:bCs/>
          <w:rtl/>
        </w:rPr>
        <w:t xml:space="preserve"> </w:t>
      </w:r>
      <w:r w:rsidRPr="00DC3374">
        <w:rPr>
          <w:rFonts w:hint="eastAsia"/>
          <w:b/>
          <w:bCs/>
          <w:rtl/>
        </w:rPr>
        <w:t>כל</w:t>
      </w:r>
      <w:r w:rsidRPr="00DC3374">
        <w:rPr>
          <w:b/>
          <w:bCs/>
          <w:rtl/>
        </w:rPr>
        <w:t xml:space="preserve"> </w:t>
      </w:r>
      <w:r w:rsidRPr="00DC3374">
        <w:rPr>
          <w:rFonts w:hint="eastAsia"/>
          <w:b/>
          <w:bCs/>
          <w:rtl/>
        </w:rPr>
        <w:t>השיחות</w:t>
      </w:r>
      <w:r w:rsidRPr="00DC3374">
        <w:rPr>
          <w:b/>
          <w:bCs/>
          <w:rtl/>
        </w:rPr>
        <w:t xml:space="preserve"> </w:t>
      </w:r>
      <w:r w:rsidRPr="00DC3374">
        <w:rPr>
          <w:rFonts w:hint="eastAsia"/>
          <w:b/>
          <w:bCs/>
          <w:rtl/>
        </w:rPr>
        <w:t>למוקד</w:t>
      </w:r>
      <w:r w:rsidRPr="00DC3374">
        <w:rPr>
          <w:b/>
          <w:bCs/>
          <w:rtl/>
        </w:rPr>
        <w:t xml:space="preserve"> 110 </w:t>
      </w:r>
      <w:r w:rsidRPr="00DC3374">
        <w:rPr>
          <w:rFonts w:hint="eastAsia"/>
          <w:b/>
          <w:bCs/>
          <w:rtl/>
        </w:rPr>
        <w:t>צלחו</w:t>
      </w:r>
      <w:r w:rsidRPr="00DC3374">
        <w:rPr>
          <w:b/>
          <w:bCs/>
          <w:rtl/>
        </w:rPr>
        <w:t xml:space="preserve"> </w:t>
      </w:r>
      <w:r w:rsidRPr="00DC3374">
        <w:rPr>
          <w:rFonts w:hint="eastAsia"/>
          <w:b/>
          <w:bCs/>
          <w:rtl/>
        </w:rPr>
        <w:t>את</w:t>
      </w:r>
      <w:r w:rsidRPr="00DC3374">
        <w:rPr>
          <w:b/>
          <w:bCs/>
          <w:rtl/>
        </w:rPr>
        <w:t xml:space="preserve"> </w:t>
      </w:r>
      <w:r w:rsidRPr="00DC3374">
        <w:rPr>
          <w:rFonts w:hint="eastAsia"/>
          <w:b/>
          <w:bCs/>
          <w:rtl/>
        </w:rPr>
        <w:t>המעבר</w:t>
      </w:r>
      <w:r w:rsidRPr="00DC3374">
        <w:rPr>
          <w:b/>
          <w:bCs/>
          <w:rtl/>
        </w:rPr>
        <w:t xml:space="preserve"> </w:t>
      </w:r>
      <w:r w:rsidRPr="00DC3374">
        <w:rPr>
          <w:rFonts w:hint="eastAsia"/>
          <w:b/>
          <w:bCs/>
          <w:rtl/>
        </w:rPr>
        <w:t>בנתב</w:t>
      </w:r>
      <w:r w:rsidRPr="00DC3374">
        <w:rPr>
          <w:b/>
          <w:bCs/>
          <w:rtl/>
        </w:rPr>
        <w:t xml:space="preserve">, </w:t>
      </w:r>
      <w:r w:rsidRPr="00DC3374">
        <w:rPr>
          <w:rFonts w:hint="eastAsia"/>
          <w:b/>
          <w:bCs/>
          <w:rtl/>
        </w:rPr>
        <w:t>ושיעור</w:t>
      </w:r>
      <w:r w:rsidRPr="00DC3374">
        <w:rPr>
          <w:b/>
          <w:bCs/>
          <w:rtl/>
        </w:rPr>
        <w:t xml:space="preserve"> </w:t>
      </w:r>
      <w:r w:rsidRPr="00DC3374">
        <w:rPr>
          <w:rFonts w:hint="eastAsia"/>
          <w:b/>
          <w:bCs/>
          <w:rtl/>
        </w:rPr>
        <w:t>השיחות</w:t>
      </w:r>
      <w:r w:rsidRPr="00DC3374">
        <w:rPr>
          <w:b/>
          <w:bCs/>
          <w:rtl/>
        </w:rPr>
        <w:t xml:space="preserve"> </w:t>
      </w:r>
      <w:r w:rsidRPr="00DC3374">
        <w:rPr>
          <w:rFonts w:hint="eastAsia"/>
          <w:b/>
          <w:bCs/>
          <w:rtl/>
        </w:rPr>
        <w:t>שהגיעו</w:t>
      </w:r>
      <w:r w:rsidRPr="00DC3374">
        <w:rPr>
          <w:b/>
          <w:bCs/>
          <w:rtl/>
        </w:rPr>
        <w:t xml:space="preserve"> </w:t>
      </w:r>
      <w:r w:rsidRPr="00DC3374">
        <w:rPr>
          <w:rFonts w:hint="eastAsia"/>
          <w:b/>
          <w:bCs/>
          <w:rtl/>
        </w:rPr>
        <w:t>למוקד</w:t>
      </w:r>
      <w:r w:rsidRPr="00DC3374">
        <w:rPr>
          <w:b/>
          <w:bCs/>
          <w:rtl/>
        </w:rPr>
        <w:t xml:space="preserve"> </w:t>
      </w:r>
      <w:r w:rsidRPr="00DC3374">
        <w:rPr>
          <w:rFonts w:hint="eastAsia"/>
          <w:b/>
          <w:bCs/>
          <w:rtl/>
        </w:rPr>
        <w:t>אך</w:t>
      </w:r>
      <w:r w:rsidRPr="00DC3374">
        <w:rPr>
          <w:b/>
          <w:bCs/>
          <w:rtl/>
        </w:rPr>
        <w:t xml:space="preserve"> </w:t>
      </w:r>
      <w:r w:rsidRPr="00DC3374">
        <w:rPr>
          <w:rFonts w:hint="eastAsia"/>
          <w:b/>
          <w:bCs/>
          <w:rtl/>
        </w:rPr>
        <w:t>לא</w:t>
      </w:r>
      <w:r w:rsidRPr="00DC3374">
        <w:rPr>
          <w:b/>
          <w:bCs/>
          <w:rtl/>
        </w:rPr>
        <w:t xml:space="preserve"> </w:t>
      </w:r>
      <w:r w:rsidRPr="00DC3374">
        <w:rPr>
          <w:rFonts w:hint="eastAsia"/>
          <w:b/>
          <w:bCs/>
          <w:rtl/>
        </w:rPr>
        <w:t>נענו</w:t>
      </w:r>
      <w:r w:rsidRPr="00DC3374">
        <w:rPr>
          <w:b/>
          <w:bCs/>
          <w:rtl/>
        </w:rPr>
        <w:t xml:space="preserve"> </w:t>
      </w:r>
      <w:r w:rsidRPr="00DC3374">
        <w:rPr>
          <w:rFonts w:hint="eastAsia"/>
          <w:b/>
          <w:bCs/>
          <w:rtl/>
        </w:rPr>
        <w:t>בידי</w:t>
      </w:r>
      <w:r w:rsidRPr="00DC3374">
        <w:rPr>
          <w:b/>
          <w:bCs/>
          <w:rtl/>
        </w:rPr>
        <w:t xml:space="preserve"> </w:t>
      </w:r>
      <w:r w:rsidRPr="00DC3374">
        <w:rPr>
          <w:rFonts w:hint="eastAsia"/>
          <w:b/>
          <w:bCs/>
          <w:rtl/>
        </w:rPr>
        <w:t>מוקדן</w:t>
      </w:r>
      <w:r w:rsidRPr="00DC3374">
        <w:rPr>
          <w:b/>
          <w:bCs/>
          <w:rtl/>
        </w:rPr>
        <w:t xml:space="preserve"> </w:t>
      </w:r>
      <w:r w:rsidRPr="00DC3374">
        <w:rPr>
          <w:rFonts w:hint="eastAsia"/>
          <w:b/>
          <w:bCs/>
          <w:rtl/>
        </w:rPr>
        <w:t>נע</w:t>
      </w:r>
      <w:r w:rsidRPr="00DC3374">
        <w:rPr>
          <w:b/>
          <w:bCs/>
          <w:rtl/>
        </w:rPr>
        <w:t xml:space="preserve"> </w:t>
      </w:r>
      <w:r w:rsidRPr="00DC3374">
        <w:rPr>
          <w:rFonts w:hint="eastAsia"/>
          <w:b/>
          <w:bCs/>
          <w:rtl/>
        </w:rPr>
        <w:t>מ</w:t>
      </w:r>
      <w:r w:rsidRPr="00DC3374">
        <w:rPr>
          <w:b/>
          <w:bCs/>
          <w:rtl/>
        </w:rPr>
        <w:t>-</w:t>
      </w:r>
      <w:r>
        <w:rPr>
          <w:rFonts w:hint="cs"/>
          <w:b/>
          <w:bCs/>
          <w:rtl/>
        </w:rPr>
        <w:t>15</w:t>
      </w:r>
      <w:r w:rsidRPr="00DC3374">
        <w:rPr>
          <w:b/>
          <w:bCs/>
          <w:rtl/>
        </w:rPr>
        <w:t xml:space="preserve">% עד 30%; </w:t>
      </w:r>
      <w:r w:rsidRPr="00DC3374">
        <w:rPr>
          <w:rFonts w:hint="eastAsia"/>
          <w:b/>
          <w:bCs/>
          <w:rtl/>
        </w:rPr>
        <w:t>בחודשים</w:t>
      </w:r>
      <w:r w:rsidRPr="00DC3374">
        <w:rPr>
          <w:b/>
          <w:bCs/>
          <w:rtl/>
        </w:rPr>
        <w:t xml:space="preserve"> ספטמבר ואוקטובר</w:t>
      </w:r>
      <w:r w:rsidRPr="00DC3374">
        <w:rPr>
          <w:rFonts w:hint="cs"/>
          <w:b/>
          <w:bCs/>
          <w:rtl/>
        </w:rPr>
        <w:t>,</w:t>
      </w:r>
      <w:r w:rsidRPr="00DC3374">
        <w:rPr>
          <w:b/>
          <w:bCs/>
          <w:rtl/>
        </w:rPr>
        <w:t xml:space="preserve"> </w:t>
      </w:r>
      <w:r w:rsidRPr="00DC3374">
        <w:rPr>
          <w:rFonts w:hint="eastAsia"/>
          <w:b/>
          <w:bCs/>
          <w:rtl/>
        </w:rPr>
        <w:t>בתקופת</w:t>
      </w:r>
      <w:r w:rsidRPr="00DC3374">
        <w:rPr>
          <w:b/>
          <w:bCs/>
          <w:rtl/>
        </w:rPr>
        <w:t xml:space="preserve"> הסגר השני, </w:t>
      </w:r>
      <w:r w:rsidRPr="00DC3374">
        <w:rPr>
          <w:rFonts w:hint="eastAsia"/>
          <w:b/>
          <w:bCs/>
          <w:rtl/>
        </w:rPr>
        <w:t>יותר</w:t>
      </w:r>
      <w:r w:rsidRPr="00DC3374">
        <w:rPr>
          <w:b/>
          <w:bCs/>
          <w:rtl/>
        </w:rPr>
        <w:t xml:space="preserve"> </w:t>
      </w:r>
      <w:r w:rsidRPr="00DC3374">
        <w:rPr>
          <w:rFonts w:hint="eastAsia"/>
          <w:b/>
          <w:bCs/>
          <w:rtl/>
        </w:rPr>
        <w:t>מחצי</w:t>
      </w:r>
      <w:r w:rsidRPr="00DC3374">
        <w:rPr>
          <w:b/>
          <w:bCs/>
          <w:rtl/>
        </w:rPr>
        <w:t xml:space="preserve"> שנה מתחילת המשבר, 32% ו-22% </w:t>
      </w:r>
      <w:r w:rsidRPr="00DC3374">
        <w:rPr>
          <w:rFonts w:hint="eastAsia"/>
          <w:b/>
          <w:bCs/>
          <w:rtl/>
        </w:rPr>
        <w:t>מהשיחות</w:t>
      </w:r>
      <w:r w:rsidRPr="00DC3374">
        <w:rPr>
          <w:b/>
          <w:bCs/>
          <w:rtl/>
        </w:rPr>
        <w:t xml:space="preserve">, </w:t>
      </w:r>
      <w:r w:rsidRPr="00DC3374">
        <w:rPr>
          <w:rFonts w:hint="eastAsia"/>
          <w:b/>
          <w:bCs/>
          <w:rtl/>
        </w:rPr>
        <w:t>בהתאמה</w:t>
      </w:r>
      <w:r w:rsidRPr="00DC3374">
        <w:rPr>
          <w:rFonts w:hint="cs"/>
          <w:b/>
          <w:bCs/>
          <w:rtl/>
        </w:rPr>
        <w:t>,</w:t>
      </w:r>
      <w:r w:rsidRPr="00DC3374">
        <w:rPr>
          <w:b/>
          <w:bCs/>
          <w:rtl/>
        </w:rPr>
        <w:t xml:space="preserve"> </w:t>
      </w:r>
      <w:r w:rsidRPr="00DC3374">
        <w:rPr>
          <w:rFonts w:hint="eastAsia"/>
          <w:b/>
          <w:bCs/>
          <w:rtl/>
        </w:rPr>
        <w:t>נותקו</w:t>
      </w:r>
      <w:r w:rsidRPr="00DC3374">
        <w:rPr>
          <w:b/>
          <w:bCs/>
          <w:rtl/>
        </w:rPr>
        <w:t xml:space="preserve"> בשלב </w:t>
      </w:r>
      <w:r w:rsidRPr="00DC3374">
        <w:rPr>
          <w:rFonts w:hint="eastAsia"/>
          <w:b/>
          <w:bCs/>
          <w:rtl/>
        </w:rPr>
        <w:t>הנתב</w:t>
      </w:r>
      <w:r w:rsidRPr="00DC3374">
        <w:rPr>
          <w:b/>
          <w:bCs/>
          <w:rtl/>
        </w:rPr>
        <w:t xml:space="preserve"> </w:t>
      </w:r>
      <w:r w:rsidRPr="00DC3374">
        <w:rPr>
          <w:rFonts w:hint="eastAsia"/>
          <w:b/>
          <w:bCs/>
          <w:rtl/>
        </w:rPr>
        <w:t>ולא</w:t>
      </w:r>
      <w:r w:rsidRPr="00DC3374">
        <w:rPr>
          <w:b/>
          <w:bCs/>
          <w:rtl/>
        </w:rPr>
        <w:t xml:space="preserve"> הגיעו </w:t>
      </w:r>
      <w:r w:rsidRPr="00DC3374">
        <w:rPr>
          <w:rFonts w:hint="eastAsia"/>
          <w:b/>
          <w:bCs/>
          <w:rtl/>
        </w:rPr>
        <w:t>למוקד</w:t>
      </w:r>
      <w:r w:rsidRPr="00DC3374">
        <w:rPr>
          <w:rFonts w:hint="cs"/>
          <w:b/>
          <w:bCs/>
          <w:rtl/>
        </w:rPr>
        <w:t xml:space="preserve">. </w:t>
      </w:r>
      <w:r w:rsidRPr="00DC3374">
        <w:rPr>
          <w:rFonts w:hint="eastAsia"/>
          <w:b/>
          <w:bCs/>
          <w:rtl/>
        </w:rPr>
        <w:t>נוסף</w:t>
      </w:r>
      <w:r w:rsidRPr="00DC3374">
        <w:rPr>
          <w:b/>
          <w:bCs/>
          <w:rtl/>
        </w:rPr>
        <w:t xml:space="preserve"> על כך 41% ו-28% מהשיחות שצלחו את הנתב והגיעו למוקד, בהתאמה, לא נענו</w:t>
      </w:r>
      <w:r w:rsidRPr="00DC3374">
        <w:rPr>
          <w:rFonts w:hint="cs"/>
          <w:b/>
          <w:bCs/>
          <w:rtl/>
        </w:rPr>
        <w:t xml:space="preserve"> בידי מוקדן</w:t>
      </w:r>
      <w:r w:rsidRPr="00DC3374">
        <w:rPr>
          <w:b/>
          <w:bCs/>
          <w:rtl/>
        </w:rPr>
        <w:t xml:space="preserve">. </w:t>
      </w:r>
    </w:p>
    <w:p w:rsidR="00E92F67" w:rsidRPr="00DC3374" w:rsidP="00E81188" w14:paraId="18B497E7" w14:textId="2B5AEC5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3343CA7" w14:textId="77777777">
      <w:pPr>
        <w:spacing w:line="269" w:lineRule="auto"/>
        <w:ind w:left="312"/>
        <w:rPr>
          <w:rtl/>
        </w:rPr>
      </w:pPr>
      <w:r w:rsidRPr="00DC3374">
        <w:rPr>
          <w:rFonts w:hint="cs"/>
          <w:rtl/>
        </w:rPr>
        <w:t>משטרת ישראל מסרה בתשובתה למשרד מבקר המדינה כי בתחילת משבר הקורונה נדרש מוקד 110 להתמודד עם עלייה חדה במספר הפניות, ובהתאם לכך נעשו הפעולות האלה: בוצעו התאמות בתשתית הטלפונית לקליטת 120 שיחות בו-זמנית; המוקד תוגבר בחודשים ספטמבר ואוקטובר 2020 במוקדנים נוספים; הוקם "צ'אט בוט" אשר נתן מענה אוטומטי לשאלות נפוצות בכל שעות היממה. עוד נמסר כי בחודש ספטמבר 2020 הונחה המוקד לתת מענה לאזרחים גם בנושאים שבדרך כלל אינם בתחום אחריותו, דבר שהוביל לעלייה בכמות השיחות הנכנסות ולהתארכות משך השיחות.</w:t>
      </w:r>
    </w:p>
    <w:p w:rsidR="00E92F67" w:rsidRPr="00DC3374" w:rsidP="00E81188" w14:paraId="6607B44C" w14:textId="3930F46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09CBB73" w14:textId="72445B52">
      <w:pPr>
        <w:pStyle w:val="ListParagraph"/>
        <w:numPr>
          <w:ilvl w:val="0"/>
          <w:numId w:val="24"/>
        </w:numPr>
        <w:spacing w:line="269" w:lineRule="auto"/>
        <w:ind w:left="312"/>
        <w:rPr>
          <w:b/>
          <w:bCs/>
          <w:rtl/>
        </w:rPr>
      </w:pPr>
      <w:r w:rsidRPr="00DC3374">
        <w:rPr>
          <w:rFonts w:hint="eastAsia"/>
          <w:rtl/>
        </w:rPr>
        <w:t>פקע</w:t>
      </w:r>
      <w:r w:rsidRPr="00DC3374">
        <w:rPr>
          <w:rtl/>
        </w:rPr>
        <w:t xml:space="preserve">"ר </w:t>
      </w:r>
      <w:r w:rsidRPr="00DC3374">
        <w:rPr>
          <w:rFonts w:hint="eastAsia"/>
          <w:rtl/>
        </w:rPr>
        <w:t>מסר</w:t>
      </w:r>
      <w:r w:rsidRPr="00DC3374">
        <w:rPr>
          <w:rtl/>
        </w:rPr>
        <w:t xml:space="preserve"> בתשובתו כי </w:t>
      </w:r>
      <w:r w:rsidRPr="00DC3374">
        <w:rPr>
          <w:rFonts w:hint="eastAsia"/>
          <w:rtl/>
        </w:rPr>
        <w:t>הוא</w:t>
      </w:r>
      <w:r w:rsidRPr="00DC3374">
        <w:rPr>
          <w:rtl/>
        </w:rPr>
        <w:t xml:space="preserve"> </w:t>
      </w:r>
      <w:r w:rsidRPr="00DC3374">
        <w:rPr>
          <w:rFonts w:hint="eastAsia"/>
          <w:rtl/>
        </w:rPr>
        <w:t>פעל</w:t>
      </w:r>
      <w:r w:rsidRPr="00DC3374">
        <w:rPr>
          <w:rtl/>
        </w:rPr>
        <w:t xml:space="preserve"> </w:t>
      </w:r>
      <w:r w:rsidRPr="00DC3374">
        <w:rPr>
          <w:rFonts w:hint="eastAsia"/>
          <w:rtl/>
        </w:rPr>
        <w:t>לפי</w:t>
      </w:r>
      <w:r w:rsidRPr="00DC3374">
        <w:rPr>
          <w:rtl/>
        </w:rPr>
        <w:t xml:space="preserve"> </w:t>
      </w:r>
      <w:r w:rsidRPr="00DC3374">
        <w:rPr>
          <w:rFonts w:hint="eastAsia"/>
          <w:rtl/>
        </w:rPr>
        <w:t>ההנחות</w:t>
      </w:r>
      <w:r w:rsidRPr="00DC3374">
        <w:rPr>
          <w:rFonts w:hint="cs"/>
          <w:rtl/>
        </w:rPr>
        <w:t xml:space="preserve"> האלה: כל הפונים שניתקו את שיחותיהם לאחר שהגיעו למוקד והחלו בשמיעת ההודעה המוקלטת, ולא הגיעו לשיחה עם מוקדן, קיבלו מענה מלא באמצעות ההודעה ולא נזקקו לשיחה עם מוקדן</w:t>
      </w:r>
      <w:r w:rsidR="00184CE4">
        <w:rPr>
          <w:rFonts w:hint="cs"/>
          <w:rtl/>
        </w:rPr>
        <w:t xml:space="preserve">. </w:t>
      </w:r>
      <w:r w:rsidRPr="00DC3374">
        <w:rPr>
          <w:rFonts w:hint="cs"/>
          <w:rtl/>
        </w:rPr>
        <w:t xml:space="preserve">על פי תשובת פקע"ר </w:t>
      </w:r>
      <w:r w:rsidRPr="00DC3374">
        <w:rPr>
          <w:rFonts w:hint="eastAsia"/>
          <w:rtl/>
        </w:rPr>
        <w:t>לא</w:t>
      </w:r>
      <w:r w:rsidRPr="00DC3374">
        <w:rPr>
          <w:rtl/>
        </w:rPr>
        <w:t xml:space="preserve"> ייתכן שפונה החל בשמיעת ההודעה</w:t>
      </w:r>
      <w:r w:rsidRPr="00DC3374">
        <w:rPr>
          <w:rFonts w:hint="cs"/>
          <w:rtl/>
        </w:rPr>
        <w:t>,</w:t>
      </w:r>
      <w:r w:rsidRPr="00DC3374">
        <w:rPr>
          <w:rtl/>
        </w:rPr>
        <w:t xml:space="preserve"> ומשהתעכב מענה המוקדן, נית</w:t>
      </w:r>
      <w:r w:rsidRPr="00DC3374">
        <w:rPr>
          <w:rFonts w:hint="cs"/>
          <w:rtl/>
        </w:rPr>
        <w:t>ק</w:t>
      </w:r>
      <w:r w:rsidRPr="00DC3374">
        <w:rPr>
          <w:rtl/>
        </w:rPr>
        <w:t xml:space="preserve"> את השיחה; נוהל העבודה של פקע"ר קובע שיש לחזור לפונים שניתקו את שיחתם בטרם קיבלו מענה, </w:t>
      </w:r>
      <w:r w:rsidRPr="00DC3374">
        <w:rPr>
          <w:rFonts w:hint="eastAsia"/>
          <w:rtl/>
        </w:rPr>
        <w:t>ולכן</w:t>
      </w:r>
      <w:r w:rsidRPr="00DC3374">
        <w:rPr>
          <w:rtl/>
        </w:rPr>
        <w:t xml:space="preserve"> אפשר להניח כי </w:t>
      </w:r>
      <w:r w:rsidRPr="00DC3374">
        <w:rPr>
          <w:rFonts w:hint="eastAsia"/>
          <w:rtl/>
        </w:rPr>
        <w:t>פקע</w:t>
      </w:r>
      <w:r w:rsidRPr="00DC3374">
        <w:rPr>
          <w:rtl/>
        </w:rPr>
        <w:t xml:space="preserve">"ר </w:t>
      </w:r>
      <w:r w:rsidRPr="00DC3374">
        <w:rPr>
          <w:rFonts w:hint="eastAsia"/>
          <w:rtl/>
        </w:rPr>
        <w:t>פעל</w:t>
      </w:r>
      <w:r w:rsidRPr="00DC3374">
        <w:rPr>
          <w:rtl/>
        </w:rPr>
        <w:t xml:space="preserve"> </w:t>
      </w:r>
      <w:r w:rsidRPr="00DC3374">
        <w:rPr>
          <w:rFonts w:hint="eastAsia"/>
          <w:rtl/>
        </w:rPr>
        <w:t>בכל</w:t>
      </w:r>
      <w:r w:rsidRPr="00DC3374">
        <w:rPr>
          <w:rtl/>
        </w:rPr>
        <w:t xml:space="preserve"> </w:t>
      </w:r>
      <w:r w:rsidRPr="00DC3374">
        <w:rPr>
          <w:rFonts w:hint="eastAsia"/>
          <w:rtl/>
        </w:rPr>
        <w:t>המקרים</w:t>
      </w:r>
      <w:r w:rsidRPr="00DC3374">
        <w:rPr>
          <w:rtl/>
        </w:rPr>
        <w:t xml:space="preserve"> </w:t>
      </w:r>
      <w:r w:rsidRPr="00DC3374">
        <w:rPr>
          <w:rFonts w:hint="eastAsia"/>
          <w:rtl/>
        </w:rPr>
        <w:t>בהתאם</w:t>
      </w:r>
      <w:r w:rsidRPr="00DC3374">
        <w:rPr>
          <w:rtl/>
        </w:rPr>
        <w:t xml:space="preserve"> </w:t>
      </w:r>
      <w:r w:rsidRPr="00DC3374">
        <w:rPr>
          <w:rFonts w:hint="eastAsia"/>
          <w:rtl/>
        </w:rPr>
        <w:t>לנוהל</w:t>
      </w:r>
      <w:r w:rsidRPr="00DC3374">
        <w:rPr>
          <w:rFonts w:hint="cs"/>
          <w:rtl/>
        </w:rPr>
        <w:t>,</w:t>
      </w:r>
      <w:r w:rsidRPr="00DC3374">
        <w:rPr>
          <w:rtl/>
        </w:rPr>
        <w:t xml:space="preserve"> </w:t>
      </w:r>
      <w:r w:rsidRPr="00DC3374">
        <w:rPr>
          <w:rFonts w:hint="eastAsia"/>
          <w:rtl/>
        </w:rPr>
        <w:t>וכל</w:t>
      </w:r>
      <w:r w:rsidRPr="00DC3374">
        <w:rPr>
          <w:rtl/>
        </w:rPr>
        <w:t xml:space="preserve"> </w:t>
      </w:r>
      <w:r w:rsidRPr="00DC3374">
        <w:rPr>
          <w:rFonts w:hint="eastAsia"/>
          <w:rtl/>
        </w:rPr>
        <w:t>הפונים</w:t>
      </w:r>
      <w:r w:rsidRPr="00DC3374">
        <w:rPr>
          <w:rtl/>
        </w:rPr>
        <w:t xml:space="preserve"> </w:t>
      </w:r>
      <w:r w:rsidRPr="00DC3374">
        <w:rPr>
          <w:rFonts w:hint="eastAsia"/>
          <w:rtl/>
        </w:rPr>
        <w:t>שנטשו</w:t>
      </w:r>
      <w:r w:rsidRPr="00DC3374">
        <w:rPr>
          <w:rtl/>
        </w:rPr>
        <w:t xml:space="preserve"> </w:t>
      </w:r>
      <w:r w:rsidRPr="00DC3374">
        <w:rPr>
          <w:rFonts w:hint="eastAsia"/>
          <w:rtl/>
        </w:rPr>
        <w:t>את</w:t>
      </w:r>
      <w:r w:rsidRPr="00DC3374">
        <w:rPr>
          <w:rtl/>
        </w:rPr>
        <w:t xml:space="preserve"> </w:t>
      </w:r>
      <w:r w:rsidRPr="00DC3374">
        <w:rPr>
          <w:rFonts w:hint="eastAsia"/>
          <w:rtl/>
        </w:rPr>
        <w:t>השיחה</w:t>
      </w:r>
      <w:r w:rsidRPr="00DC3374">
        <w:rPr>
          <w:rtl/>
        </w:rPr>
        <w:t xml:space="preserve"> </w:t>
      </w:r>
      <w:r w:rsidRPr="00DC3374">
        <w:rPr>
          <w:rFonts w:hint="eastAsia"/>
          <w:rtl/>
        </w:rPr>
        <w:t>קיבלו</w:t>
      </w:r>
      <w:r w:rsidRPr="00DC3374">
        <w:rPr>
          <w:rtl/>
        </w:rPr>
        <w:t xml:space="preserve"> </w:t>
      </w:r>
      <w:r w:rsidRPr="00DC3374">
        <w:rPr>
          <w:rFonts w:hint="eastAsia"/>
          <w:rtl/>
        </w:rPr>
        <w:t>שיחה</w:t>
      </w:r>
      <w:r w:rsidRPr="00DC3374">
        <w:rPr>
          <w:rtl/>
        </w:rPr>
        <w:t xml:space="preserve"> </w:t>
      </w:r>
      <w:r w:rsidRPr="00DC3374">
        <w:rPr>
          <w:rFonts w:hint="eastAsia"/>
          <w:rtl/>
        </w:rPr>
        <w:t>חוזרת</w:t>
      </w:r>
      <w:r w:rsidRPr="00DC3374">
        <w:rPr>
          <w:rtl/>
        </w:rPr>
        <w:t xml:space="preserve"> </w:t>
      </w:r>
      <w:r w:rsidRPr="00DC3374">
        <w:rPr>
          <w:rFonts w:hint="eastAsia"/>
          <w:rtl/>
        </w:rPr>
        <w:t>מפקע</w:t>
      </w:r>
      <w:r w:rsidRPr="00DC3374">
        <w:rPr>
          <w:rtl/>
        </w:rPr>
        <w:t xml:space="preserve">"ר </w:t>
      </w:r>
      <w:r w:rsidRPr="00DC3374">
        <w:rPr>
          <w:rFonts w:hint="eastAsia"/>
          <w:rtl/>
        </w:rPr>
        <w:t>באותו</w:t>
      </w:r>
      <w:r w:rsidRPr="00DC3374">
        <w:rPr>
          <w:rtl/>
        </w:rPr>
        <w:t xml:space="preserve"> </w:t>
      </w:r>
      <w:r w:rsidRPr="00DC3374">
        <w:rPr>
          <w:rFonts w:hint="eastAsia"/>
          <w:rtl/>
        </w:rPr>
        <w:t>היום</w:t>
      </w:r>
      <w:r w:rsidRPr="00DC3374">
        <w:rPr>
          <w:rtl/>
        </w:rPr>
        <w:t xml:space="preserve"> </w:t>
      </w:r>
      <w:r w:rsidRPr="00DC3374">
        <w:rPr>
          <w:rFonts w:hint="eastAsia"/>
          <w:rtl/>
        </w:rPr>
        <w:t>או</w:t>
      </w:r>
      <w:r w:rsidRPr="00DC3374">
        <w:rPr>
          <w:rtl/>
        </w:rPr>
        <w:t xml:space="preserve"> </w:t>
      </w:r>
      <w:r w:rsidRPr="00DC3374">
        <w:rPr>
          <w:rFonts w:hint="eastAsia"/>
          <w:rtl/>
        </w:rPr>
        <w:t>ביום</w:t>
      </w:r>
      <w:r w:rsidRPr="00DC3374">
        <w:rPr>
          <w:rtl/>
        </w:rPr>
        <w:t xml:space="preserve"> </w:t>
      </w:r>
      <w:r w:rsidRPr="00DC3374">
        <w:rPr>
          <w:rFonts w:hint="eastAsia"/>
          <w:rtl/>
        </w:rPr>
        <w:t>שלמ</w:t>
      </w:r>
      <w:r w:rsidRPr="00DC3374">
        <w:rPr>
          <w:rFonts w:hint="cs"/>
          <w:rtl/>
        </w:rPr>
        <w:t>ו</w:t>
      </w:r>
      <w:r w:rsidRPr="00DC3374">
        <w:rPr>
          <w:rFonts w:hint="eastAsia"/>
          <w:rtl/>
        </w:rPr>
        <w:t>חרת</w:t>
      </w:r>
      <w:r w:rsidRPr="00DC3374">
        <w:rPr>
          <w:rtl/>
        </w:rPr>
        <w:t>.</w:t>
      </w:r>
      <w:r w:rsidRPr="00DC3374">
        <w:rPr>
          <w:b/>
          <w:bCs/>
          <w:rtl/>
        </w:rPr>
        <w:t xml:space="preserve"> </w:t>
      </w:r>
    </w:p>
    <w:p w:rsidR="00E92F67" w:rsidRPr="00DC3374" w:rsidP="00E81188" w14:paraId="27CFFD93" w14:textId="384B333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713FBF39" w14:textId="129CEFDE">
      <w:pPr>
        <w:spacing w:line="269" w:lineRule="auto"/>
        <w:ind w:left="312"/>
        <w:rPr>
          <w:b/>
          <w:bCs/>
          <w:rtl/>
        </w:rPr>
      </w:pPr>
      <w:r w:rsidRPr="00A7622C">
        <w:rPr>
          <w:rFonts w:hint="cs"/>
          <w:b/>
          <w:bCs/>
          <w:rtl/>
        </w:rPr>
        <w:t>נמצא כי לפקע"ר אין</w:t>
      </w:r>
      <w:r w:rsidRPr="00A7622C">
        <w:rPr>
          <w:b/>
          <w:bCs/>
          <w:rtl/>
        </w:rPr>
        <w:t xml:space="preserve"> </w:t>
      </w:r>
      <w:r w:rsidRPr="00A7622C">
        <w:rPr>
          <w:rFonts w:hint="cs"/>
          <w:b/>
          <w:bCs/>
          <w:rtl/>
        </w:rPr>
        <w:t xml:space="preserve">נתונים לצורך הבחנה בין שיחות שהגיעו למוקד לבין שיחות שנעצרו בנתב ולכן לא הגיעו למוקד </w:t>
      </w:r>
      <w:r w:rsidRPr="00A7622C">
        <w:rPr>
          <w:rFonts w:hint="cs"/>
          <w:b/>
          <w:bCs/>
          <w:rtl/>
        </w:rPr>
        <w:t>וכן</w:t>
      </w:r>
      <w:r w:rsidRPr="00DC3374">
        <w:rPr>
          <w:rFonts w:hint="cs"/>
          <w:b/>
          <w:bCs/>
          <w:rtl/>
        </w:rPr>
        <w:t xml:space="preserve"> לגבי שיחות חוזרות לפונים שניתקו את שיחתם בטרם קיבלו מענה. כיוון שכך אי אפשר לדעת אם כל שיחות הטלפון אכן הגיעו למוקד, או שמא יש פניות </w:t>
      </w:r>
      <w:r w:rsidRPr="00DC3374">
        <w:rPr>
          <w:rFonts w:hint="cs"/>
          <w:b/>
          <w:bCs/>
          <w:rtl/>
        </w:rPr>
        <w:t xml:space="preserve">שנעצרו בנתב ונותקו מיידית </w:t>
      </w:r>
      <w:r w:rsidRPr="00DC3374">
        <w:rPr>
          <w:b/>
          <w:bCs/>
          <w:rtl/>
        </w:rPr>
        <w:t>ומהו מספר</w:t>
      </w:r>
      <w:r w:rsidRPr="00DC3374">
        <w:rPr>
          <w:rFonts w:hint="cs"/>
          <w:b/>
          <w:bCs/>
          <w:rtl/>
        </w:rPr>
        <w:t>ן. בכל הנוגע לפקע"ר - בלוח שלהלן יוצגו נתונים על מספר השיחות שצלחו את הנתב והגיעו למוקד ושיעור השיחות שנענו בידי מוקדן.</w:t>
      </w:r>
    </w:p>
    <w:p w:rsidR="00E92F67" w:rsidRPr="00DC3374" w:rsidP="00E81188" w14:paraId="3597F135" w14:textId="4CE403F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10D4FB4" w14:textId="77777777">
      <w:pPr>
        <w:pStyle w:val="ListParagraph"/>
        <w:spacing w:line="269" w:lineRule="auto"/>
        <w:ind w:left="-1"/>
        <w:jc w:val="center"/>
        <w:rPr>
          <w:b/>
          <w:bCs/>
          <w:rtl/>
        </w:rPr>
      </w:pPr>
      <w:r w:rsidRPr="00DC3374">
        <w:rPr>
          <w:rFonts w:hint="eastAsia"/>
          <w:b/>
          <w:bCs/>
          <w:rtl/>
        </w:rPr>
        <w:t>לוח</w:t>
      </w:r>
      <w:r w:rsidRPr="00DC3374">
        <w:rPr>
          <w:b/>
          <w:bCs/>
          <w:rtl/>
        </w:rPr>
        <w:t xml:space="preserve"> 3: </w:t>
      </w:r>
      <w:r w:rsidRPr="00DC3374">
        <w:rPr>
          <w:rFonts w:hint="eastAsia"/>
          <w:b/>
          <w:bCs/>
          <w:rtl/>
        </w:rPr>
        <w:t>הפניות</w:t>
      </w:r>
      <w:r w:rsidRPr="00DC3374">
        <w:rPr>
          <w:b/>
          <w:bCs/>
          <w:rtl/>
        </w:rPr>
        <w:t xml:space="preserve"> </w:t>
      </w:r>
      <w:r w:rsidRPr="00DC3374">
        <w:rPr>
          <w:rFonts w:hint="eastAsia"/>
          <w:b/>
          <w:bCs/>
          <w:rtl/>
        </w:rPr>
        <w:t>למוקד</w:t>
      </w:r>
      <w:r w:rsidRPr="00DC3374">
        <w:rPr>
          <w:b/>
          <w:bCs/>
          <w:rtl/>
        </w:rPr>
        <w:t xml:space="preserve"> </w:t>
      </w:r>
      <w:r w:rsidRPr="00DC3374">
        <w:rPr>
          <w:rFonts w:hint="eastAsia"/>
          <w:b/>
          <w:bCs/>
          <w:rtl/>
        </w:rPr>
        <w:t>פקע</w:t>
      </w:r>
      <w:r w:rsidRPr="00DC3374">
        <w:rPr>
          <w:b/>
          <w:bCs/>
          <w:rtl/>
        </w:rPr>
        <w:t xml:space="preserve">"ר, </w:t>
      </w:r>
      <w:r w:rsidRPr="00DC3374">
        <w:rPr>
          <w:rFonts w:hint="eastAsia"/>
          <w:b/>
          <w:bCs/>
          <w:rtl/>
        </w:rPr>
        <w:t>מרץ</w:t>
      </w:r>
      <w:r w:rsidRPr="00DC3374">
        <w:rPr>
          <w:b/>
          <w:bCs/>
          <w:rtl/>
        </w:rPr>
        <w:t>-אוקטובר 2020</w:t>
      </w:r>
      <w:r w:rsidRPr="00DC3374">
        <w:rPr>
          <w:rFonts w:hint="cs"/>
          <w:b/>
          <w:bCs/>
          <w:rtl/>
        </w:rPr>
        <w:t xml:space="preserve"> (באלפים, מעוגל)</w:t>
      </w:r>
    </w:p>
    <w:tbl>
      <w:tblPr>
        <w:tblStyle w:val="GridTable4Accent5"/>
        <w:bidiVisual/>
        <w:tblW w:w="8499" w:type="dxa"/>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9"/>
        <w:gridCol w:w="1700"/>
        <w:gridCol w:w="1700"/>
        <w:gridCol w:w="1700"/>
        <w:gridCol w:w="1700"/>
      </w:tblGrid>
      <w:tr w14:paraId="4918114A" w14:textId="77777777" w:rsidTr="009427E0">
        <w:tblPrEx>
          <w:tblW w:w="8499" w:type="dxa"/>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00"/>
        </w:trPr>
        <w:tc>
          <w:tcPr>
            <w:tcW w:w="1699" w:type="dxa"/>
            <w:tcBorders>
              <w:top w:val="none" w:sz="0" w:space="0" w:color="auto"/>
              <w:left w:val="none" w:sz="0" w:space="0" w:color="auto"/>
              <w:bottom w:val="none" w:sz="0" w:space="0" w:color="auto"/>
              <w:right w:val="none" w:sz="0" w:space="0" w:color="auto"/>
            </w:tcBorders>
            <w:noWrap/>
            <w:hideMark/>
          </w:tcPr>
          <w:p w:rsidR="00E92F67" w:rsidRPr="009427E0" w:rsidP="00F26F18" w14:paraId="16B770E1" w14:textId="77777777">
            <w:pPr>
              <w:spacing w:line="269" w:lineRule="auto"/>
              <w:jc w:val="left"/>
              <w:rPr>
                <w:sz w:val="22"/>
                <w:szCs w:val="22"/>
              </w:rPr>
            </w:pPr>
            <w:r w:rsidRPr="009427E0">
              <w:rPr>
                <w:sz w:val="22"/>
                <w:szCs w:val="22"/>
                <w:rtl/>
              </w:rPr>
              <w:t>חודש</w:t>
            </w:r>
          </w:p>
        </w:tc>
        <w:tc>
          <w:tcPr>
            <w:tcW w:w="1700" w:type="dxa"/>
            <w:tcBorders>
              <w:top w:val="none" w:sz="0" w:space="0" w:color="auto"/>
              <w:left w:val="none" w:sz="0" w:space="0" w:color="auto"/>
              <w:bottom w:val="none" w:sz="0" w:space="0" w:color="auto"/>
              <w:right w:val="none" w:sz="0" w:space="0" w:color="auto"/>
            </w:tcBorders>
            <w:hideMark/>
          </w:tcPr>
          <w:p w:rsidR="00E92F67" w:rsidRPr="009427E0" w:rsidP="00F26F18" w14:paraId="16721BF7" w14:textId="77777777">
            <w:pPr>
              <w:spacing w:line="269" w:lineRule="auto"/>
              <w:jc w:val="left"/>
              <w:rPr>
                <w:sz w:val="22"/>
                <w:szCs w:val="22"/>
                <w:rtl/>
              </w:rPr>
            </w:pPr>
            <w:r w:rsidRPr="009427E0">
              <w:rPr>
                <w:rFonts w:hint="cs"/>
                <w:sz w:val="22"/>
                <w:szCs w:val="22"/>
                <w:rtl/>
              </w:rPr>
              <w:t>מספר ה</w:t>
            </w:r>
            <w:r w:rsidRPr="009427E0">
              <w:rPr>
                <w:sz w:val="22"/>
                <w:szCs w:val="22"/>
                <w:rtl/>
              </w:rPr>
              <w:t xml:space="preserve">שיחות </w:t>
            </w:r>
            <w:r w:rsidRPr="009427E0">
              <w:rPr>
                <w:rFonts w:hint="cs"/>
                <w:sz w:val="22"/>
                <w:szCs w:val="22"/>
                <w:rtl/>
              </w:rPr>
              <w:t>ה</w:t>
            </w:r>
            <w:r w:rsidRPr="009427E0">
              <w:rPr>
                <w:sz w:val="22"/>
                <w:szCs w:val="22"/>
                <w:rtl/>
              </w:rPr>
              <w:t>נכנסות</w:t>
            </w:r>
            <w:r w:rsidRPr="009427E0">
              <w:rPr>
                <w:rFonts w:hint="cs"/>
                <w:sz w:val="22"/>
                <w:szCs w:val="22"/>
                <w:rtl/>
              </w:rPr>
              <w:t xml:space="preserve"> בנושא ה</w:t>
            </w:r>
            <w:r w:rsidRPr="009427E0">
              <w:rPr>
                <w:sz w:val="22"/>
                <w:szCs w:val="22"/>
                <w:rtl/>
              </w:rPr>
              <w:t>קורונה</w:t>
            </w:r>
          </w:p>
        </w:tc>
        <w:tc>
          <w:tcPr>
            <w:tcW w:w="1700" w:type="dxa"/>
            <w:tcBorders>
              <w:top w:val="none" w:sz="0" w:space="0" w:color="auto"/>
              <w:left w:val="none" w:sz="0" w:space="0" w:color="auto"/>
              <w:bottom w:val="none" w:sz="0" w:space="0" w:color="auto"/>
              <w:right w:val="none" w:sz="0" w:space="0" w:color="auto"/>
            </w:tcBorders>
            <w:hideMark/>
          </w:tcPr>
          <w:p w:rsidR="00E92F67" w:rsidRPr="009427E0" w:rsidP="00F26F18" w14:paraId="32A79D5C" w14:textId="362AC09D">
            <w:pPr>
              <w:spacing w:line="269" w:lineRule="auto"/>
              <w:jc w:val="left"/>
              <w:rPr>
                <w:sz w:val="22"/>
                <w:szCs w:val="22"/>
                <w:rtl/>
              </w:rPr>
            </w:pPr>
            <w:r w:rsidRPr="009427E0">
              <w:rPr>
                <w:rFonts w:hint="cs"/>
                <w:sz w:val="22"/>
                <w:szCs w:val="22"/>
                <w:rtl/>
              </w:rPr>
              <w:t>מספר ה</w:t>
            </w:r>
            <w:r w:rsidRPr="009427E0">
              <w:rPr>
                <w:sz w:val="22"/>
                <w:szCs w:val="22"/>
                <w:rtl/>
              </w:rPr>
              <w:t xml:space="preserve">שיחות </w:t>
            </w:r>
            <w:r w:rsidRPr="009427E0">
              <w:rPr>
                <w:rFonts w:hint="cs"/>
                <w:sz w:val="22"/>
                <w:szCs w:val="22"/>
                <w:rtl/>
              </w:rPr>
              <w:t>בנושא ה</w:t>
            </w:r>
            <w:r w:rsidRPr="009427E0">
              <w:rPr>
                <w:sz w:val="22"/>
                <w:szCs w:val="22"/>
                <w:rtl/>
              </w:rPr>
              <w:t>קורונה שנענו</w:t>
            </w:r>
            <w:r w:rsidRPr="009427E0">
              <w:rPr>
                <w:rFonts w:hint="cs"/>
                <w:sz w:val="22"/>
                <w:szCs w:val="22"/>
                <w:rtl/>
              </w:rPr>
              <w:t xml:space="preserve"> בידי מוקדן</w:t>
            </w:r>
            <w:r w:rsidRPr="009427E0" w:rsidR="009A11FC">
              <w:rPr>
                <w:rFonts w:hint="cs"/>
                <w:sz w:val="22"/>
                <w:szCs w:val="22"/>
                <w:rtl/>
              </w:rPr>
              <w:t xml:space="preserve"> </w:t>
            </w:r>
          </w:p>
        </w:tc>
        <w:tc>
          <w:tcPr>
            <w:tcW w:w="1700" w:type="dxa"/>
            <w:tcBorders>
              <w:top w:val="none" w:sz="0" w:space="0" w:color="auto"/>
              <w:left w:val="none" w:sz="0" w:space="0" w:color="auto"/>
              <w:bottom w:val="none" w:sz="0" w:space="0" w:color="auto"/>
              <w:right w:val="none" w:sz="0" w:space="0" w:color="auto"/>
            </w:tcBorders>
            <w:hideMark/>
          </w:tcPr>
          <w:p w:rsidR="00E92F67" w:rsidRPr="009427E0" w:rsidP="00F26F18" w14:paraId="634CA8F6" w14:textId="77777777">
            <w:pPr>
              <w:spacing w:line="269" w:lineRule="auto"/>
              <w:jc w:val="left"/>
              <w:rPr>
                <w:sz w:val="22"/>
                <w:szCs w:val="22"/>
                <w:rtl/>
              </w:rPr>
            </w:pPr>
            <w:r w:rsidRPr="009427E0">
              <w:rPr>
                <w:sz w:val="22"/>
                <w:szCs w:val="22"/>
                <w:rtl/>
              </w:rPr>
              <w:t>שיעור השיחות שלא נענו</w:t>
            </w:r>
            <w:r w:rsidRPr="009427E0">
              <w:rPr>
                <w:rFonts w:hint="cs"/>
                <w:sz w:val="22"/>
                <w:szCs w:val="22"/>
                <w:rtl/>
              </w:rPr>
              <w:t xml:space="preserve"> בידי מוקדן</w:t>
            </w:r>
          </w:p>
        </w:tc>
        <w:tc>
          <w:tcPr>
            <w:tcW w:w="1700" w:type="dxa"/>
            <w:tcBorders>
              <w:top w:val="none" w:sz="0" w:space="0" w:color="auto"/>
              <w:left w:val="none" w:sz="0" w:space="0" w:color="auto"/>
              <w:bottom w:val="none" w:sz="0" w:space="0" w:color="auto"/>
              <w:right w:val="none" w:sz="0" w:space="0" w:color="auto"/>
            </w:tcBorders>
          </w:tcPr>
          <w:p w:rsidR="00E92F67" w:rsidRPr="009427E0" w:rsidP="00F26F18" w14:paraId="0EFADDB5" w14:textId="77777777">
            <w:pPr>
              <w:spacing w:line="269" w:lineRule="auto"/>
              <w:jc w:val="left"/>
              <w:rPr>
                <w:sz w:val="22"/>
                <w:szCs w:val="22"/>
                <w:rtl/>
              </w:rPr>
            </w:pPr>
            <w:r w:rsidRPr="009427E0">
              <w:rPr>
                <w:rFonts w:hint="cs"/>
                <w:sz w:val="22"/>
                <w:szCs w:val="22"/>
                <w:rtl/>
              </w:rPr>
              <w:t xml:space="preserve">מספר הפניות שנעשו באמצעות ערוצים דיגיטליים אחרים </w:t>
            </w:r>
          </w:p>
        </w:tc>
      </w:tr>
      <w:tr w14:paraId="62EF2374" w14:textId="77777777" w:rsidTr="009427E0">
        <w:tblPrEx>
          <w:tblW w:w="8499" w:type="dxa"/>
          <w:tblInd w:w="1018" w:type="dxa"/>
          <w:tblLook w:val="04A0"/>
        </w:tblPrEx>
        <w:trPr>
          <w:trHeight w:val="285"/>
        </w:trPr>
        <w:tc>
          <w:tcPr>
            <w:tcW w:w="1699" w:type="dxa"/>
            <w:noWrap/>
            <w:hideMark/>
          </w:tcPr>
          <w:p w:rsidR="00E92F67" w:rsidRPr="009427E0" w:rsidP="00E81188" w14:paraId="3B5C27FD" w14:textId="77777777">
            <w:pPr>
              <w:spacing w:line="269" w:lineRule="auto"/>
              <w:rPr>
                <w:sz w:val="22"/>
                <w:szCs w:val="22"/>
                <w:rtl/>
              </w:rPr>
            </w:pPr>
            <w:r w:rsidRPr="009427E0">
              <w:rPr>
                <w:sz w:val="22"/>
                <w:szCs w:val="22"/>
                <w:rtl/>
              </w:rPr>
              <w:t>מרץ*</w:t>
            </w:r>
          </w:p>
        </w:tc>
        <w:tc>
          <w:tcPr>
            <w:tcW w:w="1700" w:type="dxa"/>
            <w:noWrap/>
            <w:hideMark/>
          </w:tcPr>
          <w:p w:rsidR="00E92F67" w:rsidRPr="009427E0" w:rsidP="00E81188" w14:paraId="5976E229" w14:textId="77777777">
            <w:pPr>
              <w:spacing w:line="269" w:lineRule="auto"/>
              <w:rPr>
                <w:sz w:val="22"/>
                <w:szCs w:val="22"/>
              </w:rPr>
            </w:pPr>
            <w:r w:rsidRPr="009427E0">
              <w:rPr>
                <w:sz w:val="22"/>
                <w:szCs w:val="22"/>
              </w:rPr>
              <w:t>98</w:t>
            </w:r>
          </w:p>
        </w:tc>
        <w:tc>
          <w:tcPr>
            <w:tcW w:w="1700" w:type="dxa"/>
            <w:noWrap/>
            <w:hideMark/>
          </w:tcPr>
          <w:p w:rsidR="00E92F67" w:rsidRPr="009427E0" w:rsidP="00E81188" w14:paraId="40CF2326" w14:textId="77777777">
            <w:pPr>
              <w:spacing w:line="269" w:lineRule="auto"/>
              <w:rPr>
                <w:sz w:val="22"/>
                <w:szCs w:val="22"/>
              </w:rPr>
            </w:pPr>
            <w:r w:rsidRPr="009427E0">
              <w:rPr>
                <w:sz w:val="22"/>
                <w:szCs w:val="22"/>
              </w:rPr>
              <w:t>67</w:t>
            </w:r>
          </w:p>
        </w:tc>
        <w:tc>
          <w:tcPr>
            <w:tcW w:w="1700" w:type="dxa"/>
            <w:noWrap/>
            <w:hideMark/>
          </w:tcPr>
          <w:p w:rsidR="00E92F67" w:rsidRPr="009427E0" w:rsidP="00E81188" w14:paraId="658443FE" w14:textId="77777777">
            <w:pPr>
              <w:spacing w:line="269" w:lineRule="auto"/>
              <w:rPr>
                <w:sz w:val="22"/>
                <w:szCs w:val="22"/>
              </w:rPr>
            </w:pPr>
            <w:r w:rsidRPr="009427E0">
              <w:rPr>
                <w:sz w:val="22"/>
                <w:szCs w:val="22"/>
              </w:rPr>
              <w:t>32%</w:t>
            </w:r>
          </w:p>
        </w:tc>
        <w:tc>
          <w:tcPr>
            <w:tcW w:w="1700" w:type="dxa"/>
          </w:tcPr>
          <w:p w:rsidR="00E92F67" w:rsidRPr="009427E0" w:rsidP="00E81188" w14:paraId="1E31434A" w14:textId="77777777">
            <w:pPr>
              <w:spacing w:line="269" w:lineRule="auto"/>
              <w:rPr>
                <w:sz w:val="22"/>
                <w:szCs w:val="22"/>
              </w:rPr>
            </w:pPr>
            <w:r w:rsidRPr="009427E0">
              <w:rPr>
                <w:sz w:val="22"/>
                <w:szCs w:val="22"/>
              </w:rPr>
              <w:t>1</w:t>
            </w:r>
          </w:p>
        </w:tc>
      </w:tr>
      <w:tr w14:paraId="3B590E8E" w14:textId="77777777" w:rsidTr="009427E0">
        <w:tblPrEx>
          <w:tblW w:w="8499" w:type="dxa"/>
          <w:tblInd w:w="1018" w:type="dxa"/>
          <w:tblLook w:val="04A0"/>
        </w:tblPrEx>
        <w:trPr>
          <w:trHeight w:val="285"/>
        </w:trPr>
        <w:tc>
          <w:tcPr>
            <w:tcW w:w="1699" w:type="dxa"/>
            <w:noWrap/>
            <w:hideMark/>
          </w:tcPr>
          <w:p w:rsidR="00E92F67" w:rsidRPr="009427E0" w:rsidP="00E81188" w14:paraId="0B30147A" w14:textId="77777777">
            <w:pPr>
              <w:spacing w:line="269" w:lineRule="auto"/>
              <w:rPr>
                <w:sz w:val="22"/>
                <w:szCs w:val="22"/>
              </w:rPr>
            </w:pPr>
            <w:r w:rsidRPr="009427E0">
              <w:rPr>
                <w:sz w:val="22"/>
                <w:szCs w:val="22"/>
                <w:rtl/>
              </w:rPr>
              <w:t>אפריל</w:t>
            </w:r>
          </w:p>
        </w:tc>
        <w:tc>
          <w:tcPr>
            <w:tcW w:w="1700" w:type="dxa"/>
            <w:noWrap/>
            <w:hideMark/>
          </w:tcPr>
          <w:p w:rsidR="00E92F67" w:rsidRPr="009427E0" w:rsidP="00E81188" w14:paraId="4E8E3F0C" w14:textId="77777777">
            <w:pPr>
              <w:spacing w:line="269" w:lineRule="auto"/>
              <w:rPr>
                <w:sz w:val="22"/>
                <w:szCs w:val="22"/>
                <w:rtl/>
              </w:rPr>
            </w:pPr>
            <w:r w:rsidRPr="009427E0">
              <w:rPr>
                <w:sz w:val="22"/>
                <w:szCs w:val="22"/>
              </w:rPr>
              <w:t>326</w:t>
            </w:r>
          </w:p>
        </w:tc>
        <w:tc>
          <w:tcPr>
            <w:tcW w:w="1700" w:type="dxa"/>
            <w:noWrap/>
            <w:hideMark/>
          </w:tcPr>
          <w:p w:rsidR="00E92F67" w:rsidRPr="009427E0" w:rsidP="00E81188" w14:paraId="42158813" w14:textId="77777777">
            <w:pPr>
              <w:spacing w:line="269" w:lineRule="auto"/>
              <w:rPr>
                <w:sz w:val="22"/>
                <w:szCs w:val="22"/>
              </w:rPr>
            </w:pPr>
            <w:r w:rsidRPr="009427E0">
              <w:rPr>
                <w:sz w:val="22"/>
                <w:szCs w:val="22"/>
              </w:rPr>
              <w:t>203</w:t>
            </w:r>
          </w:p>
        </w:tc>
        <w:tc>
          <w:tcPr>
            <w:tcW w:w="1700" w:type="dxa"/>
            <w:noWrap/>
            <w:hideMark/>
          </w:tcPr>
          <w:p w:rsidR="00E92F67" w:rsidRPr="009427E0" w:rsidP="00E81188" w14:paraId="4F121D23" w14:textId="77777777">
            <w:pPr>
              <w:spacing w:line="269" w:lineRule="auto"/>
              <w:rPr>
                <w:sz w:val="22"/>
                <w:szCs w:val="22"/>
              </w:rPr>
            </w:pPr>
            <w:r w:rsidRPr="009427E0">
              <w:rPr>
                <w:sz w:val="22"/>
                <w:szCs w:val="22"/>
              </w:rPr>
              <w:t>38%</w:t>
            </w:r>
          </w:p>
        </w:tc>
        <w:tc>
          <w:tcPr>
            <w:tcW w:w="1700" w:type="dxa"/>
          </w:tcPr>
          <w:p w:rsidR="00E92F67" w:rsidRPr="009427E0" w:rsidP="00E81188" w14:paraId="04F4B890" w14:textId="77777777">
            <w:pPr>
              <w:spacing w:line="269" w:lineRule="auto"/>
              <w:rPr>
                <w:sz w:val="22"/>
                <w:szCs w:val="22"/>
              </w:rPr>
            </w:pPr>
            <w:r w:rsidRPr="009427E0">
              <w:rPr>
                <w:sz w:val="22"/>
                <w:szCs w:val="22"/>
              </w:rPr>
              <w:t>22</w:t>
            </w:r>
          </w:p>
        </w:tc>
      </w:tr>
      <w:tr w14:paraId="48A89F72" w14:textId="77777777" w:rsidTr="009427E0">
        <w:tblPrEx>
          <w:tblW w:w="8499" w:type="dxa"/>
          <w:tblInd w:w="1018" w:type="dxa"/>
          <w:tblLook w:val="04A0"/>
        </w:tblPrEx>
        <w:trPr>
          <w:trHeight w:val="285"/>
        </w:trPr>
        <w:tc>
          <w:tcPr>
            <w:tcW w:w="1699" w:type="dxa"/>
            <w:noWrap/>
            <w:hideMark/>
          </w:tcPr>
          <w:p w:rsidR="00E92F67" w:rsidRPr="009427E0" w:rsidP="00E81188" w14:paraId="629037CC" w14:textId="77777777">
            <w:pPr>
              <w:spacing w:line="269" w:lineRule="auto"/>
              <w:rPr>
                <w:sz w:val="22"/>
                <w:szCs w:val="22"/>
              </w:rPr>
            </w:pPr>
            <w:r w:rsidRPr="009427E0">
              <w:rPr>
                <w:sz w:val="22"/>
                <w:szCs w:val="22"/>
                <w:rtl/>
              </w:rPr>
              <w:t>מאי</w:t>
            </w:r>
          </w:p>
        </w:tc>
        <w:tc>
          <w:tcPr>
            <w:tcW w:w="1700" w:type="dxa"/>
            <w:noWrap/>
            <w:hideMark/>
          </w:tcPr>
          <w:p w:rsidR="00E92F67" w:rsidRPr="009427E0" w:rsidP="00E81188" w14:paraId="51B9819F" w14:textId="77777777">
            <w:pPr>
              <w:spacing w:line="269" w:lineRule="auto"/>
              <w:rPr>
                <w:sz w:val="22"/>
                <w:szCs w:val="22"/>
                <w:rtl/>
              </w:rPr>
            </w:pPr>
            <w:r w:rsidRPr="009427E0">
              <w:rPr>
                <w:sz w:val="22"/>
                <w:szCs w:val="22"/>
              </w:rPr>
              <w:t>101</w:t>
            </w:r>
          </w:p>
        </w:tc>
        <w:tc>
          <w:tcPr>
            <w:tcW w:w="1700" w:type="dxa"/>
            <w:noWrap/>
            <w:hideMark/>
          </w:tcPr>
          <w:p w:rsidR="00E92F67" w:rsidRPr="009427E0" w:rsidP="00E81188" w14:paraId="54AE9BE9" w14:textId="77777777">
            <w:pPr>
              <w:spacing w:line="269" w:lineRule="auto"/>
              <w:rPr>
                <w:sz w:val="22"/>
                <w:szCs w:val="22"/>
              </w:rPr>
            </w:pPr>
            <w:r w:rsidRPr="009427E0">
              <w:rPr>
                <w:sz w:val="22"/>
                <w:szCs w:val="22"/>
              </w:rPr>
              <w:t>61</w:t>
            </w:r>
          </w:p>
        </w:tc>
        <w:tc>
          <w:tcPr>
            <w:tcW w:w="1700" w:type="dxa"/>
            <w:noWrap/>
            <w:hideMark/>
          </w:tcPr>
          <w:p w:rsidR="00E92F67" w:rsidRPr="009427E0" w:rsidP="00E81188" w14:paraId="49A009BE" w14:textId="77777777">
            <w:pPr>
              <w:spacing w:line="269" w:lineRule="auto"/>
              <w:rPr>
                <w:sz w:val="22"/>
                <w:szCs w:val="22"/>
              </w:rPr>
            </w:pPr>
            <w:r w:rsidRPr="009427E0">
              <w:rPr>
                <w:sz w:val="22"/>
                <w:szCs w:val="22"/>
              </w:rPr>
              <w:t>40%</w:t>
            </w:r>
          </w:p>
        </w:tc>
        <w:tc>
          <w:tcPr>
            <w:tcW w:w="1700" w:type="dxa"/>
          </w:tcPr>
          <w:p w:rsidR="00E92F67" w:rsidRPr="009427E0" w:rsidP="00E81188" w14:paraId="1BA29E89" w14:textId="77777777">
            <w:pPr>
              <w:spacing w:line="269" w:lineRule="auto"/>
              <w:rPr>
                <w:sz w:val="22"/>
                <w:szCs w:val="22"/>
              </w:rPr>
            </w:pPr>
            <w:r w:rsidRPr="009427E0">
              <w:rPr>
                <w:sz w:val="22"/>
                <w:szCs w:val="22"/>
              </w:rPr>
              <w:t>4</w:t>
            </w:r>
          </w:p>
        </w:tc>
      </w:tr>
      <w:tr w14:paraId="3716F3B1" w14:textId="77777777" w:rsidTr="009427E0">
        <w:tblPrEx>
          <w:tblW w:w="8499" w:type="dxa"/>
          <w:tblInd w:w="1018" w:type="dxa"/>
          <w:tblLook w:val="04A0"/>
        </w:tblPrEx>
        <w:trPr>
          <w:trHeight w:val="285"/>
        </w:trPr>
        <w:tc>
          <w:tcPr>
            <w:tcW w:w="1699" w:type="dxa"/>
            <w:noWrap/>
            <w:hideMark/>
          </w:tcPr>
          <w:p w:rsidR="00E92F67" w:rsidRPr="009427E0" w:rsidP="00E81188" w14:paraId="07F9C2AB" w14:textId="77777777">
            <w:pPr>
              <w:spacing w:line="269" w:lineRule="auto"/>
              <w:rPr>
                <w:sz w:val="22"/>
                <w:szCs w:val="22"/>
              </w:rPr>
            </w:pPr>
            <w:r w:rsidRPr="009427E0">
              <w:rPr>
                <w:sz w:val="22"/>
                <w:szCs w:val="22"/>
                <w:rtl/>
              </w:rPr>
              <w:t>יוני</w:t>
            </w:r>
          </w:p>
        </w:tc>
        <w:tc>
          <w:tcPr>
            <w:tcW w:w="1700" w:type="dxa"/>
            <w:noWrap/>
            <w:hideMark/>
          </w:tcPr>
          <w:p w:rsidR="00E92F67" w:rsidRPr="009427E0" w:rsidP="00E81188" w14:paraId="13ADBCF7" w14:textId="77777777">
            <w:pPr>
              <w:spacing w:line="269" w:lineRule="auto"/>
              <w:rPr>
                <w:sz w:val="22"/>
                <w:szCs w:val="22"/>
                <w:rtl/>
              </w:rPr>
            </w:pPr>
            <w:r w:rsidRPr="009427E0">
              <w:rPr>
                <w:sz w:val="22"/>
                <w:szCs w:val="22"/>
              </w:rPr>
              <w:t>41</w:t>
            </w:r>
          </w:p>
        </w:tc>
        <w:tc>
          <w:tcPr>
            <w:tcW w:w="1700" w:type="dxa"/>
            <w:noWrap/>
            <w:hideMark/>
          </w:tcPr>
          <w:p w:rsidR="00E92F67" w:rsidRPr="009427E0" w:rsidP="00E81188" w14:paraId="0B3714F8" w14:textId="77777777">
            <w:pPr>
              <w:spacing w:line="269" w:lineRule="auto"/>
              <w:rPr>
                <w:sz w:val="22"/>
                <w:szCs w:val="22"/>
              </w:rPr>
            </w:pPr>
            <w:r w:rsidRPr="009427E0">
              <w:rPr>
                <w:sz w:val="22"/>
                <w:szCs w:val="22"/>
              </w:rPr>
              <w:t>13</w:t>
            </w:r>
          </w:p>
        </w:tc>
        <w:tc>
          <w:tcPr>
            <w:tcW w:w="1700" w:type="dxa"/>
            <w:noWrap/>
            <w:hideMark/>
          </w:tcPr>
          <w:p w:rsidR="00E92F67" w:rsidRPr="009427E0" w:rsidP="00E81188" w14:paraId="5B2C1B46" w14:textId="77777777">
            <w:pPr>
              <w:spacing w:line="269" w:lineRule="auto"/>
              <w:rPr>
                <w:sz w:val="22"/>
                <w:szCs w:val="22"/>
              </w:rPr>
            </w:pPr>
            <w:r w:rsidRPr="009427E0">
              <w:rPr>
                <w:sz w:val="22"/>
                <w:szCs w:val="22"/>
              </w:rPr>
              <w:t>68%</w:t>
            </w:r>
          </w:p>
        </w:tc>
        <w:tc>
          <w:tcPr>
            <w:tcW w:w="1700" w:type="dxa"/>
          </w:tcPr>
          <w:p w:rsidR="00E92F67" w:rsidRPr="009427E0" w:rsidP="00E81188" w14:paraId="461F3A93" w14:textId="77777777">
            <w:pPr>
              <w:spacing w:line="269" w:lineRule="auto"/>
              <w:rPr>
                <w:sz w:val="22"/>
                <w:szCs w:val="22"/>
              </w:rPr>
            </w:pPr>
            <w:r w:rsidRPr="009427E0">
              <w:rPr>
                <w:sz w:val="22"/>
                <w:szCs w:val="22"/>
              </w:rPr>
              <w:t>45</w:t>
            </w:r>
          </w:p>
        </w:tc>
      </w:tr>
      <w:tr w14:paraId="5C65AA3A" w14:textId="77777777" w:rsidTr="009427E0">
        <w:tblPrEx>
          <w:tblW w:w="8499" w:type="dxa"/>
          <w:tblInd w:w="1018" w:type="dxa"/>
          <w:tblLook w:val="04A0"/>
        </w:tblPrEx>
        <w:trPr>
          <w:trHeight w:val="285"/>
        </w:trPr>
        <w:tc>
          <w:tcPr>
            <w:tcW w:w="1699" w:type="dxa"/>
            <w:noWrap/>
            <w:hideMark/>
          </w:tcPr>
          <w:p w:rsidR="00E92F67" w:rsidRPr="009427E0" w:rsidP="00E81188" w14:paraId="068FA26C" w14:textId="77777777">
            <w:pPr>
              <w:spacing w:line="269" w:lineRule="auto"/>
              <w:rPr>
                <w:sz w:val="22"/>
                <w:szCs w:val="22"/>
              </w:rPr>
            </w:pPr>
            <w:r w:rsidRPr="009427E0">
              <w:rPr>
                <w:sz w:val="22"/>
                <w:szCs w:val="22"/>
                <w:rtl/>
              </w:rPr>
              <w:t>יולי</w:t>
            </w:r>
          </w:p>
        </w:tc>
        <w:tc>
          <w:tcPr>
            <w:tcW w:w="1700" w:type="dxa"/>
            <w:noWrap/>
            <w:hideMark/>
          </w:tcPr>
          <w:p w:rsidR="00E92F67" w:rsidRPr="009427E0" w:rsidP="00E81188" w14:paraId="4F56C9E6" w14:textId="77777777">
            <w:pPr>
              <w:spacing w:line="269" w:lineRule="auto"/>
              <w:rPr>
                <w:sz w:val="22"/>
                <w:szCs w:val="22"/>
                <w:rtl/>
              </w:rPr>
            </w:pPr>
            <w:r w:rsidRPr="009427E0">
              <w:rPr>
                <w:sz w:val="22"/>
                <w:szCs w:val="22"/>
              </w:rPr>
              <w:t>99</w:t>
            </w:r>
          </w:p>
        </w:tc>
        <w:tc>
          <w:tcPr>
            <w:tcW w:w="1700" w:type="dxa"/>
            <w:noWrap/>
            <w:hideMark/>
          </w:tcPr>
          <w:p w:rsidR="00E92F67" w:rsidRPr="009427E0" w:rsidP="00E81188" w14:paraId="4F8C4D07" w14:textId="77777777">
            <w:pPr>
              <w:spacing w:line="269" w:lineRule="auto"/>
              <w:rPr>
                <w:sz w:val="22"/>
                <w:szCs w:val="22"/>
              </w:rPr>
            </w:pPr>
            <w:r w:rsidRPr="009427E0">
              <w:rPr>
                <w:sz w:val="22"/>
                <w:szCs w:val="22"/>
              </w:rPr>
              <w:t>42</w:t>
            </w:r>
          </w:p>
        </w:tc>
        <w:tc>
          <w:tcPr>
            <w:tcW w:w="1700" w:type="dxa"/>
            <w:noWrap/>
            <w:hideMark/>
          </w:tcPr>
          <w:p w:rsidR="00E92F67" w:rsidRPr="009427E0" w:rsidP="00E81188" w14:paraId="5473E287" w14:textId="77777777">
            <w:pPr>
              <w:spacing w:line="269" w:lineRule="auto"/>
              <w:rPr>
                <w:sz w:val="22"/>
                <w:szCs w:val="22"/>
              </w:rPr>
            </w:pPr>
            <w:r w:rsidRPr="009427E0">
              <w:rPr>
                <w:sz w:val="22"/>
                <w:szCs w:val="22"/>
              </w:rPr>
              <w:t>58%</w:t>
            </w:r>
          </w:p>
        </w:tc>
        <w:tc>
          <w:tcPr>
            <w:tcW w:w="1700" w:type="dxa"/>
          </w:tcPr>
          <w:p w:rsidR="00E92F67" w:rsidRPr="009427E0" w:rsidP="00E81188" w14:paraId="7CC63ED7" w14:textId="77777777">
            <w:pPr>
              <w:spacing w:line="269" w:lineRule="auto"/>
              <w:rPr>
                <w:sz w:val="22"/>
                <w:szCs w:val="22"/>
                <w:rtl/>
              </w:rPr>
            </w:pPr>
            <w:r w:rsidRPr="009427E0">
              <w:rPr>
                <w:sz w:val="22"/>
                <w:szCs w:val="22"/>
              </w:rPr>
              <w:t>4</w:t>
            </w:r>
          </w:p>
        </w:tc>
      </w:tr>
      <w:tr w14:paraId="1E1AE78D" w14:textId="77777777" w:rsidTr="009427E0">
        <w:tblPrEx>
          <w:tblW w:w="8499" w:type="dxa"/>
          <w:tblInd w:w="1018" w:type="dxa"/>
          <w:tblLook w:val="04A0"/>
        </w:tblPrEx>
        <w:trPr>
          <w:trHeight w:val="285"/>
        </w:trPr>
        <w:tc>
          <w:tcPr>
            <w:tcW w:w="1699" w:type="dxa"/>
            <w:noWrap/>
            <w:hideMark/>
          </w:tcPr>
          <w:p w:rsidR="00E92F67" w:rsidRPr="009427E0" w:rsidP="00E81188" w14:paraId="4340511B" w14:textId="77777777">
            <w:pPr>
              <w:spacing w:line="269" w:lineRule="auto"/>
              <w:rPr>
                <w:sz w:val="22"/>
                <w:szCs w:val="22"/>
              </w:rPr>
            </w:pPr>
            <w:r w:rsidRPr="009427E0">
              <w:rPr>
                <w:sz w:val="22"/>
                <w:szCs w:val="22"/>
                <w:rtl/>
              </w:rPr>
              <w:t>אוגוסט</w:t>
            </w:r>
          </w:p>
        </w:tc>
        <w:tc>
          <w:tcPr>
            <w:tcW w:w="1700" w:type="dxa"/>
            <w:noWrap/>
            <w:hideMark/>
          </w:tcPr>
          <w:p w:rsidR="00E92F67" w:rsidRPr="009427E0" w:rsidP="00E81188" w14:paraId="15745114" w14:textId="77777777">
            <w:pPr>
              <w:spacing w:line="269" w:lineRule="auto"/>
              <w:rPr>
                <w:sz w:val="22"/>
                <w:szCs w:val="22"/>
                <w:rtl/>
              </w:rPr>
            </w:pPr>
            <w:r w:rsidRPr="009427E0">
              <w:rPr>
                <w:sz w:val="22"/>
                <w:szCs w:val="22"/>
              </w:rPr>
              <w:t>40</w:t>
            </w:r>
          </w:p>
        </w:tc>
        <w:tc>
          <w:tcPr>
            <w:tcW w:w="1700" w:type="dxa"/>
            <w:noWrap/>
            <w:hideMark/>
          </w:tcPr>
          <w:p w:rsidR="00E92F67" w:rsidRPr="009427E0" w:rsidP="00E81188" w14:paraId="2A571EB2" w14:textId="77777777">
            <w:pPr>
              <w:spacing w:line="269" w:lineRule="auto"/>
              <w:rPr>
                <w:sz w:val="22"/>
                <w:szCs w:val="22"/>
              </w:rPr>
            </w:pPr>
            <w:r w:rsidRPr="009427E0">
              <w:rPr>
                <w:sz w:val="22"/>
                <w:szCs w:val="22"/>
              </w:rPr>
              <w:t>19</w:t>
            </w:r>
          </w:p>
        </w:tc>
        <w:tc>
          <w:tcPr>
            <w:tcW w:w="1700" w:type="dxa"/>
            <w:noWrap/>
            <w:hideMark/>
          </w:tcPr>
          <w:p w:rsidR="00E92F67" w:rsidRPr="009427E0" w:rsidP="00E81188" w14:paraId="6B414F81" w14:textId="77777777">
            <w:pPr>
              <w:spacing w:line="269" w:lineRule="auto"/>
              <w:rPr>
                <w:sz w:val="22"/>
                <w:szCs w:val="22"/>
              </w:rPr>
            </w:pPr>
            <w:r w:rsidRPr="009427E0">
              <w:rPr>
                <w:sz w:val="22"/>
                <w:szCs w:val="22"/>
              </w:rPr>
              <w:t>53%</w:t>
            </w:r>
          </w:p>
        </w:tc>
        <w:tc>
          <w:tcPr>
            <w:tcW w:w="1700" w:type="dxa"/>
          </w:tcPr>
          <w:p w:rsidR="00E92F67" w:rsidRPr="009427E0" w:rsidP="00E81188" w14:paraId="4393F496" w14:textId="77777777">
            <w:pPr>
              <w:spacing w:line="269" w:lineRule="auto"/>
              <w:rPr>
                <w:sz w:val="22"/>
                <w:szCs w:val="22"/>
              </w:rPr>
            </w:pPr>
            <w:r w:rsidRPr="009427E0">
              <w:rPr>
                <w:sz w:val="22"/>
                <w:szCs w:val="22"/>
              </w:rPr>
              <w:t>1</w:t>
            </w:r>
          </w:p>
        </w:tc>
      </w:tr>
      <w:tr w14:paraId="143B361A" w14:textId="77777777" w:rsidTr="009427E0">
        <w:tblPrEx>
          <w:tblW w:w="8499" w:type="dxa"/>
          <w:tblInd w:w="1018" w:type="dxa"/>
          <w:tblLook w:val="04A0"/>
        </w:tblPrEx>
        <w:trPr>
          <w:trHeight w:val="285"/>
        </w:trPr>
        <w:tc>
          <w:tcPr>
            <w:tcW w:w="1699" w:type="dxa"/>
            <w:noWrap/>
            <w:hideMark/>
          </w:tcPr>
          <w:p w:rsidR="00E92F67" w:rsidRPr="009427E0" w:rsidP="00E81188" w14:paraId="0931C386" w14:textId="77777777">
            <w:pPr>
              <w:spacing w:line="269" w:lineRule="auto"/>
              <w:rPr>
                <w:sz w:val="22"/>
                <w:szCs w:val="22"/>
              </w:rPr>
            </w:pPr>
            <w:r w:rsidRPr="009427E0">
              <w:rPr>
                <w:sz w:val="22"/>
                <w:szCs w:val="22"/>
                <w:rtl/>
              </w:rPr>
              <w:t>ספטמבר</w:t>
            </w:r>
          </w:p>
        </w:tc>
        <w:tc>
          <w:tcPr>
            <w:tcW w:w="1700" w:type="dxa"/>
            <w:noWrap/>
            <w:hideMark/>
          </w:tcPr>
          <w:p w:rsidR="00E92F67" w:rsidRPr="009427E0" w:rsidP="00E81188" w14:paraId="5526A11A" w14:textId="77777777">
            <w:pPr>
              <w:spacing w:line="269" w:lineRule="auto"/>
              <w:rPr>
                <w:sz w:val="22"/>
                <w:szCs w:val="22"/>
                <w:rtl/>
              </w:rPr>
            </w:pPr>
            <w:r w:rsidRPr="009427E0">
              <w:rPr>
                <w:sz w:val="22"/>
                <w:szCs w:val="22"/>
              </w:rPr>
              <w:t>356</w:t>
            </w:r>
          </w:p>
        </w:tc>
        <w:tc>
          <w:tcPr>
            <w:tcW w:w="1700" w:type="dxa"/>
            <w:noWrap/>
            <w:hideMark/>
          </w:tcPr>
          <w:p w:rsidR="00E92F67" w:rsidRPr="009427E0" w:rsidP="00E81188" w14:paraId="45FF4FD7" w14:textId="77777777">
            <w:pPr>
              <w:spacing w:line="269" w:lineRule="auto"/>
              <w:rPr>
                <w:sz w:val="22"/>
                <w:szCs w:val="22"/>
              </w:rPr>
            </w:pPr>
            <w:r w:rsidRPr="009427E0">
              <w:rPr>
                <w:sz w:val="22"/>
                <w:szCs w:val="22"/>
              </w:rPr>
              <w:t>185</w:t>
            </w:r>
          </w:p>
        </w:tc>
        <w:tc>
          <w:tcPr>
            <w:tcW w:w="1700" w:type="dxa"/>
            <w:noWrap/>
            <w:hideMark/>
          </w:tcPr>
          <w:p w:rsidR="00E92F67" w:rsidRPr="009427E0" w:rsidP="00E81188" w14:paraId="6EA6CC6F" w14:textId="77777777">
            <w:pPr>
              <w:spacing w:line="269" w:lineRule="auto"/>
              <w:rPr>
                <w:sz w:val="22"/>
                <w:szCs w:val="22"/>
              </w:rPr>
            </w:pPr>
            <w:r w:rsidRPr="009427E0">
              <w:rPr>
                <w:sz w:val="22"/>
                <w:szCs w:val="22"/>
              </w:rPr>
              <w:t>48%</w:t>
            </w:r>
          </w:p>
        </w:tc>
        <w:tc>
          <w:tcPr>
            <w:tcW w:w="1700" w:type="dxa"/>
          </w:tcPr>
          <w:p w:rsidR="00E92F67" w:rsidRPr="009427E0" w:rsidP="00E81188" w14:paraId="0FFDBCA8" w14:textId="77777777">
            <w:pPr>
              <w:spacing w:line="269" w:lineRule="auto"/>
              <w:rPr>
                <w:sz w:val="22"/>
                <w:szCs w:val="22"/>
              </w:rPr>
            </w:pPr>
            <w:r w:rsidRPr="009427E0">
              <w:rPr>
                <w:sz w:val="22"/>
                <w:szCs w:val="22"/>
              </w:rPr>
              <w:t>13</w:t>
            </w:r>
          </w:p>
        </w:tc>
      </w:tr>
      <w:tr w14:paraId="7BAE14B5" w14:textId="77777777" w:rsidTr="009427E0">
        <w:tblPrEx>
          <w:tblW w:w="8499" w:type="dxa"/>
          <w:tblInd w:w="1018" w:type="dxa"/>
          <w:tblLook w:val="04A0"/>
        </w:tblPrEx>
        <w:trPr>
          <w:trHeight w:val="285"/>
        </w:trPr>
        <w:tc>
          <w:tcPr>
            <w:tcW w:w="1699" w:type="dxa"/>
            <w:noWrap/>
            <w:hideMark/>
          </w:tcPr>
          <w:p w:rsidR="00E92F67" w:rsidRPr="009427E0" w:rsidP="00E81188" w14:paraId="3E973858" w14:textId="77777777">
            <w:pPr>
              <w:spacing w:line="269" w:lineRule="auto"/>
              <w:rPr>
                <w:sz w:val="22"/>
                <w:szCs w:val="22"/>
              </w:rPr>
            </w:pPr>
            <w:r w:rsidRPr="009427E0">
              <w:rPr>
                <w:sz w:val="22"/>
                <w:szCs w:val="22"/>
                <w:rtl/>
              </w:rPr>
              <w:t>אוקטובר</w:t>
            </w:r>
          </w:p>
        </w:tc>
        <w:tc>
          <w:tcPr>
            <w:tcW w:w="1700" w:type="dxa"/>
            <w:noWrap/>
            <w:hideMark/>
          </w:tcPr>
          <w:p w:rsidR="00E92F67" w:rsidRPr="009427E0" w:rsidP="00E81188" w14:paraId="4A596AF3" w14:textId="77777777">
            <w:pPr>
              <w:spacing w:line="269" w:lineRule="auto"/>
              <w:rPr>
                <w:sz w:val="22"/>
                <w:szCs w:val="22"/>
                <w:rtl/>
              </w:rPr>
            </w:pPr>
            <w:r w:rsidRPr="009427E0">
              <w:rPr>
                <w:sz w:val="22"/>
                <w:szCs w:val="22"/>
              </w:rPr>
              <w:t>220</w:t>
            </w:r>
          </w:p>
        </w:tc>
        <w:tc>
          <w:tcPr>
            <w:tcW w:w="1700" w:type="dxa"/>
            <w:noWrap/>
            <w:hideMark/>
          </w:tcPr>
          <w:p w:rsidR="00E92F67" w:rsidRPr="009427E0" w:rsidP="00E81188" w14:paraId="6368C417" w14:textId="77777777">
            <w:pPr>
              <w:spacing w:line="269" w:lineRule="auto"/>
              <w:rPr>
                <w:sz w:val="22"/>
                <w:szCs w:val="22"/>
              </w:rPr>
            </w:pPr>
            <w:r w:rsidRPr="009427E0">
              <w:rPr>
                <w:sz w:val="22"/>
                <w:szCs w:val="22"/>
              </w:rPr>
              <w:t>147</w:t>
            </w:r>
          </w:p>
        </w:tc>
        <w:tc>
          <w:tcPr>
            <w:tcW w:w="1700" w:type="dxa"/>
            <w:noWrap/>
            <w:hideMark/>
          </w:tcPr>
          <w:p w:rsidR="00E92F67" w:rsidRPr="009427E0" w:rsidP="00E81188" w14:paraId="4537A210" w14:textId="77777777">
            <w:pPr>
              <w:spacing w:line="269" w:lineRule="auto"/>
              <w:rPr>
                <w:sz w:val="22"/>
                <w:szCs w:val="22"/>
              </w:rPr>
            </w:pPr>
            <w:r w:rsidRPr="009427E0">
              <w:rPr>
                <w:sz w:val="22"/>
                <w:szCs w:val="22"/>
              </w:rPr>
              <w:t>33%</w:t>
            </w:r>
          </w:p>
        </w:tc>
        <w:tc>
          <w:tcPr>
            <w:tcW w:w="1700" w:type="dxa"/>
          </w:tcPr>
          <w:p w:rsidR="00E92F67" w:rsidRPr="009427E0" w:rsidP="00E81188" w14:paraId="02511562" w14:textId="77777777">
            <w:pPr>
              <w:spacing w:line="269" w:lineRule="auto"/>
              <w:rPr>
                <w:sz w:val="22"/>
                <w:szCs w:val="22"/>
              </w:rPr>
            </w:pPr>
            <w:r w:rsidRPr="009427E0">
              <w:rPr>
                <w:sz w:val="22"/>
                <w:szCs w:val="22"/>
              </w:rPr>
              <w:t>8</w:t>
            </w:r>
          </w:p>
        </w:tc>
      </w:tr>
      <w:tr w14:paraId="43944212" w14:textId="77777777" w:rsidTr="009427E0">
        <w:tblPrEx>
          <w:tblW w:w="8499" w:type="dxa"/>
          <w:tblInd w:w="1018" w:type="dxa"/>
          <w:tblLook w:val="04A0"/>
        </w:tblPrEx>
        <w:trPr>
          <w:trHeight w:val="285"/>
        </w:trPr>
        <w:tc>
          <w:tcPr>
            <w:tcW w:w="1699" w:type="dxa"/>
            <w:noWrap/>
            <w:hideMark/>
          </w:tcPr>
          <w:p w:rsidR="00E92F67" w:rsidRPr="009427E0" w:rsidP="00E81188" w14:paraId="605D683A" w14:textId="77777777">
            <w:pPr>
              <w:spacing w:line="269" w:lineRule="auto"/>
              <w:rPr>
                <w:sz w:val="22"/>
                <w:szCs w:val="22"/>
              </w:rPr>
            </w:pPr>
            <w:r w:rsidRPr="009427E0">
              <w:rPr>
                <w:rFonts w:hint="cs"/>
                <w:sz w:val="22"/>
                <w:szCs w:val="22"/>
                <w:rtl/>
              </w:rPr>
              <w:t>סך הכול</w:t>
            </w:r>
          </w:p>
        </w:tc>
        <w:tc>
          <w:tcPr>
            <w:tcW w:w="1700" w:type="dxa"/>
            <w:noWrap/>
            <w:hideMark/>
          </w:tcPr>
          <w:p w:rsidR="00E92F67" w:rsidRPr="009427E0" w:rsidP="00E81188" w14:paraId="7A746F61" w14:textId="77777777">
            <w:pPr>
              <w:spacing w:line="269" w:lineRule="auto"/>
              <w:rPr>
                <w:sz w:val="22"/>
                <w:szCs w:val="22"/>
                <w:rtl/>
              </w:rPr>
            </w:pPr>
            <w:r w:rsidRPr="009427E0">
              <w:rPr>
                <w:rFonts w:hint="cs"/>
                <w:sz w:val="22"/>
                <w:szCs w:val="22"/>
                <w:rtl/>
              </w:rPr>
              <w:t>1,281</w:t>
            </w:r>
          </w:p>
        </w:tc>
        <w:tc>
          <w:tcPr>
            <w:tcW w:w="1700" w:type="dxa"/>
            <w:noWrap/>
            <w:hideMark/>
          </w:tcPr>
          <w:p w:rsidR="00E92F67" w:rsidRPr="009427E0" w:rsidP="00E81188" w14:paraId="5FE1D52C" w14:textId="77777777">
            <w:pPr>
              <w:spacing w:line="269" w:lineRule="auto"/>
              <w:rPr>
                <w:sz w:val="22"/>
                <w:szCs w:val="22"/>
              </w:rPr>
            </w:pPr>
            <w:r w:rsidRPr="009427E0">
              <w:rPr>
                <w:sz w:val="22"/>
                <w:szCs w:val="22"/>
              </w:rPr>
              <w:t>737</w:t>
            </w:r>
          </w:p>
        </w:tc>
        <w:tc>
          <w:tcPr>
            <w:tcW w:w="1700" w:type="dxa"/>
            <w:noWrap/>
            <w:hideMark/>
          </w:tcPr>
          <w:p w:rsidR="00E92F67" w:rsidRPr="009427E0" w:rsidP="00E81188" w14:paraId="75BBD96A" w14:textId="77777777">
            <w:pPr>
              <w:spacing w:line="269" w:lineRule="auto"/>
              <w:rPr>
                <w:sz w:val="22"/>
                <w:szCs w:val="22"/>
              </w:rPr>
            </w:pPr>
            <w:r w:rsidRPr="009427E0">
              <w:rPr>
                <w:sz w:val="22"/>
                <w:szCs w:val="22"/>
              </w:rPr>
              <w:t>43%</w:t>
            </w:r>
          </w:p>
        </w:tc>
        <w:tc>
          <w:tcPr>
            <w:tcW w:w="1700" w:type="dxa"/>
          </w:tcPr>
          <w:p w:rsidR="00E92F67" w:rsidRPr="009427E0" w:rsidP="00E81188" w14:paraId="4290AEF2" w14:textId="77777777">
            <w:pPr>
              <w:spacing w:line="269" w:lineRule="auto"/>
              <w:rPr>
                <w:sz w:val="22"/>
                <w:szCs w:val="22"/>
              </w:rPr>
            </w:pPr>
            <w:r w:rsidRPr="009427E0">
              <w:rPr>
                <w:sz w:val="22"/>
                <w:szCs w:val="22"/>
              </w:rPr>
              <w:t>98</w:t>
            </w:r>
          </w:p>
        </w:tc>
      </w:tr>
    </w:tbl>
    <w:p w:rsidR="00E92F67" w:rsidRPr="00DC3374" w:rsidP="00E81188" w14:paraId="29B7834F" w14:textId="77777777">
      <w:pPr>
        <w:spacing w:line="269" w:lineRule="auto"/>
        <w:jc w:val="left"/>
        <w:rPr>
          <w:szCs w:val="20"/>
          <w:rtl/>
        </w:rPr>
      </w:pPr>
      <w:r w:rsidRPr="00DC3374">
        <w:rPr>
          <w:rFonts w:hint="cs"/>
          <w:szCs w:val="20"/>
          <w:rtl/>
        </w:rPr>
        <w:t>על פי</w:t>
      </w:r>
      <w:r w:rsidRPr="00DC3374">
        <w:rPr>
          <w:szCs w:val="20"/>
          <w:rtl/>
        </w:rPr>
        <w:t xml:space="preserve"> נתוני </w:t>
      </w:r>
      <w:r w:rsidRPr="00DC3374">
        <w:rPr>
          <w:rFonts w:hint="cs"/>
          <w:szCs w:val="20"/>
          <w:rtl/>
        </w:rPr>
        <w:t>פיקוד העורף</w:t>
      </w:r>
      <w:r w:rsidRPr="00DC3374">
        <w:rPr>
          <w:szCs w:val="20"/>
          <w:rtl/>
        </w:rPr>
        <w:t>, בעיבוד משרד מבקר המדינה</w:t>
      </w:r>
      <w:r w:rsidRPr="00DC3374">
        <w:rPr>
          <w:rFonts w:hint="cs"/>
          <w:szCs w:val="20"/>
          <w:rtl/>
        </w:rPr>
        <w:t>.</w:t>
      </w:r>
    </w:p>
    <w:p w:rsidR="00E92F67" w:rsidRPr="00DC3374" w:rsidP="00E81188" w14:paraId="00352E37" w14:textId="77777777">
      <w:pPr>
        <w:spacing w:line="269" w:lineRule="auto"/>
        <w:jc w:val="left"/>
        <w:rPr>
          <w:szCs w:val="20"/>
          <w:rtl/>
        </w:rPr>
      </w:pPr>
      <w:r w:rsidRPr="00DC3374">
        <w:rPr>
          <w:rFonts w:hint="cs"/>
          <w:szCs w:val="20"/>
          <w:rtl/>
        </w:rPr>
        <w:t>* הנתונים נכונים ל-19.3.20.</w:t>
      </w:r>
    </w:p>
    <w:p w:rsidR="00E92F67" w:rsidRPr="00DC3374" w:rsidP="00E81188" w14:paraId="133AB685" w14:textId="79C7ACE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P="00E81188" w14:paraId="4E78CB2F" w14:textId="00D2AF29">
      <w:pPr>
        <w:spacing w:line="269" w:lineRule="auto"/>
        <w:ind w:left="312"/>
        <w:rPr>
          <w:b/>
          <w:bCs/>
          <w:rtl/>
        </w:rPr>
      </w:pPr>
      <w:r w:rsidRPr="00DC3374">
        <w:rPr>
          <w:rFonts w:hint="eastAsia"/>
          <w:b/>
          <w:bCs/>
          <w:rtl/>
        </w:rPr>
        <w:t>מהלוח</w:t>
      </w:r>
      <w:r w:rsidRPr="00DC3374">
        <w:rPr>
          <w:b/>
          <w:bCs/>
          <w:rtl/>
        </w:rPr>
        <w:t xml:space="preserve"> עולה כי </w:t>
      </w:r>
      <w:r w:rsidRPr="00DC3374">
        <w:rPr>
          <w:rFonts w:hint="cs"/>
          <w:b/>
          <w:bCs/>
          <w:rtl/>
        </w:rPr>
        <w:t>בחודשים</w:t>
      </w:r>
      <w:r w:rsidRPr="00DC3374">
        <w:rPr>
          <w:b/>
          <w:bCs/>
          <w:rtl/>
        </w:rPr>
        <w:t xml:space="preserve"> </w:t>
      </w:r>
      <w:r w:rsidRPr="00DC3374">
        <w:rPr>
          <w:rFonts w:hint="eastAsia"/>
          <w:b/>
          <w:bCs/>
          <w:rtl/>
        </w:rPr>
        <w:t>מרץ</w:t>
      </w:r>
      <w:r w:rsidRPr="00DC3374">
        <w:rPr>
          <w:b/>
          <w:bCs/>
          <w:rtl/>
        </w:rPr>
        <w:t xml:space="preserve"> </w:t>
      </w:r>
      <w:r w:rsidRPr="00DC3374">
        <w:rPr>
          <w:rFonts w:hint="cs"/>
          <w:b/>
          <w:bCs/>
          <w:rtl/>
        </w:rPr>
        <w:t xml:space="preserve">עד </w:t>
      </w:r>
      <w:r w:rsidRPr="00DC3374">
        <w:rPr>
          <w:b/>
          <w:bCs/>
          <w:rtl/>
        </w:rPr>
        <w:t xml:space="preserve">אוקטובר 2020 </w:t>
      </w:r>
      <w:r w:rsidRPr="00DC3374">
        <w:rPr>
          <w:rFonts w:hint="eastAsia"/>
          <w:b/>
          <w:bCs/>
          <w:rtl/>
        </w:rPr>
        <w:t>שיעור</w:t>
      </w:r>
      <w:r w:rsidRPr="00DC3374">
        <w:rPr>
          <w:b/>
          <w:bCs/>
          <w:rtl/>
        </w:rPr>
        <w:t xml:space="preserve"> </w:t>
      </w:r>
      <w:r w:rsidRPr="00DC3374">
        <w:rPr>
          <w:rFonts w:hint="eastAsia"/>
          <w:b/>
          <w:bCs/>
          <w:rtl/>
        </w:rPr>
        <w:t>ניכר</w:t>
      </w:r>
      <w:r w:rsidRPr="00DC3374">
        <w:rPr>
          <w:b/>
          <w:bCs/>
          <w:rtl/>
        </w:rPr>
        <w:t xml:space="preserve"> </w:t>
      </w:r>
      <w:r w:rsidRPr="00DC3374">
        <w:rPr>
          <w:rFonts w:hint="eastAsia"/>
          <w:b/>
          <w:bCs/>
          <w:rtl/>
        </w:rPr>
        <w:t>מהשיחות</w:t>
      </w:r>
      <w:r w:rsidRPr="00DC3374">
        <w:rPr>
          <w:b/>
          <w:bCs/>
          <w:rtl/>
        </w:rPr>
        <w:t xml:space="preserve"> למוקד </w:t>
      </w:r>
      <w:r w:rsidRPr="00DC3374">
        <w:rPr>
          <w:rFonts w:hint="eastAsia"/>
          <w:b/>
          <w:bCs/>
          <w:rtl/>
        </w:rPr>
        <w:t>הטלפוני</w:t>
      </w:r>
      <w:r w:rsidRPr="00DC3374">
        <w:rPr>
          <w:b/>
          <w:bCs/>
          <w:rtl/>
        </w:rPr>
        <w:t xml:space="preserve"> של </w:t>
      </w:r>
      <w:r w:rsidRPr="00DC3374">
        <w:rPr>
          <w:rFonts w:hint="eastAsia"/>
          <w:b/>
          <w:bCs/>
          <w:rtl/>
        </w:rPr>
        <w:t>פקע</w:t>
      </w:r>
      <w:r w:rsidRPr="00DC3374">
        <w:rPr>
          <w:b/>
          <w:bCs/>
          <w:rtl/>
        </w:rPr>
        <w:t xml:space="preserve">"ר </w:t>
      </w:r>
      <w:r w:rsidRPr="00DC3374">
        <w:rPr>
          <w:rFonts w:hint="eastAsia"/>
          <w:b/>
          <w:bCs/>
          <w:rtl/>
        </w:rPr>
        <w:t>בנושא</w:t>
      </w:r>
      <w:r w:rsidRPr="00DC3374">
        <w:rPr>
          <w:b/>
          <w:bCs/>
          <w:rtl/>
        </w:rPr>
        <w:t xml:space="preserve"> הקורונה - 32% </w:t>
      </w:r>
      <w:r w:rsidRPr="00DC3374">
        <w:rPr>
          <w:rFonts w:hint="cs"/>
          <w:b/>
          <w:bCs/>
          <w:rtl/>
        </w:rPr>
        <w:t xml:space="preserve">עד </w:t>
      </w:r>
      <w:r w:rsidRPr="00DC3374">
        <w:rPr>
          <w:b/>
          <w:bCs/>
          <w:rtl/>
        </w:rPr>
        <w:t xml:space="preserve">68% - </w:t>
      </w:r>
      <w:r w:rsidRPr="00DC3374">
        <w:rPr>
          <w:rFonts w:hint="eastAsia"/>
          <w:b/>
          <w:bCs/>
          <w:rtl/>
        </w:rPr>
        <w:t>לא</w:t>
      </w:r>
      <w:r w:rsidRPr="00DC3374">
        <w:rPr>
          <w:b/>
          <w:bCs/>
          <w:rtl/>
        </w:rPr>
        <w:t xml:space="preserve"> </w:t>
      </w:r>
      <w:r w:rsidRPr="00DC3374">
        <w:rPr>
          <w:rFonts w:hint="eastAsia"/>
          <w:b/>
          <w:bCs/>
          <w:rtl/>
        </w:rPr>
        <w:t>נענו</w:t>
      </w:r>
      <w:r w:rsidRPr="00DC3374">
        <w:rPr>
          <w:rFonts w:hint="cs"/>
          <w:b/>
          <w:bCs/>
          <w:rtl/>
        </w:rPr>
        <w:t xml:space="preserve"> בידי מוקדן</w:t>
      </w:r>
      <w:r w:rsidRPr="00DC3374">
        <w:rPr>
          <w:b/>
          <w:bCs/>
          <w:rtl/>
        </w:rPr>
        <w:t xml:space="preserve">. </w:t>
      </w:r>
    </w:p>
    <w:p w:rsidR="009427E0" w:rsidRPr="00DC3374" w:rsidP="00E81188" w14:paraId="2D96671A" w14:textId="77777777">
      <w:pPr>
        <w:spacing w:line="269" w:lineRule="auto"/>
        <w:ind w:left="312"/>
        <w:rPr>
          <w:b/>
          <w:bCs/>
          <w:rtl/>
        </w:rPr>
      </w:pPr>
    </w:p>
    <w:p w:rsidR="00E92F67" w:rsidRPr="00DC3374" w:rsidP="00E81188" w14:paraId="0B179B22" w14:textId="77777777">
      <w:pPr>
        <w:pStyle w:val="Heading5"/>
        <w:spacing w:line="269" w:lineRule="auto"/>
        <w:rPr>
          <w:rFonts w:eastAsia="Times New Roman"/>
          <w:rtl/>
        </w:rPr>
      </w:pPr>
      <w:r w:rsidRPr="00DC3374">
        <w:rPr>
          <w:rFonts w:eastAsia="Times New Roman" w:hint="cs"/>
          <w:rtl/>
        </w:rPr>
        <w:t>שיעורי המענה אל מול היעדים</w:t>
      </w:r>
    </w:p>
    <w:p w:rsidR="00E92F67" w:rsidRPr="00DC3374" w:rsidP="00E81188" w14:paraId="23A710DD" w14:textId="0BA0D24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B3EB9E3" w14:textId="77777777">
      <w:pPr>
        <w:spacing w:line="269" w:lineRule="auto"/>
        <w:rPr>
          <w:szCs w:val="20"/>
          <w:rtl/>
        </w:rPr>
      </w:pPr>
      <w:r w:rsidRPr="00DC3374">
        <w:rPr>
          <w:rFonts w:hint="cs"/>
          <w:rtl/>
        </w:rPr>
        <w:t xml:space="preserve">להלן היעדים שנקבעו למוקדי השירות בעת שגרה: משרד הבריאות קבע כיעד מענה ל-80% מהשיחות למוקד "קול הבריאות" בתוך 120 שניות, ובמהלך משבר הקורונה - מענה ל-90% מהשיחות למוקד בתוך פחות מ-10 דקות בממוצע; פקע"ר קבע כיעד מענה ל-95% מהשיחות לפחות בתוך שתי דקות; המשטרה קבעה יעד של </w:t>
      </w:r>
      <w:r w:rsidRPr="00DC3374">
        <w:rPr>
          <w:rtl/>
        </w:rPr>
        <w:t>מענה ל-</w:t>
      </w:r>
      <w:r w:rsidRPr="00DC3374">
        <w:rPr>
          <w:rFonts w:hint="cs"/>
          <w:rtl/>
        </w:rPr>
        <w:t>80%</w:t>
      </w:r>
      <w:r w:rsidRPr="00DC3374">
        <w:rPr>
          <w:rtl/>
        </w:rPr>
        <w:t xml:space="preserve"> </w:t>
      </w:r>
      <w:r w:rsidRPr="00DC3374">
        <w:rPr>
          <w:rFonts w:hint="cs"/>
          <w:rtl/>
        </w:rPr>
        <w:t xml:space="preserve">מהשיחות למוקד 110 בתוך 60 שניות. </w:t>
      </w:r>
    </w:p>
    <w:p w:rsidR="00E92F67" w:rsidRPr="00DC3374" w:rsidP="00E81188" w14:paraId="106E1DDF" w14:textId="43F1ECF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094DD9" w:rsidP="00E81188" w14:paraId="6B7CB6C5" w14:textId="67829C04">
      <w:pPr>
        <w:spacing w:line="269" w:lineRule="auto"/>
        <w:rPr>
          <w:rtl/>
        </w:rPr>
      </w:pPr>
      <w:r w:rsidRPr="00DC3374">
        <w:rPr>
          <w:rFonts w:hint="cs"/>
          <w:rtl/>
        </w:rPr>
        <w:t xml:space="preserve">משרד מבקר המדינה בדק את מספר השיחות </w:t>
      </w:r>
      <w:r>
        <w:rPr>
          <w:rFonts w:hint="cs"/>
          <w:rtl/>
        </w:rPr>
        <w:t>ש</w:t>
      </w:r>
      <w:r w:rsidRPr="00DC3374">
        <w:rPr>
          <w:rFonts w:hint="cs"/>
          <w:rtl/>
        </w:rPr>
        <w:t xml:space="preserve">נענו בשלושת המוקדים האמורים במהלך שבעה חודשים וחצי - </w:t>
      </w:r>
      <w:r w:rsidRPr="00DC3374">
        <w:rPr>
          <w:rtl/>
        </w:rPr>
        <w:t>מ-</w:t>
      </w:r>
      <w:r w:rsidRPr="00DC3374">
        <w:rPr>
          <w:rFonts w:hint="cs"/>
          <w:rtl/>
        </w:rPr>
        <w:t>14</w:t>
      </w:r>
      <w:r w:rsidRPr="00DC3374">
        <w:rPr>
          <w:rtl/>
        </w:rPr>
        <w:t>.3.20 עד 31.10.20, בחלוקה לשבועות</w:t>
      </w:r>
      <w:r w:rsidRPr="00DC3374">
        <w:rPr>
          <w:rFonts w:hint="cs"/>
          <w:rtl/>
        </w:rPr>
        <w:t xml:space="preserve">. </w:t>
      </w:r>
      <w:r w:rsidRPr="00DC3374">
        <w:rPr>
          <w:rtl/>
        </w:rPr>
        <w:t xml:space="preserve">בתרשים שלהלן מוצגים </w:t>
      </w:r>
      <w:r w:rsidRPr="00DC3374">
        <w:rPr>
          <w:rFonts w:hint="cs"/>
          <w:rtl/>
        </w:rPr>
        <w:t xml:space="preserve">שיעורי השיחות שנענו מסך השיחות הנכנסות שעברו בהצלחה את הנתבים. </w:t>
      </w:r>
    </w:p>
    <w:p w:rsidR="00094DD9" w14:paraId="18A82151" w14:textId="77777777">
      <w:pPr>
        <w:spacing w:line="240" w:lineRule="auto"/>
        <w:ind w:left="720" w:hanging="720"/>
        <w:rPr>
          <w:rtl/>
        </w:rPr>
      </w:pPr>
      <w:r>
        <w:rPr>
          <w:rtl/>
        </w:rPr>
        <w:br w:type="page"/>
      </w:r>
    </w:p>
    <w:p w:rsidR="00E92F67" w:rsidRPr="00DC3374" w:rsidP="00E81188" w14:paraId="2A7C9DB4" w14:textId="3A0905EF">
      <w:pPr>
        <w:pStyle w:val="a"/>
        <w:spacing w:line="269" w:lineRule="auto"/>
        <w:rPr>
          <w:noProof/>
          <w:rtl/>
        </w:rPr>
      </w:pPr>
      <w:r w:rsidRPr="00DC3374">
        <w:rPr>
          <w:noProof/>
          <w:rtl/>
        </w:rPr>
        <w:fldChar w:fldCharType="begin"/>
      </w:r>
      <w:r w:rsidRPr="00DC3374">
        <w:rPr>
          <w:noProof/>
          <w:rtl/>
        </w:rPr>
        <w:instrText xml:space="preserve"> </w:instrText>
      </w:r>
      <w:r w:rsidRPr="00DC3374">
        <w:rPr>
          <w:noProof/>
        </w:rPr>
        <w:instrText>AUTONUMLGL \e  \* MERGEFORMAT</w:instrText>
      </w:r>
      <w:r w:rsidRPr="00DC3374">
        <w:rPr>
          <w:noProof/>
          <w:rtl/>
        </w:rPr>
        <w:instrText xml:space="preserve"> </w:instrText>
      </w:r>
      <w:r w:rsidRPr="00DC3374">
        <w:rPr>
          <w:noProof/>
          <w:rtl/>
        </w:rPr>
        <w:fldChar w:fldCharType="end"/>
      </w:r>
    </w:p>
    <w:p w:rsidR="00E92F67" w:rsidRPr="00DC3374" w:rsidP="00E81188" w14:paraId="09BAB8DE" w14:textId="77777777">
      <w:pPr>
        <w:pStyle w:val="ListParagraph"/>
        <w:spacing w:line="269" w:lineRule="auto"/>
        <w:ind w:left="-1"/>
        <w:jc w:val="center"/>
        <w:rPr>
          <w:rtl/>
        </w:rPr>
      </w:pPr>
      <w:r w:rsidRPr="00DC3374">
        <w:rPr>
          <w:rFonts w:hint="eastAsia"/>
          <w:b/>
          <w:bCs/>
          <w:rtl/>
        </w:rPr>
        <w:t>תרשים</w:t>
      </w:r>
      <w:r w:rsidRPr="00DC3374">
        <w:rPr>
          <w:b/>
          <w:bCs/>
          <w:rtl/>
        </w:rPr>
        <w:t xml:space="preserve"> </w:t>
      </w:r>
      <w:r w:rsidRPr="00DC3374">
        <w:rPr>
          <w:rFonts w:hint="cs"/>
          <w:b/>
          <w:bCs/>
          <w:rtl/>
        </w:rPr>
        <w:t>41</w:t>
      </w:r>
      <w:r w:rsidRPr="00DC3374">
        <w:rPr>
          <w:b/>
          <w:bCs/>
          <w:rtl/>
        </w:rPr>
        <w:t xml:space="preserve">: </w:t>
      </w:r>
      <w:r w:rsidRPr="00DC3374">
        <w:rPr>
          <w:rFonts w:hint="eastAsia"/>
          <w:b/>
          <w:bCs/>
          <w:rtl/>
        </w:rPr>
        <w:t>שיעור</w:t>
      </w:r>
      <w:r w:rsidRPr="00DC3374">
        <w:rPr>
          <w:b/>
          <w:bCs/>
          <w:rtl/>
        </w:rPr>
        <w:t xml:space="preserve"> </w:t>
      </w:r>
      <w:r w:rsidRPr="00DC3374">
        <w:rPr>
          <w:rFonts w:hint="eastAsia"/>
          <w:b/>
          <w:bCs/>
          <w:rtl/>
        </w:rPr>
        <w:t>השיחות</w:t>
      </w:r>
      <w:r w:rsidRPr="00DC3374">
        <w:rPr>
          <w:b/>
          <w:bCs/>
          <w:rtl/>
        </w:rPr>
        <w:t xml:space="preserve"> </w:t>
      </w:r>
      <w:r w:rsidRPr="00DC3374">
        <w:rPr>
          <w:rFonts w:hint="eastAsia"/>
          <w:b/>
          <w:bCs/>
          <w:rtl/>
        </w:rPr>
        <w:t>שנענו</w:t>
      </w:r>
      <w:r w:rsidRPr="00DC3374">
        <w:rPr>
          <w:b/>
          <w:bCs/>
          <w:rtl/>
        </w:rPr>
        <w:t xml:space="preserve"> </w:t>
      </w:r>
      <w:r w:rsidRPr="00DC3374">
        <w:rPr>
          <w:rFonts w:hint="eastAsia"/>
          <w:b/>
          <w:bCs/>
          <w:rtl/>
        </w:rPr>
        <w:t>ברמה</w:t>
      </w:r>
      <w:r w:rsidRPr="00DC3374">
        <w:rPr>
          <w:b/>
          <w:bCs/>
          <w:rtl/>
        </w:rPr>
        <w:t xml:space="preserve"> </w:t>
      </w:r>
      <w:r w:rsidRPr="00DC3374">
        <w:rPr>
          <w:rFonts w:hint="cs"/>
          <w:b/>
          <w:bCs/>
          <w:rtl/>
        </w:rPr>
        <w:t>ה</w:t>
      </w:r>
      <w:r w:rsidRPr="00DC3374">
        <w:rPr>
          <w:rFonts w:hint="eastAsia"/>
          <w:b/>
          <w:bCs/>
          <w:rtl/>
        </w:rPr>
        <w:t>שבועית</w:t>
      </w:r>
      <w:r w:rsidRPr="00DC3374">
        <w:rPr>
          <w:b/>
          <w:bCs/>
          <w:rtl/>
        </w:rPr>
        <w:t xml:space="preserve">, </w:t>
      </w:r>
      <w:r w:rsidRPr="00DC3374">
        <w:rPr>
          <w:rFonts w:hint="eastAsia"/>
          <w:b/>
          <w:bCs/>
          <w:rtl/>
        </w:rPr>
        <w:t>מרץ</w:t>
      </w:r>
      <w:r w:rsidRPr="00DC3374">
        <w:rPr>
          <w:b/>
          <w:bCs/>
          <w:rtl/>
        </w:rPr>
        <w:t>-אוקטובר 2020</w:t>
      </w:r>
    </w:p>
    <w:p w:rsidR="00E92F67" w:rsidRPr="00DC3374" w:rsidP="00E81188" w14:paraId="5B52D225" w14:textId="77777777">
      <w:pPr>
        <w:pStyle w:val="ListParagraph"/>
        <w:spacing w:line="269" w:lineRule="auto"/>
        <w:ind w:left="-1"/>
        <w:jc w:val="center"/>
        <w:rPr>
          <w:u w:val="single"/>
          <w:rtl/>
        </w:rPr>
      </w:pPr>
      <w:r w:rsidRPr="00DC3374">
        <w:rPr>
          <w:noProof/>
          <w:u w:val="single"/>
        </w:rPr>
        <w:drawing>
          <wp:inline distT="0" distB="0" distL="0" distR="0">
            <wp:extent cx="5962803" cy="3895725"/>
            <wp:effectExtent l="0" t="0" r="0" b="0"/>
            <wp:docPr id="126" name="תמונה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36881" name="Picture 3"/>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72482" cy="3902049"/>
                    </a:xfrm>
                    <a:prstGeom prst="rect">
                      <a:avLst/>
                    </a:prstGeom>
                    <a:noFill/>
                  </pic:spPr>
                </pic:pic>
              </a:graphicData>
            </a:graphic>
          </wp:inline>
        </w:drawing>
      </w:r>
    </w:p>
    <w:p w:rsidR="00E92F67" w:rsidRPr="00DC3374" w:rsidP="00E81188" w14:paraId="1354C9CF" w14:textId="77777777">
      <w:pPr>
        <w:pStyle w:val="ListParagraph"/>
        <w:spacing w:line="269" w:lineRule="auto"/>
        <w:ind w:left="-1"/>
        <w:rPr>
          <w:szCs w:val="20"/>
          <w:rtl/>
        </w:rPr>
      </w:pPr>
      <w:r w:rsidRPr="00DC3374">
        <w:rPr>
          <w:rFonts w:hint="cs"/>
          <w:szCs w:val="20"/>
          <w:rtl/>
        </w:rPr>
        <w:t>על פי נתוני משרד הבריאות, פקע"ר והמשטרה, בעיבוד משרד מבקר המדינה.</w:t>
      </w:r>
    </w:p>
    <w:p w:rsidR="00E92F67" w:rsidRPr="00DC3374" w:rsidP="00E81188" w14:paraId="36CEC10C" w14:textId="0CE7EEB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4D0C1B3" w14:textId="105DB5B9">
      <w:pPr>
        <w:spacing w:line="269" w:lineRule="auto"/>
        <w:rPr>
          <w:b/>
          <w:bCs/>
          <w:rtl/>
        </w:rPr>
      </w:pPr>
      <w:r w:rsidRPr="00DC3374">
        <w:rPr>
          <w:rFonts w:hint="cs"/>
          <w:b/>
          <w:bCs/>
          <w:rtl/>
        </w:rPr>
        <w:t>מהתרשים עולה כי:</w:t>
      </w:r>
      <w:r w:rsidR="009A11FC">
        <w:rPr>
          <w:rFonts w:hint="cs"/>
          <w:b/>
          <w:bCs/>
          <w:rtl/>
        </w:rPr>
        <w:t xml:space="preserve"> </w:t>
      </w:r>
      <w:r w:rsidRPr="00DC3374">
        <w:rPr>
          <w:rFonts w:hint="cs"/>
          <w:b/>
          <w:bCs/>
          <w:rtl/>
        </w:rPr>
        <w:t>(א) מוקד פקע"ר לא עמד ביעד שהציב לעצמו בנוגע לשיעור השיחות הנענות בידי מוקדן</w:t>
      </w:r>
      <w:r w:rsidR="009A11FC">
        <w:rPr>
          <w:rFonts w:hint="cs"/>
          <w:b/>
          <w:bCs/>
          <w:rtl/>
        </w:rPr>
        <w:t xml:space="preserve"> </w:t>
      </w:r>
      <w:r w:rsidRPr="00DC3374">
        <w:rPr>
          <w:rFonts w:hint="cs"/>
          <w:b/>
          <w:bCs/>
          <w:rtl/>
        </w:rPr>
        <w:t>(95%) בהתקופה האמורה, ובמשך רוב התקופה משרד הבריאות והמשטרה לא עמדו גם הם ביעד שקבעו (שיעור השיחות שנענו במוקד משרד הבריאות במהלך שני שלישים מהתקופה - 22 מתוך 33 שבועות - היה נמוך מ-90%, וב-18 שבועות - נמוך מ-80%. שיעור השיחות שנענו במוקד של המשטרה בכשליש מהתקופה - 15 מתוך 33 שבועות - היה נמוך מ-80%);</w:t>
      </w:r>
      <w:r w:rsidR="009A11FC">
        <w:rPr>
          <w:rFonts w:hint="cs"/>
          <w:b/>
          <w:bCs/>
          <w:rtl/>
        </w:rPr>
        <w:t xml:space="preserve"> </w:t>
      </w:r>
      <w:r w:rsidRPr="00DC3374">
        <w:rPr>
          <w:rFonts w:hint="cs"/>
          <w:b/>
          <w:bCs/>
          <w:rtl/>
        </w:rPr>
        <w:t xml:space="preserve">(ב) בתחילת מאי ובמהלך יולי 2020 נרשמו שיעורי מענה נמוכים של מוקדן במוקד פקע"ר (13% ו-22%, בהתאמה), וביולי היו שיעורי מענה נמוכים של מוקדן במוקד משרד הבריאות (39%). </w:t>
      </w:r>
    </w:p>
    <w:p w:rsidR="00E92F67" w:rsidRPr="00DC3374" w:rsidP="00E81188" w14:paraId="47A3CFC9" w14:textId="77777777">
      <w:pPr>
        <w:spacing w:line="269" w:lineRule="auto"/>
        <w:rPr>
          <w:b/>
          <w:bCs/>
          <w:rtl/>
        </w:rPr>
      </w:pPr>
    </w:p>
    <w:p w:rsidR="00E92F67" w:rsidRPr="00DC3374" w:rsidP="00E81188" w14:paraId="7267311A" w14:textId="77777777">
      <w:pPr>
        <w:pStyle w:val="Heading5"/>
        <w:spacing w:line="269" w:lineRule="auto"/>
        <w:rPr>
          <w:rtl/>
        </w:rPr>
      </w:pPr>
      <w:r w:rsidRPr="00DC3374">
        <w:rPr>
          <w:rFonts w:hint="cs"/>
          <w:rtl/>
        </w:rPr>
        <w:t xml:space="preserve">זמני ההמתנה למענה של מוקדן </w:t>
      </w:r>
    </w:p>
    <w:p w:rsidR="00E92F67" w:rsidRPr="00DC3374" w:rsidP="00E81188" w14:paraId="7BD39F8A" w14:textId="2AB5B18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094DD9" w:rsidP="00E81188" w14:paraId="009C5CF5" w14:textId="61818905">
      <w:pPr>
        <w:pStyle w:val="ListParagraph"/>
        <w:spacing w:line="269" w:lineRule="auto"/>
        <w:ind w:left="-1"/>
        <w:rPr>
          <w:rtl/>
        </w:rPr>
      </w:pPr>
      <w:r w:rsidRPr="00DC3374">
        <w:rPr>
          <w:rFonts w:hint="cs"/>
          <w:rtl/>
        </w:rPr>
        <w:t>משרד מבקר המדינה בחן את זמני ההמתנה למענה של מוקדן (לשיחות שעברו בהצלחה את הנתב) בשלושת המוקדים האמורים</w:t>
      </w:r>
      <w:r>
        <w:rPr>
          <w:rStyle w:val="FootnoteReference1"/>
          <w:rtl/>
        </w:rPr>
        <w:footnoteReference w:id="60"/>
      </w:r>
      <w:r w:rsidRPr="00DC3374">
        <w:rPr>
          <w:rFonts w:hint="cs"/>
          <w:rtl/>
        </w:rPr>
        <w:t xml:space="preserve">. בתרשים שלהלן מוצגים זמני ההמתנה לקבלת מענה של מוקדן בממוצע לשבוע, </w:t>
      </w:r>
      <w:r w:rsidRPr="00DC3374">
        <w:rPr>
          <w:rtl/>
        </w:rPr>
        <w:t xml:space="preserve">מ-10.3.20 עד </w:t>
      </w:r>
      <w:r w:rsidRPr="00DC3374">
        <w:rPr>
          <w:rFonts w:hint="cs"/>
          <w:rtl/>
        </w:rPr>
        <w:t>31.10.20, בדקות ובשניות. יודגש כי נתונים אלה אינם כוללים שיחות שנותקו עקב זמן המתנה ממושך של הפונה, ואינם כוללים שיחות שלא הגיעו למוקד בשל הגבלת השיחות בנתב.</w:t>
      </w:r>
    </w:p>
    <w:p w:rsidR="00094DD9" w14:paraId="41725D9B" w14:textId="77777777">
      <w:pPr>
        <w:spacing w:line="240" w:lineRule="auto"/>
        <w:ind w:left="720" w:hanging="720"/>
        <w:rPr>
          <w:rtl/>
        </w:rPr>
      </w:pPr>
      <w:r>
        <w:rPr>
          <w:rtl/>
        </w:rPr>
        <w:br w:type="page"/>
      </w:r>
    </w:p>
    <w:p w:rsidR="00E92F67" w:rsidRPr="00DC3374" w:rsidP="00E81188" w14:paraId="09A6E52B" w14:textId="39AAC03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2B26502" w14:textId="77777777">
      <w:pPr>
        <w:pStyle w:val="ListParagraph"/>
        <w:spacing w:line="269" w:lineRule="auto"/>
        <w:ind w:left="-1"/>
        <w:jc w:val="center"/>
        <w:rPr>
          <w:b/>
          <w:bCs/>
          <w:rtl/>
        </w:rPr>
      </w:pPr>
      <w:r w:rsidRPr="00DC3374">
        <w:rPr>
          <w:rFonts w:hint="cs"/>
          <w:b/>
          <w:bCs/>
          <w:rtl/>
        </w:rPr>
        <w:t>תרשים 42: זמן ההמתנה למענה של מוקדן, בממוצע שבועי</w:t>
      </w:r>
      <w:r>
        <w:rPr>
          <w:rStyle w:val="FootnoteReference1"/>
          <w:b/>
          <w:bCs/>
          <w:rtl/>
        </w:rPr>
        <w:footnoteReference w:id="61"/>
      </w:r>
      <w:r w:rsidRPr="00DC3374">
        <w:rPr>
          <w:rFonts w:hint="cs"/>
          <w:b/>
          <w:bCs/>
          <w:rtl/>
        </w:rPr>
        <w:t xml:space="preserve"> (בדקות ובשניות)</w:t>
      </w:r>
    </w:p>
    <w:p w:rsidR="00E92F67" w:rsidRPr="00DC3374" w:rsidP="00E81188" w14:paraId="70D9E084" w14:textId="77777777">
      <w:pPr>
        <w:pStyle w:val="ListParagraph"/>
        <w:spacing w:line="269" w:lineRule="auto"/>
        <w:ind w:left="-426"/>
        <w:rPr>
          <w:b/>
          <w:bCs/>
          <w:rtl/>
        </w:rPr>
      </w:pPr>
      <w:r w:rsidRPr="00DC3374">
        <w:rPr>
          <w:b/>
          <w:bCs/>
          <w:noProof/>
        </w:rPr>
        <w:drawing>
          <wp:inline distT="0" distB="0" distL="0" distR="0">
            <wp:extent cx="6038215" cy="3971925"/>
            <wp:effectExtent l="0" t="0" r="635" b="9525"/>
            <wp:docPr id="127" name="תמונה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14512" name="Picture 9"/>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43273" cy="3975252"/>
                    </a:xfrm>
                    <a:prstGeom prst="rect">
                      <a:avLst/>
                    </a:prstGeom>
                    <a:noFill/>
                  </pic:spPr>
                </pic:pic>
              </a:graphicData>
            </a:graphic>
          </wp:inline>
        </w:drawing>
      </w:r>
    </w:p>
    <w:p w:rsidR="00E92F67" w:rsidRPr="00DC3374" w:rsidP="00E81188" w14:paraId="718727EE" w14:textId="77777777">
      <w:pPr>
        <w:pStyle w:val="ListParagraph"/>
        <w:spacing w:line="269" w:lineRule="auto"/>
        <w:ind w:left="-1"/>
        <w:rPr>
          <w:szCs w:val="20"/>
          <w:rtl/>
        </w:rPr>
      </w:pPr>
      <w:r w:rsidRPr="00DC3374">
        <w:rPr>
          <w:rFonts w:hint="cs"/>
          <w:szCs w:val="20"/>
          <w:rtl/>
        </w:rPr>
        <w:t>על פי נתוני משרד הבריאות, פקע"ר והמשטרה, בעיבוד משרד מבקר המדינה.</w:t>
      </w:r>
    </w:p>
    <w:p w:rsidR="00E92F67" w:rsidRPr="00DC3374" w:rsidP="00E81188" w14:paraId="6913B897" w14:textId="76E4F10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49D5EAF" w14:textId="22449B86">
      <w:pPr>
        <w:spacing w:line="269" w:lineRule="auto"/>
        <w:rPr>
          <w:b/>
          <w:bCs/>
          <w:rtl/>
        </w:rPr>
      </w:pPr>
      <w:r w:rsidRPr="00DC3374">
        <w:rPr>
          <w:rFonts w:hint="cs"/>
          <w:b/>
          <w:bCs/>
          <w:rtl/>
        </w:rPr>
        <w:t>מהתרשים</w:t>
      </w:r>
      <w:r w:rsidRPr="00DC3374">
        <w:rPr>
          <w:b/>
          <w:bCs/>
          <w:rtl/>
        </w:rPr>
        <w:t xml:space="preserve"> </w:t>
      </w:r>
      <w:r w:rsidRPr="00DC3374">
        <w:rPr>
          <w:rFonts w:hint="cs"/>
          <w:b/>
          <w:bCs/>
          <w:rtl/>
        </w:rPr>
        <w:t>ומהנתונים שעליהם הוא מתבסס עולים</w:t>
      </w:r>
      <w:r w:rsidRPr="00DC3374">
        <w:rPr>
          <w:b/>
          <w:bCs/>
          <w:rtl/>
        </w:rPr>
        <w:t xml:space="preserve"> </w:t>
      </w:r>
      <w:r w:rsidRPr="00DC3374">
        <w:rPr>
          <w:rFonts w:hint="cs"/>
          <w:b/>
          <w:bCs/>
          <w:rtl/>
        </w:rPr>
        <w:t>כמה</w:t>
      </w:r>
      <w:r w:rsidRPr="00DC3374">
        <w:rPr>
          <w:b/>
          <w:bCs/>
          <w:rtl/>
        </w:rPr>
        <w:t xml:space="preserve"> מ</w:t>
      </w:r>
      <w:r w:rsidRPr="00DC3374">
        <w:rPr>
          <w:rFonts w:hint="cs"/>
          <w:b/>
          <w:bCs/>
          <w:rtl/>
        </w:rPr>
        <w:t>מצאים</w:t>
      </w:r>
      <w:r w:rsidRPr="00DC3374">
        <w:rPr>
          <w:b/>
          <w:bCs/>
          <w:rtl/>
        </w:rPr>
        <w:t>:</w:t>
      </w:r>
      <w:r w:rsidR="009A11FC">
        <w:rPr>
          <w:b/>
          <w:bCs/>
          <w:rtl/>
        </w:rPr>
        <w:t xml:space="preserve"> </w:t>
      </w:r>
      <w:r w:rsidRPr="00DC3374">
        <w:rPr>
          <w:rFonts w:hint="cs"/>
          <w:b/>
          <w:bCs/>
          <w:rtl/>
        </w:rPr>
        <w:t>(א)</w:t>
      </w:r>
      <w:r w:rsidRPr="00DC3374">
        <w:rPr>
          <w:b/>
          <w:bCs/>
          <w:rtl/>
        </w:rPr>
        <w:t xml:space="preserve"> ברוב התקופה</w:t>
      </w:r>
      <w:r w:rsidRPr="00DC3374">
        <w:rPr>
          <w:rFonts w:hint="cs"/>
          <w:b/>
          <w:bCs/>
          <w:rtl/>
        </w:rPr>
        <w:t xml:space="preserve"> שנבדקה</w:t>
      </w:r>
      <w:r w:rsidRPr="00DC3374">
        <w:rPr>
          <w:b/>
          <w:bCs/>
          <w:rtl/>
        </w:rPr>
        <w:t xml:space="preserve"> </w:t>
      </w:r>
      <w:r w:rsidRPr="00DC3374">
        <w:rPr>
          <w:rFonts w:hint="cs"/>
          <w:b/>
          <w:bCs/>
          <w:rtl/>
        </w:rPr>
        <w:t>זמני ההמתנה</w:t>
      </w:r>
      <w:r w:rsidRPr="00DC3374">
        <w:rPr>
          <w:b/>
          <w:bCs/>
          <w:rtl/>
        </w:rPr>
        <w:t xml:space="preserve"> </w:t>
      </w:r>
      <w:r w:rsidRPr="00DC3374">
        <w:rPr>
          <w:rFonts w:hint="cs"/>
          <w:b/>
          <w:bCs/>
          <w:rtl/>
        </w:rPr>
        <w:t>לנציג במוקד</w:t>
      </w:r>
      <w:r w:rsidRPr="00DC3374">
        <w:rPr>
          <w:b/>
          <w:bCs/>
          <w:rtl/>
        </w:rPr>
        <w:t xml:space="preserve"> משרד הבריאות היו </w:t>
      </w:r>
      <w:r w:rsidRPr="00DC3374">
        <w:rPr>
          <w:rFonts w:hint="cs"/>
          <w:b/>
          <w:bCs/>
          <w:rtl/>
        </w:rPr>
        <w:t>ארוכ</w:t>
      </w:r>
      <w:r w:rsidRPr="00DC3374">
        <w:rPr>
          <w:b/>
          <w:bCs/>
          <w:rtl/>
        </w:rPr>
        <w:t xml:space="preserve">ים </w:t>
      </w:r>
      <w:r w:rsidRPr="00DC3374">
        <w:rPr>
          <w:rFonts w:hint="cs"/>
          <w:b/>
          <w:bCs/>
          <w:rtl/>
        </w:rPr>
        <w:t xml:space="preserve">במידה </w:t>
      </w:r>
      <w:r w:rsidRPr="00DC3374">
        <w:rPr>
          <w:rFonts w:hint="eastAsia"/>
          <w:b/>
          <w:bCs/>
          <w:rtl/>
        </w:rPr>
        <w:t>ניכרת</w:t>
      </w:r>
      <w:r w:rsidRPr="00DC3374">
        <w:rPr>
          <w:b/>
          <w:bCs/>
          <w:rtl/>
        </w:rPr>
        <w:t xml:space="preserve"> </w:t>
      </w:r>
      <w:r w:rsidRPr="00DC3374">
        <w:rPr>
          <w:rFonts w:hint="eastAsia"/>
          <w:b/>
          <w:bCs/>
          <w:rtl/>
        </w:rPr>
        <w:t>מזמני</w:t>
      </w:r>
      <w:r w:rsidRPr="00DC3374">
        <w:rPr>
          <w:rFonts w:hint="cs"/>
          <w:b/>
          <w:bCs/>
          <w:rtl/>
        </w:rPr>
        <w:t xml:space="preserve"> ההמתנה לנציג במוקד פקע"ר (ב-23 שבועות מתוך 28 שבועות). גם זמני ההמתנה לנציג במוקד המשטרה היו ארוכ</w:t>
      </w:r>
      <w:r w:rsidRPr="00DC3374">
        <w:rPr>
          <w:rFonts w:hint="eastAsia"/>
          <w:b/>
          <w:bCs/>
          <w:rtl/>
        </w:rPr>
        <w:t>ים</w:t>
      </w:r>
      <w:r w:rsidRPr="00DC3374">
        <w:rPr>
          <w:rFonts w:hint="cs"/>
          <w:b/>
          <w:bCs/>
          <w:rtl/>
        </w:rPr>
        <w:t xml:space="preserve"> בהשוואה למוקד פקע"ר (ב-26 מתוך 28 שבועות);</w:t>
      </w:r>
      <w:r w:rsidR="009A11FC">
        <w:rPr>
          <w:b/>
          <w:bCs/>
          <w:rtl/>
        </w:rPr>
        <w:t xml:space="preserve"> </w:t>
      </w:r>
      <w:r w:rsidRPr="00DC3374">
        <w:rPr>
          <w:rFonts w:hint="cs"/>
          <w:b/>
          <w:bCs/>
          <w:rtl/>
        </w:rPr>
        <w:t>(ב) ברוב השבועות שנבדקו פקע"ר ענה לשיחות בתוך פחות משתי דקות בממוצע שבועי, כלומר השיג את היעד שהציב לעצמו. משרד הבריאות הציב למוקד שלו יעד נמוך יותר (מענה בתוך 10 דקות), אולם במהלך שליש מהתקופה (11 שבועות מתוך 33) לא עמד בו, בממוצע שבועי. המשטרה לא עמדה ביעד שהציבה למוקד שלה (מענה בתוך דקה), בממוצע שבועי, בכל התקופה שנבדקה.</w:t>
      </w:r>
    </w:p>
    <w:p w:rsidR="00E92F67" w:rsidRPr="00DC3374" w:rsidP="00E81188" w14:paraId="144633A6" w14:textId="24C2591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4381323" w14:textId="1A9BFC5C">
      <w:pPr>
        <w:spacing w:line="269" w:lineRule="auto"/>
        <w:rPr>
          <w:rtl/>
        </w:rPr>
      </w:pPr>
      <w:r w:rsidRPr="00DC3374">
        <w:rPr>
          <w:rFonts w:hint="cs"/>
          <w:rtl/>
        </w:rPr>
        <w:t>משרד הבריאות מסר בתשובתו כי העלייה בזמני ההמתנה נבעה מסיבות שונות: מספר</w:t>
      </w:r>
      <w:r w:rsidRPr="00DC3374">
        <w:rPr>
          <w:rtl/>
        </w:rPr>
        <w:t xml:space="preserve"> החולים בגל השני היה גבוה באופן משמעותי </w:t>
      </w:r>
      <w:r w:rsidRPr="00DC3374">
        <w:rPr>
          <w:rFonts w:hint="cs"/>
          <w:rtl/>
        </w:rPr>
        <w:t>מב</w:t>
      </w:r>
      <w:r w:rsidRPr="00DC3374">
        <w:rPr>
          <w:rtl/>
        </w:rPr>
        <w:t>גל הראשון</w:t>
      </w:r>
      <w:r w:rsidRPr="00DC3374">
        <w:rPr>
          <w:rFonts w:hint="cs"/>
          <w:rtl/>
        </w:rPr>
        <w:t>;</w:t>
      </w:r>
      <w:r w:rsidR="009A11FC">
        <w:rPr>
          <w:rFonts w:hint="cs"/>
          <w:rtl/>
        </w:rPr>
        <w:t xml:space="preserve"> </w:t>
      </w:r>
      <w:r w:rsidRPr="00DC3374">
        <w:rPr>
          <w:rFonts w:hint="cs"/>
          <w:rtl/>
        </w:rPr>
        <w:t xml:space="preserve">נעשו </w:t>
      </w:r>
      <w:r w:rsidRPr="00DC3374">
        <w:rPr>
          <w:rtl/>
        </w:rPr>
        <w:t>שינויים תכופים בהנחיות של קובעי המדיניות לציבור</w:t>
      </w:r>
      <w:r w:rsidRPr="00DC3374">
        <w:rPr>
          <w:rFonts w:hint="cs"/>
          <w:rtl/>
        </w:rPr>
        <w:t xml:space="preserve">; </w:t>
      </w:r>
      <w:r w:rsidRPr="00DC3374">
        <w:rPr>
          <w:rtl/>
        </w:rPr>
        <w:t xml:space="preserve">הוראת </w:t>
      </w:r>
      <w:r w:rsidRPr="00DC3374">
        <w:rPr>
          <w:rFonts w:hint="cs"/>
          <w:rtl/>
        </w:rPr>
        <w:t>ה</w:t>
      </w:r>
      <w:r w:rsidRPr="00DC3374">
        <w:rPr>
          <w:rtl/>
        </w:rPr>
        <w:t xml:space="preserve">שעה </w:t>
      </w:r>
      <w:r w:rsidRPr="00DC3374">
        <w:rPr>
          <w:rFonts w:hint="cs"/>
          <w:rtl/>
        </w:rPr>
        <w:t xml:space="preserve">האמורה </w:t>
      </w:r>
      <w:r w:rsidRPr="00DC3374">
        <w:rPr>
          <w:rtl/>
        </w:rPr>
        <w:t xml:space="preserve">שחוקקה הכנסת בדבר הסמכת שירות הביטחון הכללי להודיע למשרד הבריאות על אנשים שבאו במגע קרוב עם חולה קורונה באמצעות איכון </w:t>
      </w:r>
      <w:r w:rsidRPr="00DC3374">
        <w:rPr>
          <w:rFonts w:hint="cs"/>
          <w:rtl/>
        </w:rPr>
        <w:t>ה</w:t>
      </w:r>
      <w:r w:rsidRPr="00DC3374">
        <w:rPr>
          <w:rtl/>
        </w:rPr>
        <w:t xml:space="preserve">טלפונים </w:t>
      </w:r>
      <w:r w:rsidRPr="00DC3374">
        <w:rPr>
          <w:rFonts w:hint="cs"/>
          <w:rtl/>
        </w:rPr>
        <w:t>ה</w:t>
      </w:r>
      <w:r w:rsidRPr="00DC3374">
        <w:rPr>
          <w:rtl/>
        </w:rPr>
        <w:t>ניידים</w:t>
      </w:r>
      <w:r w:rsidRPr="00DC3374">
        <w:rPr>
          <w:rFonts w:hint="cs"/>
          <w:rtl/>
        </w:rPr>
        <w:t xml:space="preserve"> כדי </w:t>
      </w:r>
      <w:r w:rsidRPr="00DC3374">
        <w:rPr>
          <w:rtl/>
        </w:rPr>
        <w:t>להודיע להם להיכנס לבידוד</w:t>
      </w:r>
      <w:r w:rsidRPr="00DC3374">
        <w:rPr>
          <w:rFonts w:hint="cs"/>
          <w:rtl/>
        </w:rPr>
        <w:t xml:space="preserve">, גררה עלייה במספר השיחות בנושא הבידודים; משך השיחות למשרד הבריאות היה ארוך יותר ממשכי השיחה למוקדים אחרים בשל מורכבות הפנייה וסוג המענה שניתן, לרבות פתרון מותאם אישית ולא מידע בלבד; </w:t>
      </w:r>
      <w:r w:rsidRPr="00DC3374">
        <w:rPr>
          <w:rtl/>
        </w:rPr>
        <w:t xml:space="preserve">פתיחת </w:t>
      </w:r>
      <w:r w:rsidRPr="00DC3374">
        <w:rPr>
          <w:rFonts w:hint="cs"/>
          <w:rtl/>
        </w:rPr>
        <w:t xml:space="preserve">שדה התעופה לטיסות באוגוסט 2020 </w:t>
      </w:r>
      <w:r w:rsidRPr="00DC3374">
        <w:rPr>
          <w:rtl/>
        </w:rPr>
        <w:t xml:space="preserve">הביאה לגידול </w:t>
      </w:r>
      <w:r w:rsidRPr="00DC3374">
        <w:rPr>
          <w:rFonts w:hint="cs"/>
          <w:rtl/>
        </w:rPr>
        <w:t>ניכר</w:t>
      </w:r>
      <w:r w:rsidRPr="00DC3374">
        <w:rPr>
          <w:rtl/>
        </w:rPr>
        <w:t xml:space="preserve"> בהיקף השיחות למוקד.</w:t>
      </w:r>
      <w:r w:rsidRPr="00DC3374">
        <w:rPr>
          <w:rFonts w:hint="cs"/>
          <w:rtl/>
        </w:rPr>
        <w:t xml:space="preserve"> המשרד ציין כי לשם התמודדות עם העלייה במספר השיחות, גדל מספר המוקדנים פי חמישה בתקופה זו.</w:t>
      </w:r>
      <w:r w:rsidR="009A11FC">
        <w:rPr>
          <w:rFonts w:hint="cs"/>
          <w:rtl/>
        </w:rPr>
        <w:t xml:space="preserve"> </w:t>
      </w:r>
    </w:p>
    <w:p w:rsidR="00E92F67" w:rsidRPr="00DC3374" w:rsidP="00E81188" w14:paraId="56430985" w14:textId="5D9F11D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4D10B0E" w14:textId="77777777">
      <w:pPr>
        <w:spacing w:line="269" w:lineRule="auto"/>
        <w:rPr>
          <w:b/>
          <w:bCs/>
          <w:rtl/>
        </w:rPr>
      </w:pPr>
      <w:r w:rsidRPr="00DC3374">
        <w:rPr>
          <w:rFonts w:hint="cs"/>
          <w:b/>
          <w:bCs/>
          <w:rtl/>
        </w:rPr>
        <w:t xml:space="preserve">תקופת חירום, שבה הציבור מתמודד עם מצב משברי, אי-ודאות ולעיתים אף סיטואציות אישיות קריטיות, מחייבת מענה זמין ואיכותי לפניותיו. כיוון שכך, על הגורמים המפעילים מוקדי מידע </w:t>
      </w:r>
      <w:r w:rsidRPr="00DC3374">
        <w:rPr>
          <w:rFonts w:hint="cs"/>
          <w:b/>
          <w:bCs/>
          <w:rtl/>
        </w:rPr>
        <w:t xml:space="preserve">טלפוניים מטעם הממשלה לפעול לעמידה ביעדי השירות שקבעו למוקדים, בחירום ובשגרה. </w:t>
      </w:r>
      <w:r w:rsidRPr="00DC3374">
        <w:rPr>
          <w:b/>
          <w:bCs/>
          <w:rtl/>
        </w:rPr>
        <w:t xml:space="preserve">במצב חירום אזרחי, </w:t>
      </w:r>
      <w:r w:rsidRPr="00DC3374">
        <w:rPr>
          <w:rFonts w:hint="eastAsia"/>
          <w:b/>
          <w:bCs/>
          <w:rtl/>
        </w:rPr>
        <w:t>בפרט</w:t>
      </w:r>
      <w:r w:rsidRPr="00DC3374">
        <w:rPr>
          <w:b/>
          <w:bCs/>
          <w:rtl/>
        </w:rPr>
        <w:t xml:space="preserve"> כאשר כמה גופים ממשלתיים מספקים מידע דומה על אותו </w:t>
      </w:r>
      <w:r w:rsidRPr="00DC3374">
        <w:rPr>
          <w:rFonts w:hint="eastAsia"/>
          <w:b/>
          <w:bCs/>
          <w:rtl/>
        </w:rPr>
        <w:t>מצב</w:t>
      </w:r>
      <w:r w:rsidRPr="00DC3374">
        <w:rPr>
          <w:b/>
          <w:bCs/>
          <w:rtl/>
        </w:rPr>
        <w:t xml:space="preserve"> </w:t>
      </w:r>
      <w:r w:rsidRPr="00DC3374">
        <w:rPr>
          <w:rFonts w:hint="eastAsia"/>
          <w:b/>
          <w:bCs/>
          <w:rtl/>
        </w:rPr>
        <w:t>חירום</w:t>
      </w:r>
      <w:r w:rsidRPr="00DC3374">
        <w:rPr>
          <w:b/>
          <w:bCs/>
          <w:rtl/>
        </w:rPr>
        <w:t xml:space="preserve">, מומלץ לבחון הפעלת מוקד אחוד מטעם הממשלה, שיהיה בעל היכולות - בהיבט של משאבים ובהיבט המקצועי - לספק </w:t>
      </w:r>
      <w:r w:rsidRPr="00DC3374">
        <w:rPr>
          <w:rFonts w:hint="eastAsia"/>
          <w:b/>
          <w:bCs/>
          <w:rtl/>
        </w:rPr>
        <w:t>שירות</w:t>
      </w:r>
      <w:r w:rsidRPr="00DC3374">
        <w:rPr>
          <w:b/>
          <w:bCs/>
          <w:rtl/>
        </w:rPr>
        <w:t xml:space="preserve"> מיטבי לציבור. </w:t>
      </w:r>
      <w:r w:rsidRPr="00DC3374">
        <w:rPr>
          <w:rFonts w:hint="eastAsia"/>
          <w:b/>
          <w:bCs/>
          <w:rtl/>
        </w:rPr>
        <w:t>הפעלת</w:t>
      </w:r>
      <w:r w:rsidRPr="00DC3374">
        <w:rPr>
          <w:b/>
          <w:bCs/>
          <w:rtl/>
        </w:rPr>
        <w:t xml:space="preserve"> </w:t>
      </w:r>
      <w:r w:rsidRPr="00DC3374">
        <w:rPr>
          <w:rFonts w:hint="eastAsia"/>
          <w:b/>
          <w:bCs/>
          <w:rtl/>
        </w:rPr>
        <w:t>מוקד</w:t>
      </w:r>
      <w:r w:rsidRPr="00DC3374">
        <w:rPr>
          <w:b/>
          <w:bCs/>
          <w:rtl/>
        </w:rPr>
        <w:t xml:space="preserve"> </w:t>
      </w:r>
      <w:r w:rsidRPr="00DC3374">
        <w:rPr>
          <w:rFonts w:hint="eastAsia"/>
          <w:b/>
          <w:bCs/>
          <w:rtl/>
        </w:rPr>
        <w:t>אחוד</w:t>
      </w:r>
      <w:r w:rsidRPr="00DC3374">
        <w:rPr>
          <w:b/>
          <w:bCs/>
          <w:rtl/>
        </w:rPr>
        <w:t xml:space="preserve"> </w:t>
      </w:r>
      <w:r w:rsidRPr="00DC3374">
        <w:rPr>
          <w:rFonts w:hint="eastAsia"/>
          <w:b/>
          <w:bCs/>
          <w:rtl/>
        </w:rPr>
        <w:t>צפויה</w:t>
      </w:r>
      <w:r w:rsidRPr="00DC3374">
        <w:rPr>
          <w:b/>
          <w:bCs/>
          <w:rtl/>
        </w:rPr>
        <w:t xml:space="preserve"> </w:t>
      </w:r>
      <w:r w:rsidRPr="00DC3374">
        <w:rPr>
          <w:rFonts w:hint="eastAsia"/>
          <w:b/>
          <w:bCs/>
          <w:rtl/>
        </w:rPr>
        <w:t>לתרום</w:t>
      </w:r>
      <w:r w:rsidRPr="00DC3374">
        <w:rPr>
          <w:b/>
          <w:bCs/>
          <w:rtl/>
        </w:rPr>
        <w:t xml:space="preserve"> </w:t>
      </w:r>
      <w:r w:rsidRPr="00DC3374">
        <w:rPr>
          <w:rFonts w:hint="eastAsia"/>
          <w:b/>
          <w:bCs/>
          <w:rtl/>
        </w:rPr>
        <w:t>גם</w:t>
      </w:r>
      <w:r w:rsidRPr="00DC3374">
        <w:rPr>
          <w:b/>
          <w:bCs/>
          <w:rtl/>
        </w:rPr>
        <w:t xml:space="preserve"> </w:t>
      </w:r>
      <w:r w:rsidRPr="00DC3374">
        <w:rPr>
          <w:rFonts w:hint="eastAsia"/>
          <w:b/>
          <w:bCs/>
          <w:rtl/>
        </w:rPr>
        <w:t>להפחתת</w:t>
      </w:r>
      <w:r w:rsidRPr="00DC3374">
        <w:rPr>
          <w:b/>
          <w:bCs/>
          <w:rtl/>
        </w:rPr>
        <w:t xml:space="preserve"> עלויות </w:t>
      </w:r>
      <w:r w:rsidRPr="00DC3374">
        <w:rPr>
          <w:rFonts w:hint="cs"/>
          <w:b/>
          <w:bCs/>
          <w:rtl/>
        </w:rPr>
        <w:t>ולחיסכון במשאבים</w:t>
      </w:r>
      <w:r w:rsidRPr="00DC3374">
        <w:rPr>
          <w:b/>
          <w:bCs/>
          <w:rtl/>
        </w:rPr>
        <w:t>.</w:t>
      </w:r>
      <w:r w:rsidRPr="00DC3374">
        <w:rPr>
          <w:rFonts w:hint="cs"/>
          <w:b/>
          <w:bCs/>
          <w:rtl/>
        </w:rPr>
        <w:t xml:space="preserve"> </w:t>
      </w:r>
    </w:p>
    <w:p w:rsidR="00E92F67" w:rsidRPr="00DC3374" w:rsidP="00E81188" w14:paraId="42A20CD3" w14:textId="2C9F898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DD2D457" w14:textId="77777777">
      <w:pPr>
        <w:spacing w:line="269" w:lineRule="auto"/>
        <w:rPr>
          <w:b/>
          <w:bCs/>
          <w:rtl/>
        </w:rPr>
      </w:pPr>
      <w:r w:rsidRPr="00DC3374">
        <w:rPr>
          <w:rFonts w:hint="cs"/>
          <w:b/>
          <w:bCs/>
          <w:rtl/>
        </w:rPr>
        <w:t xml:space="preserve">עוד מומלץ לפעול לתגבור מוקדי החירום בתקופות שבהן צפויות להגיע אליהם פניות רבות של הציבור (כגון לקראת סגרים ועם העלייה בשיעורי התחלואה). זאת, לצורך העלאת שיעורי המענה במוקדים וקיצור זמני ההמתנה. </w:t>
      </w:r>
    </w:p>
    <w:p w:rsidR="00E92F67" w:rsidRPr="00DC3374" w:rsidP="00E81188" w14:paraId="7C28F7B3" w14:textId="77777777">
      <w:pPr>
        <w:spacing w:line="269" w:lineRule="auto"/>
        <w:ind w:left="720" w:hanging="720"/>
        <w:rPr>
          <w:b/>
          <w:bCs/>
          <w:rtl/>
        </w:rPr>
      </w:pPr>
    </w:p>
    <w:p w:rsidR="00E92F67" w:rsidRPr="00DC3374" w:rsidP="00E81188" w14:paraId="4AB39606" w14:textId="77777777">
      <w:pPr>
        <w:pStyle w:val="Heading3"/>
        <w:spacing w:before="0" w:line="269" w:lineRule="auto"/>
        <w:rPr>
          <w:rtl/>
        </w:rPr>
      </w:pPr>
      <w:r w:rsidRPr="00DC3374">
        <w:rPr>
          <w:rFonts w:hint="cs"/>
          <w:rtl/>
        </w:rPr>
        <w:t xml:space="preserve">איכות השירות שהעניקו מקורות המידע </w:t>
      </w:r>
    </w:p>
    <w:p w:rsidR="00E92F67" w:rsidRPr="00DC3374" w:rsidP="00E81188" w14:paraId="668F31BA" w14:textId="6C69E7F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E73ACB3" w14:textId="77777777">
      <w:pPr>
        <w:spacing w:line="269" w:lineRule="auto"/>
        <w:rPr>
          <w:rtl/>
        </w:rPr>
      </w:pPr>
      <w:r w:rsidRPr="00DC3374">
        <w:rPr>
          <w:rtl/>
        </w:rPr>
        <w:t xml:space="preserve">שביעות </w:t>
      </w:r>
      <w:r w:rsidRPr="00DC3374">
        <w:rPr>
          <w:rFonts w:hint="cs"/>
          <w:rtl/>
        </w:rPr>
        <w:t>ה</w:t>
      </w:r>
      <w:r w:rsidRPr="00DC3374">
        <w:rPr>
          <w:rtl/>
        </w:rPr>
        <w:t xml:space="preserve">רצון </w:t>
      </w:r>
      <w:r w:rsidRPr="00DC3374">
        <w:rPr>
          <w:rFonts w:hint="cs"/>
          <w:rtl/>
        </w:rPr>
        <w:t xml:space="preserve">של הציבור </w:t>
      </w:r>
      <w:r w:rsidRPr="00DC3374">
        <w:rPr>
          <w:rtl/>
        </w:rPr>
        <w:t xml:space="preserve">מהשירות הממשלתי </w:t>
      </w:r>
      <w:r w:rsidRPr="00DC3374">
        <w:rPr>
          <w:rFonts w:hint="cs"/>
          <w:rtl/>
        </w:rPr>
        <w:t xml:space="preserve">תלויה יותר מכול בשלושה תנאים: השירות ניתן באופן פשוט; </w:t>
      </w:r>
      <w:r w:rsidRPr="00DC3374">
        <w:rPr>
          <w:rtl/>
        </w:rPr>
        <w:t>נות</w:t>
      </w:r>
      <w:r w:rsidRPr="00DC3374">
        <w:rPr>
          <w:rFonts w:hint="cs"/>
          <w:rtl/>
        </w:rPr>
        <w:t>ן</w:t>
      </w:r>
      <w:r w:rsidRPr="00DC3374">
        <w:rPr>
          <w:rtl/>
        </w:rPr>
        <w:t xml:space="preserve"> השירות קשוב לצורכי</w:t>
      </w:r>
      <w:r w:rsidRPr="00DC3374">
        <w:rPr>
          <w:rFonts w:hint="cs"/>
          <w:rtl/>
        </w:rPr>
        <w:t xml:space="preserve"> מקבל השירות; ותהליך קבלת השירות מקצועי ויעיל</w:t>
      </w:r>
      <w:r>
        <w:rPr>
          <w:rStyle w:val="FootnoteReference1"/>
          <w:rtl/>
        </w:rPr>
        <w:footnoteReference w:id="62"/>
      </w:r>
      <w:r w:rsidRPr="00DC3374">
        <w:rPr>
          <w:rFonts w:hint="cs"/>
          <w:rtl/>
        </w:rPr>
        <w:t xml:space="preserve">. </w:t>
      </w:r>
    </w:p>
    <w:p w:rsidR="00E92F67" w:rsidRPr="00DC3374" w:rsidP="00E81188" w14:paraId="56B519BB" w14:textId="77777777">
      <w:pPr>
        <w:spacing w:line="269" w:lineRule="auto"/>
        <w:rPr>
          <w:rtl/>
        </w:rPr>
      </w:pPr>
    </w:p>
    <w:p w:rsidR="00E92F67" w:rsidRPr="00DC3374" w:rsidP="00E81188" w14:paraId="7CA8F871" w14:textId="77777777">
      <w:pPr>
        <w:pStyle w:val="Heading4"/>
        <w:spacing w:before="0" w:line="269" w:lineRule="auto"/>
        <w:rPr>
          <w:rtl/>
        </w:rPr>
      </w:pPr>
      <w:r w:rsidRPr="00DC3374">
        <w:rPr>
          <w:rFonts w:hint="cs"/>
          <w:rtl/>
        </w:rPr>
        <w:t>מידת שביעות הרצון של הציבור ממקורות המידע</w:t>
      </w:r>
    </w:p>
    <w:p w:rsidR="00E92F67" w:rsidRPr="00DC3374" w:rsidP="00E81188" w14:paraId="794FFB43" w14:textId="7C11351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094DD9" w:rsidP="00E81188" w14:paraId="0C672F0E" w14:textId="6DD4DEC9">
      <w:pPr>
        <w:spacing w:line="269" w:lineRule="auto"/>
        <w:rPr>
          <w:rtl/>
        </w:rPr>
      </w:pPr>
      <w:r w:rsidRPr="00DC3374">
        <w:rPr>
          <w:rFonts w:hint="cs"/>
          <w:rtl/>
        </w:rPr>
        <w:t>משרד מבקר המדינה בחן באמצעות הסקר מדצמבר 2020 את מידת שביעות הרצון של הציבור ממקורות המידע של משרד הבריאות ופקע"ר</w:t>
      </w:r>
      <w:r>
        <w:rPr>
          <w:rStyle w:val="FootnoteReference1"/>
          <w:rtl/>
        </w:rPr>
        <w:footnoteReference w:id="63"/>
      </w:r>
      <w:r w:rsidRPr="00DC3374">
        <w:rPr>
          <w:rFonts w:hint="cs"/>
          <w:rtl/>
        </w:rPr>
        <w:t>. בתרשים שלהלן מוצגים ממצאי הסקר, בפילוח לקבוצות אוכלוסייה.</w:t>
      </w:r>
    </w:p>
    <w:p w:rsidR="00094DD9" w14:paraId="1A73C154" w14:textId="77777777">
      <w:pPr>
        <w:spacing w:line="240" w:lineRule="auto"/>
        <w:ind w:left="720" w:hanging="720"/>
        <w:rPr>
          <w:rtl/>
        </w:rPr>
      </w:pPr>
      <w:r>
        <w:rPr>
          <w:rtl/>
        </w:rPr>
        <w:br w:type="page"/>
      </w:r>
    </w:p>
    <w:p w:rsidR="00E92F67" w:rsidRPr="00DC3374" w:rsidP="00E81188" w14:paraId="5C9C28C4" w14:textId="77777777">
      <w:pPr>
        <w:spacing w:line="269" w:lineRule="auto"/>
        <w:rPr>
          <w:rtl/>
        </w:rPr>
      </w:pPr>
    </w:p>
    <w:p w:rsidR="00E92F67" w:rsidRPr="00DC3374" w:rsidP="00E81188" w14:paraId="6D84ED59" w14:textId="188DFDE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F925131" w14:textId="77777777">
      <w:pPr>
        <w:spacing w:line="269" w:lineRule="auto"/>
        <w:jc w:val="center"/>
        <w:rPr>
          <w:b/>
          <w:bCs/>
          <w:rtl/>
        </w:rPr>
      </w:pPr>
      <w:r w:rsidRPr="00DC3374">
        <w:rPr>
          <w:rFonts w:hint="cs"/>
          <w:b/>
          <w:bCs/>
          <w:rtl/>
        </w:rPr>
        <w:t>תרשים 43</w:t>
      </w:r>
      <w:r w:rsidRPr="00DC3374">
        <w:rPr>
          <w:b/>
          <w:bCs/>
          <w:rtl/>
        </w:rPr>
        <w:t xml:space="preserve">: </w:t>
      </w:r>
      <w:r w:rsidRPr="00DC3374">
        <w:rPr>
          <w:rFonts w:hint="eastAsia"/>
          <w:b/>
          <w:bCs/>
          <w:rtl/>
        </w:rPr>
        <w:t>שביעות</w:t>
      </w:r>
      <w:r w:rsidRPr="00DC3374">
        <w:rPr>
          <w:b/>
          <w:bCs/>
          <w:rtl/>
        </w:rPr>
        <w:t xml:space="preserve"> </w:t>
      </w:r>
      <w:r w:rsidRPr="00DC3374">
        <w:rPr>
          <w:rFonts w:hint="eastAsia"/>
          <w:b/>
          <w:bCs/>
          <w:rtl/>
        </w:rPr>
        <w:t>רצון</w:t>
      </w:r>
      <w:r w:rsidRPr="00DC3374">
        <w:rPr>
          <w:b/>
          <w:bCs/>
          <w:rtl/>
        </w:rPr>
        <w:t xml:space="preserve"> </w:t>
      </w:r>
      <w:r w:rsidRPr="00DC3374">
        <w:rPr>
          <w:rFonts w:hint="eastAsia"/>
          <w:b/>
          <w:bCs/>
          <w:rtl/>
        </w:rPr>
        <w:t>הציבור</w:t>
      </w:r>
      <w:r w:rsidRPr="00DC3374">
        <w:rPr>
          <w:b/>
          <w:bCs/>
          <w:rtl/>
        </w:rPr>
        <w:t xml:space="preserve"> </w:t>
      </w:r>
      <w:r w:rsidRPr="00DC3374">
        <w:rPr>
          <w:rFonts w:hint="eastAsia"/>
          <w:b/>
          <w:bCs/>
          <w:rtl/>
        </w:rPr>
        <w:t>ממקורות</w:t>
      </w:r>
      <w:r w:rsidRPr="00DC3374">
        <w:rPr>
          <w:b/>
          <w:bCs/>
          <w:rtl/>
        </w:rPr>
        <w:t xml:space="preserve"> </w:t>
      </w:r>
      <w:r w:rsidRPr="00DC3374">
        <w:rPr>
          <w:rFonts w:hint="eastAsia"/>
          <w:b/>
          <w:bCs/>
          <w:rtl/>
        </w:rPr>
        <w:t>המידע</w:t>
      </w:r>
    </w:p>
    <w:p w:rsidR="00E92F67" w:rsidRPr="00DC3374" w:rsidP="00E81188" w14:paraId="4B4180F8" w14:textId="77777777">
      <w:pPr>
        <w:spacing w:line="269" w:lineRule="auto"/>
        <w:rPr>
          <w:szCs w:val="20"/>
          <w:rtl/>
        </w:rPr>
      </w:pPr>
      <w:r w:rsidRPr="00DC3374">
        <w:rPr>
          <w:noProof/>
        </w:rPr>
        <w:drawing>
          <wp:inline distT="0" distB="0" distL="0" distR="0">
            <wp:extent cx="5148000" cy="4770544"/>
            <wp:effectExtent l="0" t="0" r="0" b="0"/>
            <wp:docPr id="5" name="תמונה 5" descr="C:\Users\haim_sha\AppData\Local\Microsoft\Windows\INetCache\Content.Word\MR-Tarshim-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47272" name="Picture 5" descr="C:\Users\haim_sha\AppData\Local\Microsoft\Windows\INetCache\Content.Word\MR-Tarshim-43.jpg"/>
                    <pic:cNvPicPr>
                      <a:picLocks noChangeAspect="1" noChangeArrowheads="1"/>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48000" cy="4770544"/>
                    </a:xfrm>
                    <a:prstGeom prst="rect">
                      <a:avLst/>
                    </a:prstGeom>
                    <a:noFill/>
                    <a:ln>
                      <a:noFill/>
                    </a:ln>
                  </pic:spPr>
                </pic:pic>
              </a:graphicData>
            </a:graphic>
          </wp:inline>
        </w:drawing>
      </w:r>
    </w:p>
    <w:p w:rsidR="00E92F67" w:rsidRPr="00DC3374" w:rsidP="00E81188" w14:paraId="2AFD7E77" w14:textId="77777777">
      <w:pPr>
        <w:spacing w:line="269" w:lineRule="auto"/>
        <w:rPr>
          <w:szCs w:val="20"/>
          <w:rtl/>
        </w:rPr>
      </w:pPr>
      <w:r w:rsidRPr="00DC3374">
        <w:rPr>
          <w:rFonts w:hint="cs"/>
          <w:szCs w:val="20"/>
          <w:rtl/>
        </w:rPr>
        <w:t>על פי נתוני הסקר מדצמבר 2020, ב</w:t>
      </w:r>
      <w:r w:rsidRPr="00DC3374">
        <w:rPr>
          <w:szCs w:val="20"/>
          <w:rtl/>
        </w:rPr>
        <w:t>עיבוד משרד מבקר המדינה.</w:t>
      </w:r>
    </w:p>
    <w:p w:rsidR="00E92F67" w:rsidRPr="00DC3374" w:rsidP="00E81188" w14:paraId="59E962F0" w14:textId="29A266C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9856481" w14:textId="77777777">
      <w:pPr>
        <w:spacing w:line="269" w:lineRule="auto"/>
        <w:rPr>
          <w:b/>
          <w:bCs/>
          <w:rtl/>
        </w:rPr>
      </w:pPr>
      <w:r w:rsidRPr="00DC3374">
        <w:rPr>
          <w:b/>
          <w:bCs/>
          <w:rtl/>
        </w:rPr>
        <w:t>מהתרשים עולה כי רוב הפונים למוקדים הטלפוניים של משרד הבריאות ופקע"ר דיווחו על מענה מספק</w:t>
      </w:r>
      <w:r w:rsidRPr="00DC3374">
        <w:rPr>
          <w:rFonts w:hint="cs"/>
          <w:b/>
          <w:bCs/>
          <w:rtl/>
        </w:rPr>
        <w:t xml:space="preserve">; מידת שביעות הרצון ממקורות המידע של פקע"ר הייתה </w:t>
      </w:r>
      <w:r w:rsidRPr="00DC3374">
        <w:rPr>
          <w:rFonts w:hint="eastAsia"/>
          <w:b/>
          <w:bCs/>
          <w:rtl/>
        </w:rPr>
        <w:t>גבוהה</w:t>
      </w:r>
      <w:r w:rsidRPr="00DC3374">
        <w:rPr>
          <w:rFonts w:hint="cs"/>
          <w:b/>
          <w:bCs/>
          <w:rtl/>
        </w:rPr>
        <w:t xml:space="preserve"> ממידת שביעות הרצון ממקורות המידע של משרד הבריאות (54% מקרב החברה היהודית הכללית סברו שהמענה של משרד הבריאות היה מספק, ו-73% סברו שהמענה של פקע"ר היה מספק)</w:t>
      </w:r>
      <w:r w:rsidRPr="00DC3374">
        <w:rPr>
          <w:b/>
          <w:bCs/>
          <w:rtl/>
        </w:rPr>
        <w:t xml:space="preserve">. </w:t>
      </w:r>
      <w:r w:rsidRPr="00DC3374">
        <w:rPr>
          <w:rFonts w:hint="cs"/>
          <w:b/>
          <w:bCs/>
          <w:rtl/>
        </w:rPr>
        <w:t xml:space="preserve">קרוב ל-30% מהפונים למקורות המידע של משרד הבריאות ציינו שהמענה היה לא מספק, וכך גם ציינו קרוב לרבע מהפונים למקורות המידע של פקע"ר. </w:t>
      </w:r>
      <w:r w:rsidRPr="00DC3374">
        <w:rPr>
          <w:b/>
          <w:bCs/>
          <w:rtl/>
        </w:rPr>
        <w:t>כ-10% מהפונים למוקד משרד הבריאות מ</w:t>
      </w:r>
      <w:r w:rsidRPr="00DC3374">
        <w:rPr>
          <w:rFonts w:hint="cs"/>
          <w:b/>
          <w:bCs/>
          <w:rtl/>
        </w:rPr>
        <w:t xml:space="preserve">קרב </w:t>
      </w:r>
      <w:r w:rsidRPr="00DC3374">
        <w:rPr>
          <w:b/>
          <w:bCs/>
          <w:rtl/>
        </w:rPr>
        <w:t>החברה היהודית הכללית ומהחברה הערבית ציינו כי פנייתם לא נענתה.</w:t>
      </w:r>
      <w:r w:rsidRPr="00DC3374">
        <w:rPr>
          <w:rFonts w:hint="cs"/>
          <w:b/>
          <w:bCs/>
          <w:rtl/>
        </w:rPr>
        <w:t xml:space="preserve"> 7% מהפונים למוקד זה מקרב החברה היהודית הכללית הופנו למוקד אחר וכך גם 3% מהפונים למוקד פקע"ר. </w:t>
      </w:r>
    </w:p>
    <w:p w:rsidR="00E92F67" w:rsidRPr="00DC3374" w:rsidP="00E81188" w14:paraId="3D6DA877" w14:textId="089E43E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2E4C3E2" w14:textId="77777777">
      <w:pPr>
        <w:spacing w:line="269" w:lineRule="auto"/>
        <w:rPr>
          <w:rtl/>
        </w:rPr>
      </w:pPr>
      <w:r w:rsidRPr="00DC3374">
        <w:rPr>
          <w:rFonts w:hint="cs"/>
          <w:rtl/>
        </w:rPr>
        <w:t>משרד הבריאות ביצע סקר שביעות רצון מהמוקד הטלפוני של המשרד בחודשים מאי עד אוקטובר 2020. הסקר העלה כי בסולם של 1 - 5, שביעות הרצון מהמוקד באופן כללי (כל השלוחות) הייתה 4.63, שביעות הרצון מהמוקד בנושא הקורונה הייתה 4 ושביעות הרצון מהמוקד בנושא ההשגות על כניסה לבידוד הייתה 3.96.</w:t>
      </w:r>
    </w:p>
    <w:p w:rsidR="00E92F67" w:rsidRPr="00DC3374" w:rsidP="00E81188" w14:paraId="0D3B8919" w14:textId="77777777">
      <w:pPr>
        <w:spacing w:line="269" w:lineRule="auto"/>
        <w:rPr>
          <w:b/>
          <w:bCs/>
          <w:rtl/>
        </w:rPr>
      </w:pPr>
    </w:p>
    <w:p w:rsidR="00E92F67" w:rsidRPr="00DC3374" w:rsidP="00E81188" w14:paraId="40074F4F" w14:textId="77777777">
      <w:pPr>
        <w:pStyle w:val="Heading5"/>
        <w:spacing w:line="269" w:lineRule="auto"/>
        <w:rPr>
          <w:rtl/>
        </w:rPr>
      </w:pPr>
      <w:r w:rsidRPr="00DC3374">
        <w:rPr>
          <w:rFonts w:hint="cs"/>
          <w:rtl/>
        </w:rPr>
        <w:t>תוכן השיחות למוקדים הטלפוניים</w:t>
      </w:r>
    </w:p>
    <w:p w:rsidR="00E92F67" w:rsidRPr="00DC3374" w:rsidP="00E81188" w14:paraId="737A719F" w14:textId="1A6A491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B65DE7E" w14:textId="77777777">
      <w:pPr>
        <w:spacing w:line="269" w:lineRule="auto"/>
        <w:rPr>
          <w:rFonts w:asciiTheme="minorHAnsi" w:hAnsiTheme="minorHAnsi"/>
          <w:sz w:val="22"/>
          <w:rtl/>
        </w:rPr>
      </w:pPr>
      <w:r w:rsidRPr="00DC3374">
        <w:rPr>
          <w:rFonts w:asciiTheme="minorHAnsi" w:hAnsiTheme="minorHAnsi" w:hint="cs"/>
          <w:sz w:val="22"/>
          <w:rtl/>
        </w:rPr>
        <w:t>משרד מבקר המדינה ביקש לבדוק את פילוח השיחות שנענו במוקדים הטלפוניים של משרד הבריאות ושל פקע"ר בתחום הקורונה לפי נושאי השיחות.</w:t>
      </w:r>
    </w:p>
    <w:p w:rsidR="00E92F67" w:rsidRPr="00DC3374" w:rsidP="00E81188" w14:paraId="4E1559D2" w14:textId="3AC6E866">
      <w:pPr>
        <w:pStyle w:val="a"/>
        <w:spacing w:line="269" w:lineRule="auto"/>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E92F67" w:rsidRPr="00DC3374" w:rsidP="00E81188" w14:paraId="2423A329" w14:textId="77777777">
      <w:pPr>
        <w:spacing w:line="269" w:lineRule="auto"/>
        <w:rPr>
          <w:rFonts w:asciiTheme="minorHAnsi" w:hAnsiTheme="minorHAnsi"/>
          <w:sz w:val="22"/>
          <w:rtl/>
        </w:rPr>
      </w:pPr>
      <w:r w:rsidRPr="00DC3374">
        <w:rPr>
          <w:rFonts w:asciiTheme="minorHAnsi" w:hAnsiTheme="minorHAnsi" w:hint="eastAsia"/>
          <w:sz w:val="22"/>
          <w:rtl/>
        </w:rPr>
        <w:t>בתרשים</w:t>
      </w:r>
      <w:r w:rsidRPr="00DC3374">
        <w:rPr>
          <w:rFonts w:asciiTheme="minorHAnsi" w:hAnsiTheme="minorHAnsi"/>
          <w:sz w:val="22"/>
          <w:rtl/>
        </w:rPr>
        <w:t xml:space="preserve"> הבא מוצגים נתוני משרד הבריאות </w:t>
      </w:r>
      <w:r w:rsidRPr="00DC3374">
        <w:rPr>
          <w:rFonts w:asciiTheme="minorHAnsi" w:hAnsiTheme="minorHAnsi" w:hint="eastAsia"/>
          <w:sz w:val="22"/>
          <w:rtl/>
        </w:rPr>
        <w:t>על</w:t>
      </w:r>
      <w:r w:rsidRPr="00DC3374">
        <w:rPr>
          <w:rFonts w:asciiTheme="minorHAnsi" w:hAnsiTheme="minorHAnsi"/>
          <w:sz w:val="22"/>
          <w:rtl/>
        </w:rPr>
        <w:t xml:space="preserve"> </w:t>
      </w:r>
      <w:r w:rsidRPr="00DC3374">
        <w:rPr>
          <w:rFonts w:asciiTheme="minorHAnsi" w:hAnsiTheme="minorHAnsi" w:hint="eastAsia"/>
          <w:sz w:val="22"/>
          <w:rtl/>
        </w:rPr>
        <w:t>מספר</w:t>
      </w:r>
      <w:r w:rsidRPr="00DC3374">
        <w:rPr>
          <w:rFonts w:asciiTheme="minorHAnsi" w:hAnsiTheme="minorHAnsi"/>
          <w:sz w:val="22"/>
          <w:rtl/>
        </w:rPr>
        <w:t xml:space="preserve"> </w:t>
      </w:r>
      <w:r w:rsidRPr="00DC3374">
        <w:rPr>
          <w:rFonts w:asciiTheme="minorHAnsi" w:hAnsiTheme="minorHAnsi" w:hint="eastAsia"/>
          <w:sz w:val="22"/>
          <w:rtl/>
        </w:rPr>
        <w:t>השיחות</w:t>
      </w:r>
      <w:r w:rsidRPr="00DC3374">
        <w:rPr>
          <w:rFonts w:asciiTheme="minorHAnsi" w:hAnsiTheme="minorHAnsi"/>
          <w:sz w:val="22"/>
          <w:rtl/>
        </w:rPr>
        <w:t xml:space="preserve"> </w:t>
      </w:r>
      <w:r w:rsidRPr="00DC3374">
        <w:rPr>
          <w:rFonts w:asciiTheme="minorHAnsi" w:hAnsiTheme="minorHAnsi" w:hint="eastAsia"/>
          <w:sz w:val="22"/>
          <w:rtl/>
        </w:rPr>
        <w:t>שנענו</w:t>
      </w:r>
      <w:r w:rsidRPr="00DC3374">
        <w:rPr>
          <w:rFonts w:asciiTheme="minorHAnsi" w:hAnsiTheme="minorHAnsi"/>
          <w:sz w:val="22"/>
          <w:rtl/>
        </w:rPr>
        <w:t xml:space="preserve"> - כ-1.8 מיליון </w:t>
      </w:r>
      <w:r w:rsidRPr="00DC3374">
        <w:rPr>
          <w:rFonts w:asciiTheme="minorHAnsi" w:hAnsiTheme="minorHAnsi" w:hint="eastAsia"/>
          <w:sz w:val="22"/>
          <w:rtl/>
        </w:rPr>
        <w:t>שיחות</w:t>
      </w:r>
      <w:r w:rsidRPr="00DC3374">
        <w:rPr>
          <w:rFonts w:asciiTheme="minorHAnsi" w:hAnsiTheme="minorHAnsi"/>
          <w:sz w:val="22"/>
          <w:rtl/>
        </w:rPr>
        <w:t xml:space="preserve"> במהלך שמ</w:t>
      </w:r>
      <w:r w:rsidRPr="00DC3374">
        <w:rPr>
          <w:rFonts w:asciiTheme="minorHAnsi" w:hAnsiTheme="minorHAnsi" w:hint="eastAsia"/>
          <w:sz w:val="22"/>
          <w:rtl/>
        </w:rPr>
        <w:t>ונה</w:t>
      </w:r>
      <w:r w:rsidRPr="00DC3374">
        <w:rPr>
          <w:rFonts w:asciiTheme="minorHAnsi" w:hAnsiTheme="minorHAnsi"/>
          <w:sz w:val="22"/>
          <w:rtl/>
        </w:rPr>
        <w:t xml:space="preserve"> </w:t>
      </w:r>
      <w:r w:rsidRPr="00DC3374">
        <w:rPr>
          <w:rFonts w:asciiTheme="minorHAnsi" w:hAnsiTheme="minorHAnsi" w:hint="eastAsia"/>
          <w:sz w:val="22"/>
          <w:rtl/>
        </w:rPr>
        <w:t>חודשים</w:t>
      </w:r>
      <w:r w:rsidRPr="00DC3374">
        <w:rPr>
          <w:rFonts w:asciiTheme="minorHAnsi" w:hAnsiTheme="minorHAnsi" w:hint="cs"/>
          <w:sz w:val="22"/>
          <w:rtl/>
        </w:rPr>
        <w:t xml:space="preserve"> </w:t>
      </w:r>
      <w:r w:rsidRPr="00DC3374">
        <w:rPr>
          <w:rFonts w:hint="cs"/>
          <w:rtl/>
        </w:rPr>
        <w:t>בפילוח לפי נושאי השיחות, ועל שיעורן של השיחות שנענו בכל נושא מכלל השיחות שנענו, מתחילת מר</w:t>
      </w:r>
      <w:r w:rsidRPr="00DC3374">
        <w:rPr>
          <w:rFonts w:asciiTheme="minorHAnsi" w:hAnsiTheme="minorHAnsi" w:hint="eastAsia"/>
          <w:sz w:val="22"/>
          <w:rtl/>
        </w:rPr>
        <w:t>ץ</w:t>
      </w:r>
      <w:r w:rsidRPr="00DC3374">
        <w:rPr>
          <w:rFonts w:asciiTheme="minorHAnsi" w:hAnsiTheme="minorHAnsi"/>
          <w:sz w:val="22"/>
          <w:rtl/>
        </w:rPr>
        <w:t xml:space="preserve"> </w:t>
      </w:r>
      <w:r w:rsidRPr="00DC3374">
        <w:rPr>
          <w:rFonts w:asciiTheme="minorHAnsi" w:hAnsiTheme="minorHAnsi" w:hint="eastAsia"/>
          <w:sz w:val="22"/>
          <w:rtl/>
        </w:rPr>
        <w:t>עד</w:t>
      </w:r>
      <w:r w:rsidRPr="00DC3374">
        <w:rPr>
          <w:rFonts w:asciiTheme="minorHAnsi" w:hAnsiTheme="minorHAnsi"/>
          <w:sz w:val="22"/>
          <w:rtl/>
        </w:rPr>
        <w:t xml:space="preserve"> </w:t>
      </w:r>
      <w:r w:rsidRPr="00DC3374">
        <w:rPr>
          <w:rFonts w:asciiTheme="minorHAnsi" w:hAnsiTheme="minorHAnsi" w:hint="eastAsia"/>
          <w:sz w:val="22"/>
          <w:rtl/>
        </w:rPr>
        <w:t>סוף</w:t>
      </w:r>
      <w:r w:rsidRPr="00DC3374">
        <w:rPr>
          <w:rFonts w:asciiTheme="minorHAnsi" w:hAnsiTheme="minorHAnsi"/>
          <w:sz w:val="22"/>
          <w:rtl/>
        </w:rPr>
        <w:t xml:space="preserve"> </w:t>
      </w:r>
      <w:r w:rsidRPr="00DC3374">
        <w:rPr>
          <w:rFonts w:asciiTheme="minorHAnsi" w:hAnsiTheme="minorHAnsi" w:hint="eastAsia"/>
          <w:sz w:val="22"/>
          <w:rtl/>
        </w:rPr>
        <w:t>אוקטובר</w:t>
      </w:r>
      <w:r w:rsidRPr="00DC3374">
        <w:rPr>
          <w:rFonts w:asciiTheme="minorHAnsi" w:hAnsiTheme="minorHAnsi"/>
          <w:sz w:val="22"/>
          <w:rtl/>
        </w:rPr>
        <w:t xml:space="preserve"> 2020.</w:t>
      </w:r>
    </w:p>
    <w:p w:rsidR="00E92F67" w:rsidRPr="00DC3374" w:rsidP="00E81188" w14:paraId="06371585" w14:textId="3C96CD1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A413695" w14:textId="77777777">
      <w:pPr>
        <w:spacing w:line="269" w:lineRule="auto"/>
        <w:jc w:val="center"/>
        <w:rPr>
          <w:rFonts w:asciiTheme="minorHAnsi" w:hAnsiTheme="minorHAnsi"/>
          <w:b/>
          <w:bCs/>
          <w:sz w:val="22"/>
          <w:rtl/>
        </w:rPr>
      </w:pPr>
      <w:r w:rsidRPr="00DC3374">
        <w:rPr>
          <w:rFonts w:asciiTheme="minorHAnsi" w:hAnsiTheme="minorHAnsi" w:hint="eastAsia"/>
          <w:b/>
          <w:bCs/>
          <w:sz w:val="22"/>
          <w:rtl/>
        </w:rPr>
        <w:t>תרשים</w:t>
      </w:r>
      <w:r w:rsidRPr="00DC3374">
        <w:rPr>
          <w:rFonts w:asciiTheme="minorHAnsi" w:hAnsiTheme="minorHAnsi"/>
          <w:b/>
          <w:bCs/>
          <w:sz w:val="22"/>
          <w:rtl/>
        </w:rPr>
        <w:t xml:space="preserve"> </w:t>
      </w:r>
      <w:r w:rsidRPr="00DC3374">
        <w:rPr>
          <w:rFonts w:asciiTheme="minorHAnsi" w:hAnsiTheme="minorHAnsi" w:hint="cs"/>
          <w:b/>
          <w:bCs/>
          <w:sz w:val="22"/>
          <w:rtl/>
        </w:rPr>
        <w:t>44</w:t>
      </w:r>
      <w:r w:rsidRPr="00DC3374">
        <w:rPr>
          <w:rFonts w:asciiTheme="minorHAnsi" w:hAnsiTheme="minorHAnsi"/>
          <w:b/>
          <w:bCs/>
          <w:sz w:val="22"/>
          <w:rtl/>
        </w:rPr>
        <w:t xml:space="preserve">: </w:t>
      </w:r>
      <w:r w:rsidRPr="00DC3374">
        <w:rPr>
          <w:rFonts w:asciiTheme="minorHAnsi" w:hAnsiTheme="minorHAnsi" w:hint="cs"/>
          <w:b/>
          <w:bCs/>
          <w:sz w:val="22"/>
          <w:rtl/>
        </w:rPr>
        <w:t>ה</w:t>
      </w:r>
      <w:r w:rsidRPr="00DC3374">
        <w:rPr>
          <w:rFonts w:asciiTheme="minorHAnsi" w:hAnsiTheme="minorHAnsi"/>
          <w:b/>
          <w:bCs/>
          <w:sz w:val="22"/>
          <w:rtl/>
        </w:rPr>
        <w:t>שיחות שנענו במוקד משרד הבריאות לפי נושאים</w:t>
      </w:r>
      <w:r w:rsidRPr="00DC3374">
        <w:rPr>
          <w:rFonts w:asciiTheme="minorHAnsi" w:hAnsiTheme="minorHAnsi" w:hint="cs"/>
          <w:b/>
          <w:bCs/>
          <w:sz w:val="22"/>
          <w:rtl/>
        </w:rPr>
        <w:t xml:space="preserve"> (באלפים, מעוגל)</w:t>
      </w:r>
      <w:r w:rsidRPr="00DC3374">
        <w:rPr>
          <w:rFonts w:asciiTheme="minorHAnsi" w:hAnsiTheme="minorHAnsi"/>
          <w:b/>
          <w:bCs/>
          <w:sz w:val="22"/>
          <w:rtl/>
        </w:rPr>
        <w:t xml:space="preserve">, </w:t>
      </w:r>
    </w:p>
    <w:p w:rsidR="00E92F67" w:rsidRPr="00DC3374" w:rsidP="00E81188" w14:paraId="02D7AC81" w14:textId="77777777">
      <w:pPr>
        <w:spacing w:line="269" w:lineRule="auto"/>
        <w:jc w:val="center"/>
        <w:rPr>
          <w:rFonts w:asciiTheme="minorHAnsi" w:hAnsiTheme="minorHAnsi"/>
          <w:b/>
          <w:bCs/>
          <w:sz w:val="22"/>
          <w:rtl/>
        </w:rPr>
      </w:pPr>
      <w:r w:rsidRPr="00DC3374">
        <w:rPr>
          <w:rFonts w:asciiTheme="minorHAnsi" w:hAnsiTheme="minorHAnsi" w:hint="eastAsia"/>
          <w:b/>
          <w:bCs/>
          <w:sz w:val="22"/>
          <w:rtl/>
        </w:rPr>
        <w:t>מרץ</w:t>
      </w:r>
      <w:r w:rsidRPr="00DC3374">
        <w:rPr>
          <w:rFonts w:asciiTheme="minorHAnsi" w:hAnsiTheme="minorHAnsi"/>
          <w:b/>
          <w:bCs/>
          <w:sz w:val="22"/>
          <w:rtl/>
        </w:rPr>
        <w:t>-אוקטובר 2020</w:t>
      </w:r>
    </w:p>
    <w:p w:rsidR="00E92F67" w:rsidRPr="00DC3374" w:rsidP="00E81188" w14:paraId="27017116" w14:textId="77777777">
      <w:pPr>
        <w:spacing w:line="269" w:lineRule="auto"/>
        <w:jc w:val="center"/>
        <w:rPr>
          <w:rFonts w:asciiTheme="minorHAnsi" w:hAnsiTheme="minorHAnsi"/>
          <w:b/>
          <w:bCs/>
          <w:sz w:val="22"/>
          <w:rtl/>
        </w:rPr>
      </w:pPr>
      <w:r w:rsidRPr="00DC3374">
        <w:rPr>
          <w:noProof/>
        </w:rPr>
        <w:drawing>
          <wp:inline distT="0" distB="0" distL="0" distR="0">
            <wp:extent cx="5004000" cy="2966875"/>
            <wp:effectExtent l="0" t="0" r="6350" b="5080"/>
            <wp:docPr id="6" name="תמונה 6" descr="C:\Users\haim_sha\AppData\Local\Microsoft\Windows\INetCache\Content.Word\MR-Tarshim-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18747" name="Picture 7" descr="C:\Users\haim_sha\AppData\Local\Microsoft\Windows\INetCache\Content.Word\MR-Tarshim-44.jpg"/>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04000" cy="2966875"/>
                    </a:xfrm>
                    <a:prstGeom prst="rect">
                      <a:avLst/>
                    </a:prstGeom>
                    <a:noFill/>
                    <a:ln>
                      <a:noFill/>
                    </a:ln>
                  </pic:spPr>
                </pic:pic>
              </a:graphicData>
            </a:graphic>
          </wp:inline>
        </w:drawing>
      </w:r>
    </w:p>
    <w:p w:rsidR="00E92F67" w:rsidRPr="00DC3374" w:rsidP="00E81188" w14:paraId="7D5C1083" w14:textId="77777777">
      <w:pPr>
        <w:spacing w:line="269" w:lineRule="auto"/>
        <w:rPr>
          <w:szCs w:val="20"/>
          <w:rtl/>
        </w:rPr>
      </w:pPr>
      <w:r w:rsidRPr="00DC3374">
        <w:rPr>
          <w:rFonts w:hint="cs"/>
          <w:szCs w:val="20"/>
          <w:rtl/>
        </w:rPr>
        <w:t>על פי נתוני משרד הבריאות, בעיבוד משרד מבקר המדינה.</w:t>
      </w:r>
    </w:p>
    <w:p w:rsidR="00E92F67" w:rsidRPr="00DC3374" w:rsidP="00E81188" w14:paraId="4FF27949" w14:textId="2FF9FC0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423BD90" w14:textId="77777777">
      <w:pPr>
        <w:spacing w:line="269" w:lineRule="auto"/>
        <w:rPr>
          <w:b/>
          <w:bCs/>
          <w:rtl/>
        </w:rPr>
      </w:pPr>
      <w:r w:rsidRPr="00DC3374">
        <w:rPr>
          <w:rFonts w:hint="cs"/>
          <w:b/>
          <w:bCs/>
          <w:rtl/>
        </w:rPr>
        <w:t xml:space="preserve">מהתרשים עולה כי פניות הציבור למוקד הטלפוני של משרד הבריאות עסקו בעיקר בנושאי </w:t>
      </w:r>
      <w:r w:rsidRPr="00DC3374">
        <w:rPr>
          <w:b/>
          <w:bCs/>
          <w:rtl/>
        </w:rPr>
        <w:t>בריאות</w:t>
      </w:r>
      <w:r w:rsidRPr="00DC3374">
        <w:rPr>
          <w:rFonts w:hint="cs"/>
          <w:b/>
          <w:bCs/>
          <w:rtl/>
        </w:rPr>
        <w:t xml:space="preserve">. ברובן - 60% - הפונה ביקש מידע הנוגע לכניסה לבידוד; ב-27% מהן הפונה ביקש מידע כללי על הנגיף; ובמיעוטן - 3% - הפונה ביקש לקבל מידע על ההנחיות לשעת חירום. </w:t>
      </w:r>
    </w:p>
    <w:p w:rsidR="00E92F67" w:rsidRPr="00DC3374" w:rsidP="00E81188" w14:paraId="0A2C0133" w14:textId="7D2EC34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536CABB" w14:textId="77777777">
      <w:pPr>
        <w:spacing w:line="269" w:lineRule="auto"/>
        <w:rPr>
          <w:rFonts w:asciiTheme="minorHAnsi" w:hAnsiTheme="minorHAnsi"/>
          <w:b/>
          <w:bCs/>
          <w:sz w:val="22"/>
          <w:rtl/>
        </w:rPr>
      </w:pPr>
      <w:r w:rsidRPr="00DC3374">
        <w:rPr>
          <w:rFonts w:asciiTheme="minorHAnsi" w:hAnsiTheme="minorHAnsi" w:hint="cs"/>
          <w:b/>
          <w:bCs/>
          <w:sz w:val="22"/>
          <w:rtl/>
        </w:rPr>
        <w:t xml:space="preserve">במהלך הביקורת, בסוף נובמבר 2020, מסר פקע"ר למשרד מבקר המדינה </w:t>
      </w:r>
      <w:r w:rsidRPr="00DC3374">
        <w:rPr>
          <w:rFonts w:asciiTheme="minorHAnsi" w:hAnsiTheme="minorHAnsi" w:hint="eastAsia"/>
          <w:b/>
          <w:bCs/>
          <w:sz w:val="22"/>
          <w:rtl/>
        </w:rPr>
        <w:t>כי</w:t>
      </w:r>
      <w:r w:rsidRPr="00DC3374">
        <w:rPr>
          <w:rFonts w:asciiTheme="minorHAnsi" w:hAnsiTheme="minorHAnsi"/>
          <w:b/>
          <w:bCs/>
          <w:sz w:val="22"/>
          <w:rtl/>
        </w:rPr>
        <w:t xml:space="preserve"> </w:t>
      </w:r>
      <w:r w:rsidRPr="00DC3374">
        <w:rPr>
          <w:rFonts w:asciiTheme="minorHAnsi" w:hAnsiTheme="minorHAnsi" w:hint="eastAsia"/>
          <w:b/>
          <w:bCs/>
          <w:sz w:val="22"/>
          <w:rtl/>
        </w:rPr>
        <w:t>אין</w:t>
      </w:r>
      <w:r w:rsidRPr="00DC3374">
        <w:rPr>
          <w:rFonts w:asciiTheme="minorHAnsi" w:hAnsiTheme="minorHAnsi"/>
          <w:b/>
          <w:bCs/>
          <w:sz w:val="22"/>
          <w:rtl/>
        </w:rPr>
        <w:t xml:space="preserve"> </w:t>
      </w:r>
      <w:r w:rsidRPr="00DC3374">
        <w:rPr>
          <w:rFonts w:asciiTheme="minorHAnsi" w:hAnsiTheme="minorHAnsi" w:hint="cs"/>
          <w:b/>
          <w:bCs/>
          <w:sz w:val="22"/>
          <w:rtl/>
        </w:rPr>
        <w:t xml:space="preserve">בידיו </w:t>
      </w:r>
      <w:r w:rsidRPr="00DC3374">
        <w:rPr>
          <w:rFonts w:asciiTheme="minorHAnsi" w:hAnsiTheme="minorHAnsi" w:hint="eastAsia"/>
          <w:b/>
          <w:bCs/>
          <w:sz w:val="22"/>
          <w:rtl/>
        </w:rPr>
        <w:t>נתונים</w:t>
      </w:r>
      <w:r w:rsidRPr="00DC3374">
        <w:rPr>
          <w:rFonts w:asciiTheme="minorHAnsi" w:hAnsiTheme="minorHAnsi"/>
          <w:b/>
          <w:bCs/>
          <w:sz w:val="22"/>
          <w:rtl/>
        </w:rPr>
        <w:t xml:space="preserve"> </w:t>
      </w:r>
      <w:r w:rsidRPr="00DC3374">
        <w:rPr>
          <w:rFonts w:asciiTheme="minorHAnsi" w:hAnsiTheme="minorHAnsi" w:hint="eastAsia"/>
          <w:b/>
          <w:bCs/>
          <w:sz w:val="22"/>
          <w:rtl/>
        </w:rPr>
        <w:t>על</w:t>
      </w:r>
      <w:r w:rsidRPr="00DC3374">
        <w:rPr>
          <w:rFonts w:asciiTheme="minorHAnsi" w:hAnsiTheme="minorHAnsi" w:hint="cs"/>
          <w:b/>
          <w:bCs/>
          <w:sz w:val="22"/>
          <w:rtl/>
        </w:rPr>
        <w:t xml:space="preserve"> </w:t>
      </w:r>
      <w:r w:rsidRPr="00DC3374">
        <w:rPr>
          <w:rFonts w:asciiTheme="minorHAnsi" w:hAnsiTheme="minorHAnsi" w:hint="eastAsia"/>
          <w:b/>
          <w:bCs/>
          <w:sz w:val="22"/>
          <w:rtl/>
        </w:rPr>
        <w:t>נושא</w:t>
      </w:r>
      <w:r w:rsidRPr="00DC3374">
        <w:rPr>
          <w:rFonts w:asciiTheme="minorHAnsi" w:hAnsiTheme="minorHAnsi" w:hint="cs"/>
          <w:b/>
          <w:bCs/>
          <w:sz w:val="22"/>
          <w:rtl/>
        </w:rPr>
        <w:t>י</w:t>
      </w:r>
      <w:r w:rsidRPr="00DC3374">
        <w:rPr>
          <w:rFonts w:asciiTheme="minorHAnsi" w:hAnsiTheme="minorHAnsi"/>
          <w:b/>
          <w:bCs/>
          <w:sz w:val="22"/>
          <w:rtl/>
        </w:rPr>
        <w:t xml:space="preserve"> </w:t>
      </w:r>
      <w:r w:rsidRPr="00DC3374">
        <w:rPr>
          <w:rFonts w:asciiTheme="minorHAnsi" w:hAnsiTheme="minorHAnsi" w:hint="cs"/>
          <w:b/>
          <w:bCs/>
          <w:sz w:val="22"/>
          <w:rtl/>
        </w:rPr>
        <w:t>הפניות למוקד הטלפוני</w:t>
      </w:r>
      <w:r w:rsidRPr="00DC3374">
        <w:rPr>
          <w:rFonts w:asciiTheme="minorHAnsi" w:hAnsiTheme="minorHAnsi"/>
          <w:b/>
          <w:bCs/>
          <w:sz w:val="22"/>
          <w:rtl/>
        </w:rPr>
        <w:t xml:space="preserve"> (כגון </w:t>
      </w:r>
      <w:r w:rsidRPr="00DC3374">
        <w:rPr>
          <w:rFonts w:asciiTheme="minorHAnsi" w:hAnsiTheme="minorHAnsi" w:hint="cs"/>
          <w:b/>
          <w:bCs/>
          <w:sz w:val="22"/>
          <w:rtl/>
        </w:rPr>
        <w:t>מידע על מלוניות לאנשים שנדרשו להיכנס לבידוד ועל הגבלת התקהלויות</w:t>
      </w:r>
      <w:r w:rsidRPr="00DC3374">
        <w:rPr>
          <w:rFonts w:asciiTheme="minorHAnsi" w:hAnsiTheme="minorHAnsi"/>
          <w:b/>
          <w:bCs/>
          <w:sz w:val="22"/>
          <w:rtl/>
        </w:rPr>
        <w:t>)</w:t>
      </w:r>
      <w:r w:rsidRPr="00DC3374">
        <w:rPr>
          <w:rFonts w:asciiTheme="minorHAnsi" w:hAnsiTheme="minorHAnsi" w:hint="cs"/>
          <w:b/>
          <w:bCs/>
          <w:sz w:val="22"/>
          <w:rtl/>
        </w:rPr>
        <w:t xml:space="preserve"> לתקופה שמתחילת משבר הקורונה עד ספטמבר 2020, </w:t>
      </w:r>
      <w:r w:rsidRPr="00DC3374">
        <w:rPr>
          <w:rFonts w:hint="eastAsia"/>
          <w:b/>
          <w:bCs/>
          <w:rtl/>
        </w:rPr>
        <w:t>דהיינו</w:t>
      </w:r>
      <w:r w:rsidRPr="00DC3374">
        <w:rPr>
          <w:b/>
          <w:bCs/>
          <w:rtl/>
        </w:rPr>
        <w:t xml:space="preserve">, </w:t>
      </w:r>
      <w:r w:rsidRPr="00DC3374">
        <w:rPr>
          <w:rFonts w:hint="eastAsia"/>
          <w:b/>
          <w:bCs/>
          <w:rtl/>
        </w:rPr>
        <w:t>במשך</w:t>
      </w:r>
      <w:r w:rsidRPr="00DC3374">
        <w:rPr>
          <w:b/>
          <w:bCs/>
          <w:rtl/>
        </w:rPr>
        <w:t xml:space="preserve"> </w:t>
      </w:r>
      <w:r w:rsidRPr="00DC3374">
        <w:rPr>
          <w:rFonts w:hint="eastAsia"/>
          <w:b/>
          <w:bCs/>
          <w:rtl/>
        </w:rPr>
        <w:t>כשבעה</w:t>
      </w:r>
      <w:r w:rsidRPr="00DC3374">
        <w:rPr>
          <w:b/>
          <w:bCs/>
          <w:rtl/>
        </w:rPr>
        <w:t xml:space="preserve"> </w:t>
      </w:r>
      <w:r w:rsidRPr="00DC3374">
        <w:rPr>
          <w:rFonts w:hint="eastAsia"/>
          <w:b/>
          <w:bCs/>
          <w:rtl/>
        </w:rPr>
        <w:t>חודשים</w:t>
      </w:r>
      <w:r w:rsidRPr="00DC3374">
        <w:rPr>
          <w:b/>
          <w:bCs/>
          <w:rtl/>
        </w:rPr>
        <w:t xml:space="preserve">, </w:t>
      </w:r>
      <w:r w:rsidRPr="00DC3374">
        <w:rPr>
          <w:rFonts w:hint="eastAsia"/>
          <w:b/>
          <w:bCs/>
          <w:rtl/>
        </w:rPr>
        <w:t>וזאת</w:t>
      </w:r>
      <w:r w:rsidRPr="00DC3374">
        <w:rPr>
          <w:b/>
          <w:bCs/>
          <w:rtl/>
        </w:rPr>
        <w:t xml:space="preserve"> </w:t>
      </w:r>
      <w:r w:rsidRPr="00DC3374">
        <w:rPr>
          <w:rFonts w:hint="eastAsia"/>
          <w:b/>
          <w:bCs/>
          <w:rtl/>
        </w:rPr>
        <w:t>בשל</w:t>
      </w:r>
      <w:r w:rsidRPr="00DC3374">
        <w:rPr>
          <w:b/>
          <w:bCs/>
          <w:rtl/>
        </w:rPr>
        <w:t xml:space="preserve"> </w:t>
      </w:r>
      <w:r w:rsidRPr="00DC3374">
        <w:rPr>
          <w:rFonts w:hint="eastAsia"/>
          <w:b/>
          <w:bCs/>
          <w:rtl/>
        </w:rPr>
        <w:t>תקלה</w:t>
      </w:r>
      <w:r w:rsidRPr="00DC3374">
        <w:rPr>
          <w:b/>
          <w:bCs/>
          <w:rtl/>
        </w:rPr>
        <w:t xml:space="preserve"> </w:t>
      </w:r>
      <w:r w:rsidRPr="00DC3374">
        <w:rPr>
          <w:rFonts w:hint="eastAsia"/>
          <w:b/>
          <w:bCs/>
          <w:rtl/>
        </w:rPr>
        <w:t>שתוקנה</w:t>
      </w:r>
      <w:r w:rsidRPr="00DC3374">
        <w:rPr>
          <w:b/>
          <w:bCs/>
          <w:rtl/>
        </w:rPr>
        <w:t xml:space="preserve"> </w:t>
      </w:r>
      <w:r w:rsidRPr="00DC3374">
        <w:rPr>
          <w:rFonts w:hint="eastAsia"/>
          <w:b/>
          <w:bCs/>
          <w:rtl/>
        </w:rPr>
        <w:t>בספטמבר</w:t>
      </w:r>
      <w:r w:rsidRPr="00DC3374">
        <w:rPr>
          <w:b/>
          <w:bCs/>
          <w:rtl/>
        </w:rPr>
        <w:t xml:space="preserve"> 2020</w:t>
      </w:r>
      <w:r w:rsidRPr="00DC3374">
        <w:rPr>
          <w:rFonts w:asciiTheme="minorHAnsi" w:hAnsiTheme="minorHAnsi" w:hint="cs"/>
          <w:b/>
          <w:bCs/>
          <w:sz w:val="22"/>
          <w:rtl/>
        </w:rPr>
        <w:t xml:space="preserve">. כיוון שכך, בתקופה הזו לא היה בידי פקע"ר כלי ניהולי למעקב, תוך כדי חודשי המשבר, אחר פילוח </w:t>
      </w:r>
      <w:r w:rsidRPr="00DC3374">
        <w:rPr>
          <w:rFonts w:asciiTheme="minorHAnsi" w:hAnsiTheme="minorHAnsi"/>
          <w:b/>
          <w:bCs/>
          <w:sz w:val="22"/>
          <w:rtl/>
        </w:rPr>
        <w:t>הפניות למוקד לפי נושאים</w:t>
      </w:r>
      <w:r w:rsidRPr="00DC3374">
        <w:rPr>
          <w:rFonts w:asciiTheme="minorHAnsi" w:hAnsiTheme="minorHAnsi" w:hint="cs"/>
          <w:b/>
          <w:bCs/>
          <w:sz w:val="22"/>
          <w:rtl/>
        </w:rPr>
        <w:t xml:space="preserve"> </w:t>
      </w:r>
      <w:r w:rsidRPr="00DC3374">
        <w:rPr>
          <w:rFonts w:asciiTheme="minorHAnsi" w:hAnsiTheme="minorHAnsi" w:hint="eastAsia"/>
          <w:b/>
          <w:bCs/>
          <w:sz w:val="22"/>
          <w:rtl/>
        </w:rPr>
        <w:t>כדי</w:t>
      </w:r>
      <w:r w:rsidRPr="00DC3374">
        <w:rPr>
          <w:rFonts w:asciiTheme="minorHAnsi" w:hAnsiTheme="minorHAnsi"/>
          <w:b/>
          <w:bCs/>
          <w:sz w:val="22"/>
          <w:rtl/>
        </w:rPr>
        <w:t xml:space="preserve"> </w:t>
      </w:r>
      <w:r w:rsidRPr="00DC3374">
        <w:rPr>
          <w:rFonts w:asciiTheme="minorHAnsi" w:hAnsiTheme="minorHAnsi" w:hint="eastAsia"/>
          <w:b/>
          <w:bCs/>
          <w:sz w:val="22"/>
          <w:rtl/>
        </w:rPr>
        <w:t>לדעת</w:t>
      </w:r>
      <w:r w:rsidRPr="00DC3374">
        <w:rPr>
          <w:rFonts w:asciiTheme="minorHAnsi" w:hAnsiTheme="minorHAnsi"/>
          <w:b/>
          <w:bCs/>
          <w:sz w:val="22"/>
          <w:rtl/>
        </w:rPr>
        <w:t xml:space="preserve"> </w:t>
      </w:r>
      <w:r w:rsidRPr="00DC3374">
        <w:rPr>
          <w:rFonts w:asciiTheme="minorHAnsi" w:hAnsiTheme="minorHAnsi" w:hint="eastAsia"/>
          <w:b/>
          <w:bCs/>
          <w:sz w:val="22"/>
          <w:rtl/>
        </w:rPr>
        <w:t>בין</w:t>
      </w:r>
      <w:r w:rsidRPr="00DC3374">
        <w:rPr>
          <w:rFonts w:asciiTheme="minorHAnsi" w:hAnsiTheme="minorHAnsi"/>
          <w:b/>
          <w:bCs/>
          <w:sz w:val="22"/>
          <w:rtl/>
        </w:rPr>
        <w:t xml:space="preserve"> </w:t>
      </w:r>
      <w:r w:rsidRPr="00DC3374">
        <w:rPr>
          <w:rFonts w:asciiTheme="minorHAnsi" w:hAnsiTheme="minorHAnsi" w:hint="eastAsia"/>
          <w:b/>
          <w:bCs/>
          <w:sz w:val="22"/>
          <w:rtl/>
        </w:rPr>
        <w:t>השאר</w:t>
      </w:r>
      <w:r w:rsidRPr="00DC3374">
        <w:rPr>
          <w:rFonts w:asciiTheme="minorHAnsi" w:hAnsiTheme="minorHAnsi"/>
          <w:b/>
          <w:bCs/>
          <w:sz w:val="22"/>
          <w:rtl/>
        </w:rPr>
        <w:t xml:space="preserve">, </w:t>
      </w:r>
      <w:r w:rsidRPr="00DC3374">
        <w:rPr>
          <w:rFonts w:asciiTheme="minorHAnsi" w:hAnsiTheme="minorHAnsi" w:hint="eastAsia"/>
          <w:b/>
          <w:bCs/>
          <w:sz w:val="22"/>
          <w:rtl/>
        </w:rPr>
        <w:t>מה</w:t>
      </w:r>
      <w:r w:rsidRPr="00DC3374">
        <w:rPr>
          <w:rFonts w:asciiTheme="minorHAnsi" w:hAnsiTheme="minorHAnsi"/>
          <w:b/>
          <w:bCs/>
          <w:sz w:val="22"/>
          <w:rtl/>
        </w:rPr>
        <w:t xml:space="preserve"> </w:t>
      </w:r>
      <w:r w:rsidRPr="00DC3374">
        <w:rPr>
          <w:rFonts w:asciiTheme="minorHAnsi" w:hAnsiTheme="minorHAnsi" w:hint="eastAsia"/>
          <w:b/>
          <w:bCs/>
          <w:sz w:val="22"/>
          <w:rtl/>
        </w:rPr>
        <w:t>מעסיק</w:t>
      </w:r>
      <w:r w:rsidRPr="00DC3374">
        <w:rPr>
          <w:rFonts w:asciiTheme="minorHAnsi" w:hAnsiTheme="minorHAnsi"/>
          <w:b/>
          <w:bCs/>
          <w:sz w:val="22"/>
          <w:rtl/>
        </w:rPr>
        <w:t xml:space="preserve"> </w:t>
      </w:r>
      <w:r w:rsidRPr="00DC3374">
        <w:rPr>
          <w:rFonts w:asciiTheme="minorHAnsi" w:hAnsiTheme="minorHAnsi" w:hint="eastAsia"/>
          <w:b/>
          <w:bCs/>
          <w:sz w:val="22"/>
          <w:rtl/>
        </w:rPr>
        <w:t>את</w:t>
      </w:r>
      <w:r w:rsidRPr="00DC3374">
        <w:rPr>
          <w:rFonts w:asciiTheme="minorHAnsi" w:hAnsiTheme="minorHAnsi"/>
          <w:b/>
          <w:bCs/>
          <w:sz w:val="22"/>
          <w:rtl/>
        </w:rPr>
        <w:t xml:space="preserve"> </w:t>
      </w:r>
      <w:r w:rsidRPr="00DC3374">
        <w:rPr>
          <w:rFonts w:asciiTheme="minorHAnsi" w:hAnsiTheme="minorHAnsi" w:hint="eastAsia"/>
          <w:b/>
          <w:bCs/>
          <w:sz w:val="22"/>
          <w:rtl/>
        </w:rPr>
        <w:t>הציבור</w:t>
      </w:r>
      <w:r w:rsidRPr="00DC3374">
        <w:rPr>
          <w:rFonts w:asciiTheme="minorHAnsi" w:hAnsiTheme="minorHAnsi" w:hint="cs"/>
          <w:b/>
          <w:bCs/>
          <w:sz w:val="22"/>
          <w:rtl/>
        </w:rPr>
        <w:t>,</w:t>
      </w:r>
      <w:r w:rsidRPr="00DC3374">
        <w:rPr>
          <w:rFonts w:asciiTheme="minorHAnsi" w:hAnsiTheme="minorHAnsi"/>
          <w:b/>
          <w:bCs/>
          <w:sz w:val="22"/>
          <w:rtl/>
        </w:rPr>
        <w:t xml:space="preserve"> </w:t>
      </w:r>
      <w:r w:rsidRPr="00DC3374">
        <w:rPr>
          <w:rFonts w:asciiTheme="minorHAnsi" w:hAnsiTheme="minorHAnsi" w:hint="eastAsia"/>
          <w:b/>
          <w:bCs/>
          <w:sz w:val="22"/>
          <w:rtl/>
        </w:rPr>
        <w:t>אם</w:t>
      </w:r>
      <w:r w:rsidRPr="00DC3374">
        <w:rPr>
          <w:rFonts w:asciiTheme="minorHAnsi" w:hAnsiTheme="minorHAnsi"/>
          <w:b/>
          <w:bCs/>
          <w:sz w:val="22"/>
          <w:rtl/>
        </w:rPr>
        <w:t xml:space="preserve"> </w:t>
      </w:r>
      <w:r w:rsidRPr="00DC3374">
        <w:rPr>
          <w:rFonts w:asciiTheme="minorHAnsi" w:hAnsiTheme="minorHAnsi" w:hint="eastAsia"/>
          <w:b/>
          <w:bCs/>
          <w:sz w:val="22"/>
          <w:rtl/>
        </w:rPr>
        <w:t>יש</w:t>
      </w:r>
      <w:r w:rsidRPr="00DC3374">
        <w:rPr>
          <w:rFonts w:asciiTheme="minorHAnsi" w:hAnsiTheme="minorHAnsi"/>
          <w:b/>
          <w:bCs/>
          <w:sz w:val="22"/>
          <w:rtl/>
        </w:rPr>
        <w:t xml:space="preserve"> </w:t>
      </w:r>
      <w:r w:rsidRPr="00DC3374">
        <w:rPr>
          <w:rFonts w:asciiTheme="minorHAnsi" w:hAnsiTheme="minorHAnsi" w:hint="eastAsia"/>
          <w:b/>
          <w:bCs/>
          <w:sz w:val="22"/>
          <w:rtl/>
        </w:rPr>
        <w:t>נושאים</w:t>
      </w:r>
      <w:r w:rsidRPr="00DC3374">
        <w:rPr>
          <w:rFonts w:asciiTheme="minorHAnsi" w:hAnsiTheme="minorHAnsi"/>
          <w:b/>
          <w:bCs/>
          <w:sz w:val="22"/>
          <w:rtl/>
        </w:rPr>
        <w:t xml:space="preserve"> </w:t>
      </w:r>
      <w:r w:rsidRPr="00DC3374">
        <w:rPr>
          <w:rFonts w:asciiTheme="minorHAnsi" w:hAnsiTheme="minorHAnsi" w:hint="eastAsia"/>
          <w:b/>
          <w:bCs/>
          <w:sz w:val="22"/>
          <w:rtl/>
        </w:rPr>
        <w:t>שטעונים</w:t>
      </w:r>
      <w:r w:rsidRPr="00DC3374">
        <w:rPr>
          <w:rFonts w:asciiTheme="minorHAnsi" w:hAnsiTheme="minorHAnsi"/>
          <w:b/>
          <w:bCs/>
          <w:sz w:val="22"/>
          <w:rtl/>
        </w:rPr>
        <w:t xml:space="preserve"> </w:t>
      </w:r>
      <w:r w:rsidRPr="00DC3374">
        <w:rPr>
          <w:rFonts w:asciiTheme="minorHAnsi" w:hAnsiTheme="minorHAnsi" w:hint="eastAsia"/>
          <w:b/>
          <w:bCs/>
          <w:sz w:val="22"/>
          <w:rtl/>
        </w:rPr>
        <w:t>הבהרה</w:t>
      </w:r>
      <w:r w:rsidRPr="00DC3374">
        <w:rPr>
          <w:rFonts w:asciiTheme="minorHAnsi" w:hAnsiTheme="minorHAnsi"/>
          <w:b/>
          <w:bCs/>
          <w:sz w:val="22"/>
          <w:rtl/>
        </w:rPr>
        <w:t xml:space="preserve"> </w:t>
      </w:r>
      <w:r w:rsidRPr="00DC3374">
        <w:rPr>
          <w:rFonts w:asciiTheme="minorHAnsi" w:hAnsiTheme="minorHAnsi" w:hint="eastAsia"/>
          <w:b/>
          <w:bCs/>
          <w:sz w:val="22"/>
          <w:rtl/>
        </w:rPr>
        <w:t>לכלל</w:t>
      </w:r>
      <w:r w:rsidRPr="00DC3374">
        <w:rPr>
          <w:rFonts w:asciiTheme="minorHAnsi" w:hAnsiTheme="minorHAnsi"/>
          <w:b/>
          <w:bCs/>
          <w:sz w:val="22"/>
          <w:rtl/>
        </w:rPr>
        <w:t xml:space="preserve"> </w:t>
      </w:r>
      <w:r w:rsidRPr="00DC3374">
        <w:rPr>
          <w:rFonts w:asciiTheme="minorHAnsi" w:hAnsiTheme="minorHAnsi" w:hint="eastAsia"/>
          <w:b/>
          <w:bCs/>
          <w:sz w:val="22"/>
          <w:rtl/>
        </w:rPr>
        <w:t>הציבור</w:t>
      </w:r>
      <w:r w:rsidRPr="00DC3374">
        <w:rPr>
          <w:rFonts w:asciiTheme="minorHAnsi" w:hAnsiTheme="minorHAnsi" w:hint="cs"/>
          <w:b/>
          <w:bCs/>
          <w:sz w:val="22"/>
          <w:rtl/>
        </w:rPr>
        <w:t xml:space="preserve"> ומהי האפקטיביות של מוקד פקע"ר. חסרונו של כלי ניהולי כזה עלול לפגוע בטיב השירות שניתן לציבור.</w:t>
      </w:r>
    </w:p>
    <w:p w:rsidR="00E92F67" w:rsidRPr="00DC3374" w:rsidP="00E81188" w14:paraId="320C5388" w14:textId="47EC47D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DED5BF4" w14:textId="77777777">
      <w:pPr>
        <w:spacing w:line="269" w:lineRule="auto"/>
        <w:rPr>
          <w:b/>
          <w:bCs/>
          <w:rtl/>
        </w:rPr>
      </w:pPr>
      <w:r w:rsidRPr="00DC3374">
        <w:rPr>
          <w:rFonts w:hint="cs"/>
          <w:b/>
          <w:bCs/>
          <w:rtl/>
        </w:rPr>
        <w:t xml:space="preserve">מומלץ כי </w:t>
      </w:r>
      <w:r w:rsidRPr="00DC3374">
        <w:rPr>
          <w:b/>
          <w:bCs/>
          <w:rtl/>
        </w:rPr>
        <w:t xml:space="preserve">פקע"ר </w:t>
      </w:r>
      <w:r w:rsidRPr="00DC3374">
        <w:rPr>
          <w:rFonts w:hint="cs"/>
          <w:b/>
          <w:bCs/>
          <w:rtl/>
        </w:rPr>
        <w:t>י</w:t>
      </w:r>
      <w:r w:rsidRPr="00DC3374">
        <w:rPr>
          <w:b/>
          <w:bCs/>
          <w:rtl/>
        </w:rPr>
        <w:t xml:space="preserve">רכז נתונים מפורטים על המוקד הטלפוני שהוא מפעיל </w:t>
      </w:r>
      <w:r w:rsidRPr="00DC3374">
        <w:rPr>
          <w:rFonts w:hint="eastAsia"/>
          <w:b/>
          <w:bCs/>
          <w:rtl/>
        </w:rPr>
        <w:t>לשימוש</w:t>
      </w:r>
      <w:r w:rsidRPr="00DC3374">
        <w:rPr>
          <w:b/>
          <w:bCs/>
          <w:rtl/>
        </w:rPr>
        <w:t xml:space="preserve"> הציבור בנושאים הנוגעים למשבר הקורונה, באופן </w:t>
      </w:r>
      <w:r w:rsidRPr="00DC3374">
        <w:rPr>
          <w:rFonts w:hint="eastAsia"/>
          <w:b/>
          <w:bCs/>
          <w:rtl/>
        </w:rPr>
        <w:t>שיאפשר</w:t>
      </w:r>
      <w:r w:rsidRPr="00DC3374">
        <w:rPr>
          <w:b/>
          <w:bCs/>
          <w:rtl/>
        </w:rPr>
        <w:t xml:space="preserve"> </w:t>
      </w:r>
      <w:r w:rsidRPr="00DC3374">
        <w:rPr>
          <w:rFonts w:hint="eastAsia"/>
          <w:b/>
          <w:bCs/>
          <w:rtl/>
        </w:rPr>
        <w:t>לו</w:t>
      </w:r>
      <w:r w:rsidRPr="00DC3374">
        <w:rPr>
          <w:b/>
          <w:bCs/>
          <w:rtl/>
        </w:rPr>
        <w:t xml:space="preserve"> </w:t>
      </w:r>
      <w:r w:rsidRPr="00DC3374">
        <w:rPr>
          <w:rFonts w:hint="eastAsia"/>
          <w:b/>
          <w:bCs/>
          <w:rtl/>
        </w:rPr>
        <w:t>לבחון</w:t>
      </w:r>
      <w:r w:rsidRPr="00DC3374">
        <w:rPr>
          <w:b/>
          <w:bCs/>
          <w:rtl/>
        </w:rPr>
        <w:t xml:space="preserve"> </w:t>
      </w:r>
      <w:r w:rsidRPr="00DC3374">
        <w:rPr>
          <w:rFonts w:hint="eastAsia"/>
          <w:b/>
          <w:bCs/>
          <w:rtl/>
        </w:rPr>
        <w:t>את</w:t>
      </w:r>
      <w:r w:rsidRPr="00DC3374">
        <w:rPr>
          <w:b/>
          <w:bCs/>
          <w:rtl/>
        </w:rPr>
        <w:t xml:space="preserve"> </w:t>
      </w:r>
      <w:r w:rsidRPr="00DC3374">
        <w:rPr>
          <w:rFonts w:hint="eastAsia"/>
          <w:b/>
          <w:bCs/>
          <w:rtl/>
        </w:rPr>
        <w:t>איכות</w:t>
      </w:r>
      <w:r w:rsidRPr="00DC3374">
        <w:rPr>
          <w:b/>
          <w:bCs/>
          <w:rtl/>
        </w:rPr>
        <w:t xml:space="preserve"> </w:t>
      </w:r>
      <w:r w:rsidRPr="00DC3374">
        <w:rPr>
          <w:rFonts w:hint="eastAsia"/>
          <w:b/>
          <w:bCs/>
          <w:rtl/>
        </w:rPr>
        <w:t>השירות</w:t>
      </w:r>
      <w:r w:rsidRPr="00DC3374">
        <w:rPr>
          <w:b/>
          <w:bCs/>
          <w:rtl/>
        </w:rPr>
        <w:t xml:space="preserve"> </w:t>
      </w:r>
      <w:r w:rsidRPr="00DC3374">
        <w:rPr>
          <w:rFonts w:hint="eastAsia"/>
          <w:b/>
          <w:bCs/>
          <w:rtl/>
        </w:rPr>
        <w:t>ולאתר</w:t>
      </w:r>
      <w:r w:rsidRPr="00DC3374">
        <w:rPr>
          <w:b/>
          <w:bCs/>
          <w:rtl/>
        </w:rPr>
        <w:t xml:space="preserve"> </w:t>
      </w:r>
      <w:r w:rsidRPr="00DC3374">
        <w:rPr>
          <w:rFonts w:hint="eastAsia"/>
          <w:b/>
          <w:bCs/>
          <w:rtl/>
        </w:rPr>
        <w:t>נקודות</w:t>
      </w:r>
      <w:r w:rsidRPr="00DC3374">
        <w:rPr>
          <w:b/>
          <w:bCs/>
          <w:rtl/>
        </w:rPr>
        <w:t xml:space="preserve"> </w:t>
      </w:r>
      <w:r w:rsidRPr="00DC3374">
        <w:rPr>
          <w:rFonts w:hint="eastAsia"/>
          <w:b/>
          <w:bCs/>
          <w:rtl/>
        </w:rPr>
        <w:t>תורפה</w:t>
      </w:r>
      <w:r w:rsidRPr="00DC3374">
        <w:rPr>
          <w:b/>
          <w:bCs/>
          <w:rtl/>
        </w:rPr>
        <w:t xml:space="preserve"> </w:t>
      </w:r>
      <w:r w:rsidRPr="00DC3374">
        <w:rPr>
          <w:rFonts w:hint="eastAsia"/>
          <w:b/>
          <w:bCs/>
          <w:rtl/>
        </w:rPr>
        <w:t>אשר</w:t>
      </w:r>
      <w:r w:rsidRPr="00DC3374">
        <w:rPr>
          <w:b/>
          <w:bCs/>
          <w:rtl/>
        </w:rPr>
        <w:t xml:space="preserve"> </w:t>
      </w:r>
      <w:r w:rsidRPr="00DC3374">
        <w:rPr>
          <w:rFonts w:hint="eastAsia"/>
          <w:b/>
          <w:bCs/>
          <w:rtl/>
        </w:rPr>
        <w:t>דורשות</w:t>
      </w:r>
      <w:r w:rsidRPr="00DC3374">
        <w:rPr>
          <w:b/>
          <w:bCs/>
          <w:rtl/>
        </w:rPr>
        <w:t xml:space="preserve"> </w:t>
      </w:r>
      <w:r w:rsidRPr="00DC3374">
        <w:rPr>
          <w:rFonts w:hint="eastAsia"/>
          <w:b/>
          <w:bCs/>
          <w:rtl/>
        </w:rPr>
        <w:t>שיפור</w:t>
      </w:r>
      <w:r w:rsidRPr="00DC3374">
        <w:rPr>
          <w:b/>
          <w:bCs/>
          <w:rtl/>
        </w:rPr>
        <w:t>.</w:t>
      </w:r>
    </w:p>
    <w:p w:rsidR="00E92F67" w:rsidRPr="00DC3374" w:rsidP="00E81188" w14:paraId="35ED676C" w14:textId="7B2425B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FA57485" w14:textId="77777777">
      <w:pPr>
        <w:spacing w:line="269" w:lineRule="auto"/>
        <w:rPr>
          <w:rtl/>
        </w:rPr>
      </w:pPr>
      <w:r w:rsidRPr="00DC3374">
        <w:rPr>
          <w:rFonts w:hint="eastAsia"/>
          <w:rtl/>
        </w:rPr>
        <w:t>פקע</w:t>
      </w:r>
      <w:r w:rsidRPr="00DC3374">
        <w:rPr>
          <w:rtl/>
        </w:rPr>
        <w:t xml:space="preserve">"ר מסר בתשובתו למשרד מבקר המדינה כי המערכות הקיימות </w:t>
      </w:r>
      <w:r w:rsidRPr="00DC3374">
        <w:rPr>
          <w:rFonts w:hint="cs"/>
          <w:rtl/>
        </w:rPr>
        <w:t>כיום</w:t>
      </w:r>
      <w:r w:rsidRPr="00DC3374">
        <w:rPr>
          <w:rtl/>
        </w:rPr>
        <w:t xml:space="preserve"> במוקד פקע"ר </w:t>
      </w:r>
      <w:r w:rsidRPr="00DC3374">
        <w:rPr>
          <w:rFonts w:hint="cs"/>
          <w:rtl/>
        </w:rPr>
        <w:t>כוללות</w:t>
      </w:r>
      <w:r w:rsidRPr="00DC3374">
        <w:rPr>
          <w:rtl/>
        </w:rPr>
        <w:t xml:space="preserve">: הקלטת שיחות לצורכי בקרה ואיכות השירות, מערכת זיהוי קולי, </w:t>
      </w:r>
      <w:r w:rsidRPr="00DC3374">
        <w:rPr>
          <w:rFonts w:hint="cs"/>
          <w:rtl/>
        </w:rPr>
        <w:t xml:space="preserve">מערכת לניהול תורים בשפות שונות </w:t>
      </w:r>
      <w:r w:rsidRPr="00DC3374">
        <w:rPr>
          <w:rtl/>
        </w:rPr>
        <w:t xml:space="preserve">ומערכת </w:t>
      </w:r>
      <w:r w:rsidRPr="00DC3374">
        <w:t>BI</w:t>
      </w:r>
      <w:r w:rsidRPr="00DC3374">
        <w:rPr>
          <w:rtl/>
        </w:rPr>
        <w:t xml:space="preserve"> לניתוח פניות</w:t>
      </w:r>
      <w:r w:rsidRPr="00DC3374">
        <w:rPr>
          <w:rFonts w:hint="cs"/>
          <w:rtl/>
        </w:rPr>
        <w:t xml:space="preserve"> ו</w:t>
      </w:r>
      <w:r w:rsidRPr="00DC3374">
        <w:rPr>
          <w:rtl/>
        </w:rPr>
        <w:t>מערכת לניתוח פניות לפי נושאים.</w:t>
      </w:r>
      <w:r w:rsidRPr="00DC3374">
        <w:rPr>
          <w:rFonts w:hint="cs"/>
          <w:rtl/>
        </w:rPr>
        <w:t xml:space="preserve"> </w:t>
      </w:r>
    </w:p>
    <w:p w:rsidR="00E92F67" w:rsidRPr="00DC3374" w:rsidP="00E81188" w14:paraId="39740DCD" w14:textId="77777777">
      <w:pPr>
        <w:pStyle w:val="ListParagraph"/>
        <w:spacing w:line="269" w:lineRule="auto"/>
        <w:ind w:left="-1"/>
        <w:rPr>
          <w:rtl/>
        </w:rPr>
      </w:pPr>
    </w:p>
    <w:p w:rsidR="00E92F67" w:rsidRPr="00DC3374" w:rsidP="00E81188" w14:paraId="34423223" w14:textId="77777777">
      <w:pPr>
        <w:pStyle w:val="Heading3"/>
        <w:spacing w:before="0" w:line="269" w:lineRule="auto"/>
        <w:rPr>
          <w:rtl/>
        </w:rPr>
      </w:pPr>
      <w:r w:rsidRPr="00DC3374">
        <w:rPr>
          <w:rFonts w:hint="cs"/>
          <w:rtl/>
        </w:rPr>
        <w:t>חלופת איגום המשאבים</w:t>
      </w:r>
    </w:p>
    <w:p w:rsidR="00E92F67" w:rsidRPr="00DC3374" w:rsidP="00E81188" w14:paraId="6A8A3930" w14:textId="682E364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3C0C36C" w14:textId="77777777">
      <w:pPr>
        <w:spacing w:line="269" w:lineRule="auto"/>
        <w:rPr>
          <w:rtl/>
        </w:rPr>
      </w:pPr>
      <w:r w:rsidRPr="00DC3374">
        <w:rPr>
          <w:rFonts w:hint="cs"/>
          <w:rtl/>
        </w:rPr>
        <w:t xml:space="preserve">שיתוף פעולה בין-משרדי הוא מצב שבו שני משרדי ממשלה או יותר בונים מערכת יחסים על בסיס מטרה משותפת; כל אחד מהם תורם סוג של "נכסים", והמצרף שלהם מאפשר התמודדות </w:t>
      </w:r>
      <w:r w:rsidRPr="00DC3374">
        <w:rPr>
          <w:rFonts w:hint="cs"/>
          <w:rtl/>
        </w:rPr>
        <w:t>אפקטיבית עם סוגיות מורכבות ורב-ממדיות. שיתופי פעולה יוצרים יתרונות לגודל של כל גוף, לערך הציבורי שלהם ולניצול יעיל של המשאבים שלהם.</w:t>
      </w:r>
      <w:r w:rsidRPr="00DC3374">
        <w:rPr>
          <w:rStyle w:val="FootnoteReference1"/>
          <w:rtl/>
        </w:rPr>
        <w:t xml:space="preserve"> </w:t>
      </w:r>
    </w:p>
    <w:p w:rsidR="00E92F67" w:rsidRPr="00DC3374" w:rsidP="00E81188" w14:paraId="2515F009" w14:textId="3ED470E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5A64F07" w14:textId="2F1421D4">
      <w:pPr>
        <w:spacing w:line="269" w:lineRule="auto"/>
        <w:rPr>
          <w:rtl/>
        </w:rPr>
      </w:pPr>
      <w:r w:rsidRPr="00DC3374">
        <w:rPr>
          <w:rFonts w:hint="cs"/>
          <w:b/>
          <w:bCs/>
          <w:rtl/>
        </w:rPr>
        <w:t>מניתוח המידע על הפעלת המוקדים הטלפוניים (ראו תרשימים 4</w:t>
      </w:r>
      <w:r>
        <w:rPr>
          <w:rFonts w:hint="cs"/>
          <w:b/>
          <w:bCs/>
          <w:rtl/>
        </w:rPr>
        <w:t>1</w:t>
      </w:r>
      <w:r w:rsidRPr="00DC3374">
        <w:rPr>
          <w:rFonts w:hint="cs"/>
          <w:b/>
          <w:bCs/>
          <w:rtl/>
        </w:rPr>
        <w:t xml:space="preserve"> ו-4</w:t>
      </w:r>
      <w:r>
        <w:rPr>
          <w:rFonts w:hint="cs"/>
          <w:b/>
          <w:bCs/>
          <w:rtl/>
        </w:rPr>
        <w:t>2</w:t>
      </w:r>
      <w:r w:rsidRPr="00DC3374">
        <w:rPr>
          <w:rFonts w:hint="cs"/>
          <w:b/>
          <w:bCs/>
          <w:rtl/>
        </w:rPr>
        <w:t xml:space="preserve"> לעיל) עולה</w:t>
      </w:r>
      <w:r w:rsidRPr="00DC3374">
        <w:rPr>
          <w:b/>
          <w:bCs/>
          <w:rtl/>
        </w:rPr>
        <w:t xml:space="preserve"> כי איגום משאבי משרד הבריאות ופקע"ר לצורכי הפעלת המוקדים עשוי היה להביא לשיפור בשירות לציבור</w:t>
      </w:r>
      <w:r w:rsidRPr="00DC3374">
        <w:rPr>
          <w:rFonts w:hint="cs"/>
          <w:b/>
          <w:bCs/>
          <w:rtl/>
        </w:rPr>
        <w:t xml:space="preserve"> ולייעול השימוש במשאבי המדינה</w:t>
      </w:r>
      <w:r w:rsidRPr="00DC3374">
        <w:rPr>
          <w:b/>
          <w:bCs/>
          <w:rtl/>
        </w:rPr>
        <w:t>.</w:t>
      </w:r>
      <w:r w:rsidRPr="00DC3374">
        <w:rPr>
          <w:rFonts w:hint="cs"/>
          <w:b/>
          <w:bCs/>
          <w:rtl/>
        </w:rPr>
        <w:t xml:space="preserve"> </w:t>
      </w:r>
      <w:r w:rsidRPr="00DC3374">
        <w:rPr>
          <w:rFonts w:hint="eastAsia"/>
          <w:b/>
          <w:bCs/>
          <w:rtl/>
        </w:rPr>
        <w:t>להלן</w:t>
      </w:r>
      <w:r w:rsidRPr="00DC3374">
        <w:rPr>
          <w:b/>
          <w:bCs/>
          <w:rtl/>
        </w:rPr>
        <w:t xml:space="preserve"> </w:t>
      </w:r>
      <w:r w:rsidRPr="00DC3374">
        <w:rPr>
          <w:rFonts w:hint="eastAsia"/>
          <w:b/>
          <w:bCs/>
          <w:rtl/>
        </w:rPr>
        <w:t>הפירוט</w:t>
      </w:r>
      <w:r w:rsidRPr="00DC3374">
        <w:rPr>
          <w:b/>
          <w:bCs/>
          <w:rtl/>
        </w:rPr>
        <w:t xml:space="preserve">: </w:t>
      </w:r>
    </w:p>
    <w:p w:rsidR="00E92F67" w:rsidRPr="00DC3374" w:rsidP="00E81188" w14:paraId="78D12F28" w14:textId="66D7535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C0B14CF" w14:textId="77777777">
      <w:pPr>
        <w:pStyle w:val="ListParagraph"/>
        <w:numPr>
          <w:ilvl w:val="0"/>
          <w:numId w:val="16"/>
        </w:numPr>
        <w:spacing w:line="269" w:lineRule="auto"/>
        <w:rPr>
          <w:b/>
          <w:bCs/>
        </w:rPr>
      </w:pPr>
      <w:r w:rsidRPr="00DC3374">
        <w:rPr>
          <w:rFonts w:hint="cs"/>
          <w:rtl/>
        </w:rPr>
        <w:t xml:space="preserve">ברוב התקופה שנבדקה (29 מ-33 שבועות, 88%) שיעורי המענה במוקד משרד הבריאות ובמוקד המשטרה היו גבוהים במידה </w:t>
      </w:r>
      <w:r w:rsidRPr="00DC3374">
        <w:rPr>
          <w:rFonts w:hint="eastAsia"/>
          <w:rtl/>
        </w:rPr>
        <w:t>ניכרת</w:t>
      </w:r>
      <w:r w:rsidRPr="00DC3374">
        <w:rPr>
          <w:rFonts w:hint="cs"/>
          <w:rtl/>
        </w:rPr>
        <w:t xml:space="preserve"> משיעורי המענה במוקד פקע"ר (ממוצעי שיעורי המענה בשבועות אלו במשרד הבריאות ובמשטרה היו כ-81% ו-78% בהתאמה, בהשוואה לשיעור מענה ממוצע של כ-51% במוקד פקע"ר באותם שבועות).</w:t>
      </w:r>
    </w:p>
    <w:p w:rsidR="00E92F67" w:rsidRPr="00DC3374" w:rsidP="00E81188" w14:paraId="202A05AB" w14:textId="57E7B53A">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7283B01" w14:textId="77777777">
      <w:pPr>
        <w:pStyle w:val="ListParagraph"/>
        <w:numPr>
          <w:ilvl w:val="0"/>
          <w:numId w:val="16"/>
        </w:numPr>
        <w:spacing w:line="269" w:lineRule="auto"/>
      </w:pPr>
      <w:r w:rsidRPr="00DC3374">
        <w:rPr>
          <w:rFonts w:hint="cs"/>
          <w:rtl/>
        </w:rPr>
        <w:t>יש מתאם סטטיסטי נמוך יחסית (מתאם של 0.26) בין שיעורי המענה של המוקדים, ובפרט בין מוקד משרד הבריאות למוקד פקע"ר. בתחילת המשבר, במרץ 2020, שיעורי המענה בשלושת המוקדים היו נ</w:t>
      </w:r>
      <w:r w:rsidRPr="00DC3374">
        <w:rPr>
          <w:rFonts w:hint="eastAsia"/>
          <w:rtl/>
        </w:rPr>
        <w:t>מוכים</w:t>
      </w:r>
      <w:r w:rsidRPr="00DC3374">
        <w:rPr>
          <w:rFonts w:hint="cs"/>
          <w:rtl/>
        </w:rPr>
        <w:t xml:space="preserve"> (שיעורי המענה הממוצעים במרץ במוקד משרד הבריאות, פקע"ר והמשטרה היו 54%, 63% ו-71%, בהתאמה</w:t>
      </w:r>
      <w:r>
        <w:rPr>
          <w:rStyle w:val="FootnoteReference1"/>
          <w:rtl/>
        </w:rPr>
        <w:footnoteReference w:id="64"/>
      </w:r>
      <w:r w:rsidRPr="00DC3374">
        <w:rPr>
          <w:rFonts w:hint="cs"/>
          <w:rtl/>
        </w:rPr>
        <w:t xml:space="preserve">). עם הזמן חלה עלייה בשיעורי המענה במוקד משרד הבריאות ובמוקד המשטרה, ועד סוף הסגר הראשון (סוף אפריל, תחילת מאי) מוקדים אלה ענו לכ-90% מהשיחות אליהם. לעומת זאת, שיעורי המענה של מוקד פקע"ר בתקופה הזו היו במגמה כללית של ירידה, ובסוף התקופה המוקד לא ענה ליותר מ-30% מהשיחות. בתחילת היציאה מהסגר הראשון, ממאי עד תחילת יולי, היו ירידות בשיעורי המענה של מוקדי משרד הבריאות והמשטרה, להבדיל מהתנודתיות בשיעורי המענה של מוקד פקע"ר. בשבוע הראשון של יוני הפער בין שיעורי המענה של המוקדים הגיע לשיא: 13% במוקד פקע"ר לעומת 72% במוקדי משרד הבריאות והמשטרה. </w:t>
      </w:r>
    </w:p>
    <w:p w:rsidR="00E92F67" w:rsidRPr="00DC3374" w:rsidP="00E81188" w14:paraId="2D6C4C96" w14:textId="7D4683D3">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EC2EB50" w14:textId="77777777">
      <w:pPr>
        <w:pStyle w:val="ListParagraph"/>
        <w:numPr>
          <w:ilvl w:val="0"/>
          <w:numId w:val="16"/>
        </w:numPr>
        <w:spacing w:line="269" w:lineRule="auto"/>
      </w:pPr>
      <w:r w:rsidRPr="00DC3374">
        <w:rPr>
          <w:rFonts w:hint="cs"/>
          <w:rtl/>
        </w:rPr>
        <w:t>יש מתאם סטטיסטי נמוך יחסית (מתאם של 0.15) בין מוקד משרד הבריאות למוקד פקע"ר</w:t>
      </w:r>
      <w:r w:rsidRPr="00DC3374">
        <w:rPr>
          <w:rFonts w:hint="cs"/>
          <w:rtl/>
        </w:rPr>
        <w:t xml:space="preserve"> </w:t>
      </w:r>
      <w:r w:rsidRPr="00DC3374">
        <w:rPr>
          <w:rFonts w:hint="cs"/>
          <w:rtl/>
        </w:rPr>
        <w:t xml:space="preserve">מבחינת זמני המענה הממוצעים לשבוע. </w:t>
      </w:r>
      <w:r w:rsidRPr="00DC3374">
        <w:rPr>
          <w:rtl/>
        </w:rPr>
        <w:t>בנקודות השיא, שב</w:t>
      </w:r>
      <w:r w:rsidRPr="00DC3374">
        <w:rPr>
          <w:rFonts w:hint="cs"/>
          <w:rtl/>
        </w:rPr>
        <w:t>הן זמני ההמתנה למענה ב</w:t>
      </w:r>
      <w:r w:rsidRPr="00DC3374">
        <w:rPr>
          <w:rtl/>
        </w:rPr>
        <w:t>מוקד משרד הבריאות היו ארוכים</w:t>
      </w:r>
      <w:r w:rsidRPr="00DC3374">
        <w:rPr>
          <w:rFonts w:hint="cs"/>
          <w:rtl/>
        </w:rPr>
        <w:t xml:space="preserve"> וארכו עשרות דקות</w:t>
      </w:r>
      <w:r w:rsidRPr="00DC3374">
        <w:rPr>
          <w:rtl/>
        </w:rPr>
        <w:t xml:space="preserve">, זמני </w:t>
      </w:r>
      <w:r w:rsidRPr="00DC3374">
        <w:rPr>
          <w:rFonts w:hint="cs"/>
          <w:rtl/>
        </w:rPr>
        <w:t>ההמתנה ל</w:t>
      </w:r>
      <w:r w:rsidRPr="00DC3374">
        <w:rPr>
          <w:rtl/>
        </w:rPr>
        <w:t>מענה ב</w:t>
      </w:r>
      <w:r w:rsidRPr="00DC3374">
        <w:rPr>
          <w:rFonts w:hint="cs"/>
          <w:rtl/>
        </w:rPr>
        <w:t>מוקדי פקע"ר ו</w:t>
      </w:r>
      <w:r w:rsidRPr="00DC3374">
        <w:rPr>
          <w:rtl/>
        </w:rPr>
        <w:t xml:space="preserve">המשטרה היו </w:t>
      </w:r>
      <w:r w:rsidRPr="00DC3374">
        <w:rPr>
          <w:rFonts w:hint="cs"/>
          <w:rtl/>
        </w:rPr>
        <w:t>קצרים -</w:t>
      </w:r>
      <w:r w:rsidRPr="00DC3374">
        <w:rPr>
          <w:rtl/>
        </w:rPr>
        <w:t xml:space="preserve"> דקות בודדות ולפעמים </w:t>
      </w:r>
      <w:r w:rsidRPr="00DC3374">
        <w:rPr>
          <w:rFonts w:hint="cs"/>
          <w:rtl/>
        </w:rPr>
        <w:t>פחות מדקה.</w:t>
      </w:r>
      <w:r w:rsidRPr="00DC3374">
        <w:rPr>
          <w:rtl/>
        </w:rPr>
        <w:t xml:space="preserve"> </w:t>
      </w:r>
    </w:p>
    <w:p w:rsidR="00E92F67" w:rsidRPr="00DC3374" w:rsidP="00E81188" w14:paraId="06CA2738" w14:textId="56665055">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144F49F1" w14:textId="77777777">
      <w:pPr>
        <w:pStyle w:val="ListParagraph"/>
        <w:numPr>
          <w:ilvl w:val="0"/>
          <w:numId w:val="16"/>
        </w:numPr>
        <w:spacing w:line="269" w:lineRule="auto"/>
      </w:pPr>
      <w:r w:rsidRPr="00DC3374">
        <w:rPr>
          <w:rFonts w:hint="eastAsia"/>
          <w:rtl/>
        </w:rPr>
        <w:t>משרד</w:t>
      </w:r>
      <w:r w:rsidRPr="00DC3374">
        <w:rPr>
          <w:rtl/>
        </w:rPr>
        <w:t xml:space="preserve"> הבריאות </w:t>
      </w:r>
      <w:r w:rsidRPr="00DC3374">
        <w:rPr>
          <w:rFonts w:hint="cs"/>
          <w:rtl/>
        </w:rPr>
        <w:t>התייחס</w:t>
      </w:r>
      <w:r w:rsidRPr="00DC3374">
        <w:rPr>
          <w:rtl/>
        </w:rPr>
        <w:t xml:space="preserve"> בתשובתו </w:t>
      </w:r>
      <w:r w:rsidRPr="00DC3374">
        <w:rPr>
          <w:rFonts w:hint="cs"/>
          <w:rtl/>
        </w:rPr>
        <w:t xml:space="preserve">לאפשרות לאגם משאבים של המשרד ושל פקע"ר לצורך שיפור השירות לציבור. משרד הבריאות הסביר כי </w:t>
      </w:r>
      <w:r w:rsidRPr="00DC3374">
        <w:rPr>
          <w:rtl/>
        </w:rPr>
        <w:t xml:space="preserve">איגום משאבים </w:t>
      </w:r>
      <w:r w:rsidRPr="00DC3374">
        <w:rPr>
          <w:rFonts w:hint="cs"/>
          <w:rtl/>
        </w:rPr>
        <w:t>אינו</w:t>
      </w:r>
      <w:r w:rsidRPr="00DC3374">
        <w:rPr>
          <w:rtl/>
        </w:rPr>
        <w:t xml:space="preserve"> ר</w:t>
      </w:r>
      <w:r w:rsidRPr="00DC3374">
        <w:rPr>
          <w:rFonts w:hint="cs"/>
          <w:rtl/>
        </w:rPr>
        <w:t>י</w:t>
      </w:r>
      <w:r w:rsidRPr="00DC3374">
        <w:rPr>
          <w:rtl/>
        </w:rPr>
        <w:t>אלי מכיוון שסוג השיחות בכל אחד מהמוקדים שונה באופן משמעותי</w:t>
      </w:r>
      <w:r w:rsidRPr="00DC3374">
        <w:rPr>
          <w:rFonts w:hint="cs"/>
          <w:rtl/>
        </w:rPr>
        <w:t xml:space="preserve"> בהיבט של תחומי האחריות והסמכות, בהיבט של תשתיות המחשוב ואבטחת המידע. המשרד ציין כי מ</w:t>
      </w:r>
      <w:r w:rsidRPr="00DC3374">
        <w:rPr>
          <w:rtl/>
        </w:rPr>
        <w:t xml:space="preserve">שך השיחה במוקדי משרד הבריאות </w:t>
      </w:r>
      <w:r w:rsidRPr="00DC3374">
        <w:rPr>
          <w:rFonts w:hint="cs"/>
          <w:rtl/>
        </w:rPr>
        <w:t>ארוך</w:t>
      </w:r>
      <w:r w:rsidRPr="00DC3374">
        <w:rPr>
          <w:rtl/>
        </w:rPr>
        <w:t xml:space="preserve"> משמעותית בהשוואה לשאר המוקדים מכיוון שהשיחות מורכבות</w:t>
      </w:r>
      <w:r w:rsidRPr="00DC3374">
        <w:rPr>
          <w:rFonts w:hint="cs"/>
          <w:rtl/>
        </w:rPr>
        <w:t>,</w:t>
      </w:r>
      <w:r w:rsidRPr="00DC3374">
        <w:rPr>
          <w:rtl/>
        </w:rPr>
        <w:t xml:space="preserve"> וניתן בה</w:t>
      </w:r>
      <w:r w:rsidRPr="00DC3374">
        <w:rPr>
          <w:rFonts w:hint="cs"/>
          <w:rtl/>
        </w:rPr>
        <w:t>ן</w:t>
      </w:r>
      <w:r w:rsidRPr="00DC3374">
        <w:rPr>
          <w:rtl/>
        </w:rPr>
        <w:t xml:space="preserve"> שירות </w:t>
      </w:r>
      <w:r w:rsidRPr="00DC3374">
        <w:rPr>
          <w:rFonts w:hint="cs"/>
          <w:rtl/>
        </w:rPr>
        <w:t xml:space="preserve">ולא רק </w:t>
      </w:r>
      <w:r w:rsidRPr="00DC3374">
        <w:rPr>
          <w:rtl/>
        </w:rPr>
        <w:t>מידע כללי</w:t>
      </w:r>
      <w:r w:rsidRPr="00DC3374">
        <w:rPr>
          <w:rFonts w:hint="cs"/>
          <w:rtl/>
        </w:rPr>
        <w:t xml:space="preserve"> גם ל</w:t>
      </w:r>
      <w:r w:rsidRPr="00DC3374">
        <w:rPr>
          <w:rtl/>
        </w:rPr>
        <w:t>אזרחים ששוהים בבידוד.</w:t>
      </w:r>
    </w:p>
    <w:p w:rsidR="00E92F67" w:rsidRPr="00DC3374" w:rsidP="00E81188" w14:paraId="40D457AD" w14:textId="4526CF6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2D34595F" w14:textId="77777777">
      <w:pPr>
        <w:pStyle w:val="ListParagraph"/>
        <w:spacing w:line="269" w:lineRule="auto"/>
        <w:ind w:left="340"/>
      </w:pPr>
      <w:r w:rsidRPr="00DC3374">
        <w:rPr>
          <w:rFonts w:hint="cs"/>
          <w:rtl/>
        </w:rPr>
        <w:t xml:space="preserve">ואולם אינדיקציה טובה ליעילות החלופה של איגום משאבים לצורך הפעלת מוקד טלפוני לאומי ואחוד עולה מהנתונים על שיעורי המענה של המוקדים הטלפוניים מתחילת יולי עד אמצע אוגוסט. כאמור, </w:t>
      </w:r>
      <w:r w:rsidRPr="00DC3374">
        <w:rPr>
          <w:rtl/>
        </w:rPr>
        <w:t xml:space="preserve">מתחילת </w:t>
      </w:r>
      <w:r w:rsidRPr="00DC3374">
        <w:rPr>
          <w:rFonts w:hint="cs"/>
          <w:rtl/>
        </w:rPr>
        <w:t xml:space="preserve">יוני 2020 </w:t>
      </w:r>
      <w:r w:rsidRPr="00DC3374">
        <w:rPr>
          <w:rtl/>
        </w:rPr>
        <w:t>חלה עלי</w:t>
      </w:r>
      <w:r w:rsidRPr="00DC3374">
        <w:rPr>
          <w:rFonts w:hint="cs"/>
          <w:rtl/>
        </w:rPr>
        <w:t>י</w:t>
      </w:r>
      <w:r w:rsidRPr="00DC3374">
        <w:rPr>
          <w:rtl/>
        </w:rPr>
        <w:t xml:space="preserve">ה חדה במספר </w:t>
      </w:r>
      <w:r w:rsidRPr="00DC3374">
        <w:rPr>
          <w:rFonts w:hint="cs"/>
          <w:rtl/>
        </w:rPr>
        <w:t>ה</w:t>
      </w:r>
      <w:r w:rsidRPr="00DC3374">
        <w:rPr>
          <w:rtl/>
        </w:rPr>
        <w:t>שיחות שנכנסו למוקד משרד הבריאות</w:t>
      </w:r>
      <w:r w:rsidRPr="00DC3374">
        <w:rPr>
          <w:rFonts w:hint="cs"/>
          <w:rtl/>
        </w:rPr>
        <w:t xml:space="preserve"> עד ספטמבר 2020: במאי נכנסו למוקד כ-103,000 שיחות שעסקו בנושא הקורונה; ביוני גדל מספר השיחות לכ-243,000 שיחות; ביולי - כ-593,000 שיחות; באוגוסט - כ-613,000 שיחות; ובספטמבר - כ-822,000 שיחות. באוקטובר מספר השיחות ירד לכ-408,000. </w:t>
      </w:r>
      <w:r w:rsidRPr="00DC3374">
        <w:rPr>
          <w:rtl/>
        </w:rPr>
        <w:t xml:space="preserve">עלייה זו חלה </w:t>
      </w:r>
      <w:r w:rsidRPr="00DC3374">
        <w:rPr>
          <w:rFonts w:hint="cs"/>
          <w:rtl/>
        </w:rPr>
        <w:t>כאמור לנוכח</w:t>
      </w:r>
      <w:r w:rsidRPr="00DC3374">
        <w:rPr>
          <w:rtl/>
        </w:rPr>
        <w:t xml:space="preserve"> הוראת שעה שחוקקה הכנסת </w:t>
      </w:r>
      <w:r w:rsidRPr="00DC3374">
        <w:rPr>
          <w:rFonts w:hint="cs"/>
          <w:rtl/>
        </w:rPr>
        <w:t xml:space="preserve">בדבר הסמכת </w:t>
      </w:r>
      <w:r w:rsidRPr="00DC3374">
        <w:rPr>
          <w:rtl/>
        </w:rPr>
        <w:t xml:space="preserve">שירות הביטחון הכללי </w:t>
      </w:r>
      <w:r w:rsidRPr="00DC3374">
        <w:rPr>
          <w:rFonts w:hint="cs"/>
          <w:rtl/>
        </w:rPr>
        <w:t xml:space="preserve">להודיע למשרד הבריאות על </w:t>
      </w:r>
      <w:r w:rsidRPr="00DC3374">
        <w:rPr>
          <w:rtl/>
        </w:rPr>
        <w:t>אנשים שבאו במגע קרוב עם חולה</w:t>
      </w:r>
      <w:r w:rsidRPr="00DC3374">
        <w:rPr>
          <w:rFonts w:hint="cs"/>
          <w:rtl/>
        </w:rPr>
        <w:t xml:space="preserve"> קורונה, </w:t>
      </w:r>
      <w:r w:rsidRPr="00DC3374">
        <w:rPr>
          <w:rFonts w:hint="cs"/>
          <w:rtl/>
        </w:rPr>
        <w:t>באמצעות איכון טלפונים ניידים, כדי להודיע להם להיכנס</w:t>
      </w:r>
      <w:r w:rsidRPr="00DC3374">
        <w:rPr>
          <w:rtl/>
        </w:rPr>
        <w:t xml:space="preserve"> לבידוד</w:t>
      </w:r>
      <w:r>
        <w:rPr>
          <w:vertAlign w:val="superscript"/>
          <w:rtl/>
        </w:rPr>
        <w:footnoteReference w:id="65"/>
      </w:r>
      <w:r w:rsidRPr="00DC3374">
        <w:rPr>
          <w:rtl/>
        </w:rPr>
        <w:t xml:space="preserve">. מהנתונים עולה כי </w:t>
      </w:r>
      <w:r w:rsidRPr="00DC3374">
        <w:rPr>
          <w:rFonts w:hint="cs"/>
          <w:rtl/>
        </w:rPr>
        <w:t>בחודשים</w:t>
      </w:r>
      <w:r w:rsidRPr="00DC3374">
        <w:rPr>
          <w:rtl/>
        </w:rPr>
        <w:t xml:space="preserve"> </w:t>
      </w:r>
      <w:r w:rsidRPr="00DC3374">
        <w:rPr>
          <w:rFonts w:hint="cs"/>
          <w:rtl/>
        </w:rPr>
        <w:t xml:space="preserve">יוני עד </w:t>
      </w:r>
      <w:r w:rsidRPr="00DC3374">
        <w:rPr>
          <w:rtl/>
        </w:rPr>
        <w:t>יולי</w:t>
      </w:r>
      <w:r w:rsidRPr="00DC3374">
        <w:rPr>
          <w:rFonts w:hint="cs"/>
          <w:rtl/>
        </w:rPr>
        <w:t xml:space="preserve"> 2020</w:t>
      </w:r>
      <w:r w:rsidRPr="00DC3374">
        <w:rPr>
          <w:rtl/>
        </w:rPr>
        <w:t xml:space="preserve"> </w:t>
      </w:r>
      <w:r w:rsidRPr="00DC3374">
        <w:rPr>
          <w:rFonts w:hint="cs"/>
          <w:rtl/>
        </w:rPr>
        <w:t xml:space="preserve">גדל </w:t>
      </w:r>
      <w:r w:rsidRPr="00DC3374">
        <w:rPr>
          <w:rtl/>
        </w:rPr>
        <w:t xml:space="preserve">מספר השיחות שנכנסו </w:t>
      </w:r>
      <w:r w:rsidRPr="00DC3374">
        <w:rPr>
          <w:rFonts w:hint="cs"/>
          <w:rtl/>
        </w:rPr>
        <w:t>למוקד משרד הבריאות בבקשות לערער על ההוראה להיכנס לבידוד בשיעור של 144%. לדוגמה, מספר השיחות הנכנסות בשבוע למוקד משרד הבריאות בשבוע השני של יולי היה גדול ב-43% ממספר השיחות בשבוע האחרון של יוני (כ-115,000 ו</w:t>
      </w:r>
      <w:r w:rsidRPr="00DC3374">
        <w:rPr>
          <w:rtl/>
        </w:rPr>
        <w:t>כ-80,000 שיחות</w:t>
      </w:r>
      <w:r w:rsidRPr="00DC3374">
        <w:rPr>
          <w:rFonts w:hint="cs"/>
          <w:rtl/>
        </w:rPr>
        <w:t>, בהתאמה</w:t>
      </w:r>
      <w:r w:rsidRPr="00DC3374">
        <w:rPr>
          <w:rtl/>
        </w:rPr>
        <w:t xml:space="preserve">). </w:t>
      </w:r>
      <w:r w:rsidRPr="00DC3374">
        <w:rPr>
          <w:rFonts w:hint="cs"/>
          <w:rtl/>
        </w:rPr>
        <w:t>כדי</w:t>
      </w:r>
      <w:r w:rsidRPr="00DC3374">
        <w:rPr>
          <w:rtl/>
        </w:rPr>
        <w:t xml:space="preserve"> </w:t>
      </w:r>
      <w:r w:rsidRPr="00DC3374">
        <w:rPr>
          <w:rFonts w:hint="eastAsia"/>
          <w:rtl/>
        </w:rPr>
        <w:t>לעמו</w:t>
      </w:r>
      <w:r w:rsidRPr="00DC3374">
        <w:rPr>
          <w:rFonts w:hint="cs"/>
          <w:rtl/>
        </w:rPr>
        <w:t>ד</w:t>
      </w:r>
      <w:r w:rsidRPr="00DC3374">
        <w:rPr>
          <w:rtl/>
        </w:rPr>
        <w:t xml:space="preserve"> </w:t>
      </w:r>
      <w:r w:rsidRPr="00DC3374">
        <w:rPr>
          <w:rFonts w:hint="eastAsia"/>
          <w:rtl/>
        </w:rPr>
        <w:t>בעומס</w:t>
      </w:r>
      <w:r w:rsidRPr="00DC3374">
        <w:rPr>
          <w:rFonts w:hint="cs"/>
          <w:rtl/>
        </w:rPr>
        <w:t xml:space="preserve"> השיחות</w:t>
      </w:r>
      <w:r w:rsidRPr="00DC3374">
        <w:rPr>
          <w:rtl/>
        </w:rPr>
        <w:t xml:space="preserve"> </w:t>
      </w:r>
      <w:r w:rsidRPr="00DC3374">
        <w:rPr>
          <w:rFonts w:hint="eastAsia"/>
          <w:rtl/>
        </w:rPr>
        <w:t>גויסו</w:t>
      </w:r>
      <w:r w:rsidRPr="00DC3374">
        <w:rPr>
          <w:rtl/>
        </w:rPr>
        <w:t xml:space="preserve"> </w:t>
      </w:r>
      <w:r w:rsidRPr="00DC3374">
        <w:rPr>
          <w:rFonts w:hint="eastAsia"/>
          <w:rtl/>
        </w:rPr>
        <w:t>שני</w:t>
      </w:r>
      <w:r w:rsidRPr="00DC3374">
        <w:rPr>
          <w:rtl/>
        </w:rPr>
        <w:t xml:space="preserve"> </w:t>
      </w:r>
      <w:r w:rsidRPr="00DC3374">
        <w:rPr>
          <w:rFonts w:hint="eastAsia"/>
          <w:rtl/>
        </w:rPr>
        <w:t>גדודי</w:t>
      </w:r>
      <w:r w:rsidRPr="00DC3374">
        <w:rPr>
          <w:rtl/>
        </w:rPr>
        <w:t xml:space="preserve"> </w:t>
      </w:r>
      <w:r w:rsidRPr="00DC3374">
        <w:rPr>
          <w:rFonts w:hint="eastAsia"/>
          <w:rtl/>
        </w:rPr>
        <w:t>מילואים</w:t>
      </w:r>
      <w:r w:rsidRPr="00DC3374">
        <w:rPr>
          <w:rtl/>
        </w:rPr>
        <w:t xml:space="preserve"> של </w:t>
      </w:r>
      <w:r w:rsidRPr="00DC3374">
        <w:rPr>
          <w:rFonts w:hint="cs"/>
          <w:rtl/>
        </w:rPr>
        <w:t>פקע"ר</w:t>
      </w:r>
      <w:r w:rsidRPr="00DC3374">
        <w:rPr>
          <w:rtl/>
        </w:rPr>
        <w:t xml:space="preserve">, </w:t>
      </w:r>
      <w:r w:rsidRPr="00DC3374">
        <w:rPr>
          <w:rFonts w:hint="cs"/>
          <w:rtl/>
        </w:rPr>
        <w:t xml:space="preserve">והם </w:t>
      </w:r>
      <w:r w:rsidRPr="00DC3374">
        <w:rPr>
          <w:rFonts w:hint="eastAsia"/>
          <w:rtl/>
        </w:rPr>
        <w:t>סייעו</w:t>
      </w:r>
      <w:r w:rsidRPr="00DC3374">
        <w:rPr>
          <w:rtl/>
        </w:rPr>
        <w:t xml:space="preserve"> </w:t>
      </w:r>
      <w:r w:rsidRPr="00DC3374">
        <w:rPr>
          <w:rFonts w:hint="eastAsia"/>
          <w:rtl/>
        </w:rPr>
        <w:t>למוקד</w:t>
      </w:r>
      <w:r w:rsidRPr="00DC3374">
        <w:rPr>
          <w:rtl/>
        </w:rPr>
        <w:t xml:space="preserve"> </w:t>
      </w:r>
      <w:r w:rsidRPr="00DC3374">
        <w:rPr>
          <w:rFonts w:hint="eastAsia"/>
          <w:rtl/>
        </w:rPr>
        <w:t>משרד</w:t>
      </w:r>
      <w:r w:rsidRPr="00DC3374">
        <w:rPr>
          <w:rtl/>
        </w:rPr>
        <w:t xml:space="preserve"> </w:t>
      </w:r>
      <w:r w:rsidRPr="00DC3374">
        <w:rPr>
          <w:rFonts w:hint="eastAsia"/>
          <w:rtl/>
        </w:rPr>
        <w:t>הבריאות</w:t>
      </w:r>
      <w:r w:rsidRPr="00DC3374">
        <w:rPr>
          <w:rFonts w:hint="cs"/>
          <w:rtl/>
        </w:rPr>
        <w:t xml:space="preserve"> במענה לשיחות הנכנסות</w:t>
      </w:r>
      <w:r w:rsidRPr="00DC3374">
        <w:rPr>
          <w:rtl/>
        </w:rPr>
        <w:t xml:space="preserve">. </w:t>
      </w:r>
      <w:r w:rsidRPr="00DC3374">
        <w:rPr>
          <w:rFonts w:hint="eastAsia"/>
          <w:rtl/>
        </w:rPr>
        <w:t>בתרשים</w:t>
      </w:r>
      <w:r w:rsidRPr="00DC3374">
        <w:rPr>
          <w:rtl/>
        </w:rPr>
        <w:t xml:space="preserve"> </w:t>
      </w:r>
      <w:r w:rsidRPr="00DC3374">
        <w:rPr>
          <w:rFonts w:hint="eastAsia"/>
          <w:rtl/>
        </w:rPr>
        <w:t>שלהלן</w:t>
      </w:r>
      <w:r w:rsidRPr="00DC3374">
        <w:rPr>
          <w:rtl/>
        </w:rPr>
        <w:t xml:space="preserve"> </w:t>
      </w:r>
      <w:r w:rsidRPr="00DC3374">
        <w:rPr>
          <w:rFonts w:hint="cs"/>
          <w:rtl/>
        </w:rPr>
        <w:t xml:space="preserve">מוצגת </w:t>
      </w:r>
      <w:r w:rsidRPr="00DC3374">
        <w:rPr>
          <w:rFonts w:hint="eastAsia"/>
          <w:rtl/>
        </w:rPr>
        <w:t>ההשפעה</w:t>
      </w:r>
      <w:r w:rsidRPr="00DC3374">
        <w:rPr>
          <w:rtl/>
        </w:rPr>
        <w:t xml:space="preserve"> </w:t>
      </w:r>
      <w:r w:rsidRPr="00DC3374">
        <w:rPr>
          <w:rFonts w:hint="eastAsia"/>
          <w:rtl/>
        </w:rPr>
        <w:t>של</w:t>
      </w:r>
      <w:r w:rsidRPr="00DC3374">
        <w:rPr>
          <w:rtl/>
        </w:rPr>
        <w:t xml:space="preserve"> </w:t>
      </w:r>
      <w:r w:rsidRPr="00DC3374">
        <w:rPr>
          <w:rFonts w:hint="eastAsia"/>
          <w:rtl/>
        </w:rPr>
        <w:t>שיתוף</w:t>
      </w:r>
      <w:r w:rsidRPr="00DC3374">
        <w:rPr>
          <w:rtl/>
        </w:rPr>
        <w:t xml:space="preserve"> </w:t>
      </w:r>
      <w:r w:rsidRPr="00DC3374">
        <w:rPr>
          <w:rFonts w:hint="eastAsia"/>
          <w:rtl/>
        </w:rPr>
        <w:t>פעולה</w:t>
      </w:r>
      <w:r w:rsidRPr="00DC3374">
        <w:rPr>
          <w:rtl/>
        </w:rPr>
        <w:t xml:space="preserve"> </w:t>
      </w:r>
      <w:r w:rsidRPr="00DC3374">
        <w:rPr>
          <w:rFonts w:hint="eastAsia"/>
          <w:rtl/>
        </w:rPr>
        <w:t>זה</w:t>
      </w:r>
      <w:r w:rsidRPr="00DC3374">
        <w:rPr>
          <w:rFonts w:hint="cs"/>
          <w:rtl/>
        </w:rPr>
        <w:t>.</w:t>
      </w:r>
    </w:p>
    <w:p w:rsidR="00E92F67" w:rsidRPr="00DC3374" w:rsidP="00E81188" w14:paraId="4C555CF7" w14:textId="612DF6B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01DC4634" w14:textId="77777777">
      <w:pPr>
        <w:spacing w:line="269" w:lineRule="auto"/>
        <w:jc w:val="center"/>
        <w:rPr>
          <w:b/>
          <w:bCs/>
          <w:rtl/>
        </w:rPr>
      </w:pPr>
      <w:r w:rsidRPr="00DC3374">
        <w:rPr>
          <w:rFonts w:hint="cs"/>
          <w:b/>
          <w:bCs/>
          <w:rtl/>
        </w:rPr>
        <w:t xml:space="preserve">תרשים 45: השפעת תגבור מוקד משרד הבריאות על שיעורי המענה </w:t>
      </w:r>
    </w:p>
    <w:p w:rsidR="00E92F67" w:rsidRPr="00DC3374" w:rsidP="00E81188" w14:paraId="7A7DDD87" w14:textId="77777777">
      <w:pPr>
        <w:spacing w:line="269" w:lineRule="auto"/>
        <w:jc w:val="center"/>
        <w:rPr>
          <w:b/>
          <w:bCs/>
          <w:rtl/>
        </w:rPr>
      </w:pPr>
      <w:r w:rsidRPr="00DC3374">
        <w:rPr>
          <w:rFonts w:hint="eastAsia"/>
          <w:b/>
          <w:bCs/>
          <w:rtl/>
        </w:rPr>
        <w:t>וזמני</w:t>
      </w:r>
      <w:r w:rsidRPr="00DC3374">
        <w:rPr>
          <w:b/>
          <w:bCs/>
          <w:rtl/>
        </w:rPr>
        <w:t xml:space="preserve"> </w:t>
      </w:r>
      <w:r w:rsidRPr="00DC3374">
        <w:rPr>
          <w:rFonts w:hint="eastAsia"/>
          <w:b/>
          <w:bCs/>
          <w:rtl/>
        </w:rPr>
        <w:t>ההמתנה</w:t>
      </w:r>
      <w:r w:rsidRPr="00DC3374">
        <w:rPr>
          <w:b/>
          <w:bCs/>
          <w:rtl/>
        </w:rPr>
        <w:t xml:space="preserve"> </w:t>
      </w:r>
      <w:r w:rsidRPr="00DC3374">
        <w:rPr>
          <w:rFonts w:hint="eastAsia"/>
          <w:b/>
          <w:bCs/>
          <w:rtl/>
        </w:rPr>
        <w:t>השבועיים</w:t>
      </w:r>
      <w:r w:rsidRPr="00DC3374">
        <w:rPr>
          <w:b/>
          <w:bCs/>
          <w:rtl/>
        </w:rPr>
        <w:t xml:space="preserve"> </w:t>
      </w:r>
      <w:r w:rsidRPr="00DC3374">
        <w:rPr>
          <w:rFonts w:hint="eastAsia"/>
          <w:b/>
          <w:bCs/>
          <w:rtl/>
        </w:rPr>
        <w:t>הממוצעים</w:t>
      </w:r>
    </w:p>
    <w:p w:rsidR="00E92F67" w:rsidRPr="00DC3374" w:rsidP="00E81188" w14:paraId="49A87D6E" w14:textId="77777777">
      <w:pPr>
        <w:spacing w:line="269" w:lineRule="auto"/>
        <w:jc w:val="center"/>
        <w:rPr>
          <w:b/>
          <w:bCs/>
          <w:rtl/>
        </w:rPr>
      </w:pPr>
      <w:r w:rsidRPr="00DC3374">
        <w:rPr>
          <w:b/>
          <w:bCs/>
          <w:noProof/>
        </w:rPr>
        <w:drawing>
          <wp:inline distT="0" distB="0" distL="0" distR="0">
            <wp:extent cx="6045835" cy="3951650"/>
            <wp:effectExtent l="0" t="0" r="0" b="0"/>
            <wp:docPr id="1743882434" name="תמונה 174388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61419" name="Picture 9"/>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2342" cy="3955903"/>
                    </a:xfrm>
                    <a:prstGeom prst="rect">
                      <a:avLst/>
                    </a:prstGeom>
                    <a:noFill/>
                  </pic:spPr>
                </pic:pic>
              </a:graphicData>
            </a:graphic>
          </wp:inline>
        </w:drawing>
      </w:r>
    </w:p>
    <w:p w:rsidR="00E92F67" w:rsidRPr="00DC3374" w:rsidP="00E81188" w14:paraId="5FE0B967" w14:textId="77777777">
      <w:pPr>
        <w:pStyle w:val="ListParagraph"/>
        <w:spacing w:line="269" w:lineRule="auto"/>
        <w:ind w:left="-1"/>
        <w:rPr>
          <w:szCs w:val="20"/>
          <w:rtl/>
        </w:rPr>
      </w:pPr>
      <w:r w:rsidRPr="00DC3374">
        <w:rPr>
          <w:rFonts w:hint="cs"/>
          <w:szCs w:val="20"/>
          <w:rtl/>
        </w:rPr>
        <w:t>על פי נתוני משרד הבריאות ופקע"ר, בעיבוד משרד מבקר המדינה.</w:t>
      </w:r>
    </w:p>
    <w:p w:rsidR="00E92F67" w:rsidRPr="00DC3374" w:rsidP="00E81188" w14:paraId="4B359975" w14:textId="0B818B0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624CECB4" w14:textId="77777777">
      <w:pPr>
        <w:spacing w:line="269" w:lineRule="auto"/>
        <w:ind w:left="312"/>
        <w:rPr>
          <w:b/>
          <w:bCs/>
          <w:rtl/>
        </w:rPr>
      </w:pPr>
      <w:r w:rsidRPr="00DC3374">
        <w:rPr>
          <w:rFonts w:hint="cs"/>
          <w:b/>
          <w:bCs/>
          <w:rtl/>
        </w:rPr>
        <w:t xml:space="preserve">מהתרשים עולה כי בתחילת יולי 2020 שיעורי המענה במוקד משרד הבריאות היו </w:t>
      </w:r>
      <w:r w:rsidRPr="00DC3374">
        <w:rPr>
          <w:rFonts w:hint="eastAsia"/>
          <w:b/>
          <w:bCs/>
          <w:rtl/>
        </w:rPr>
        <w:t>נמוכים</w:t>
      </w:r>
      <w:r w:rsidRPr="00DC3374">
        <w:rPr>
          <w:rFonts w:hint="cs"/>
          <w:b/>
          <w:bCs/>
          <w:rtl/>
        </w:rPr>
        <w:t xml:space="preserve"> (כ-40%), וזמן ההמתנה הממוצע היה </w:t>
      </w:r>
      <w:r w:rsidRPr="00DC3374">
        <w:rPr>
          <w:rFonts w:hint="eastAsia"/>
          <w:b/>
          <w:bCs/>
          <w:rtl/>
        </w:rPr>
        <w:t>גבוה</w:t>
      </w:r>
      <w:r w:rsidRPr="00DC3374">
        <w:rPr>
          <w:b/>
          <w:bCs/>
          <w:rtl/>
        </w:rPr>
        <w:t xml:space="preserve"> </w:t>
      </w:r>
      <w:r w:rsidRPr="00DC3374">
        <w:rPr>
          <w:rFonts w:hint="eastAsia"/>
          <w:b/>
          <w:bCs/>
          <w:rtl/>
        </w:rPr>
        <w:t>במיוחד</w:t>
      </w:r>
      <w:r w:rsidRPr="00DC3374">
        <w:rPr>
          <w:rFonts w:hint="cs"/>
          <w:b/>
          <w:bCs/>
          <w:rtl/>
        </w:rPr>
        <w:t xml:space="preserve"> (48 דקות). תגבור המוקד באמצעות אנשי מילואים של פקע"ר מ-8.7.20 עד אמצע אוגוסט 2020 שיפר את השירות לציבור כיוון ששיעור המענה של המוקד עלה מכ-40% לכ-90%. עם הפסקת התגבור ב-13.8.20 שיעור המענה שב וירד עד ל-54% בסוף החודש. נוסף על כך תגבור המוקד שיפר את השירות לציבור גם בהיבט של זמני ההמתנה למענה במוקד משרד הבריאות: זמן ההמתנה הממוצע השבועי פחת מ-26 דקות בתחילת יולי 2020 ו-48 דקות באמצע החודש, עד לכשתי דקות במחצית הראשונה של אוגוסט 2020</w:t>
      </w:r>
      <w:r w:rsidRPr="00DC3374">
        <w:rPr>
          <w:b/>
          <w:bCs/>
          <w:rtl/>
        </w:rPr>
        <w:t xml:space="preserve">. </w:t>
      </w:r>
      <w:r w:rsidRPr="00DC3374">
        <w:rPr>
          <w:rFonts w:hint="cs"/>
          <w:b/>
          <w:bCs/>
          <w:rtl/>
        </w:rPr>
        <w:t>עם סיום התגבור</w:t>
      </w:r>
      <w:r w:rsidRPr="00DC3374">
        <w:rPr>
          <w:b/>
          <w:bCs/>
          <w:rtl/>
        </w:rPr>
        <w:t>,</w:t>
      </w:r>
      <w:r w:rsidRPr="00DC3374">
        <w:rPr>
          <w:rFonts w:hint="cs"/>
          <w:b/>
          <w:bCs/>
          <w:rtl/>
        </w:rPr>
        <w:t xml:space="preserve"> בתחילת הסגר השני באמצע ספטמבר 2020,</w:t>
      </w:r>
      <w:r w:rsidRPr="00DC3374">
        <w:rPr>
          <w:b/>
          <w:bCs/>
          <w:rtl/>
        </w:rPr>
        <w:t xml:space="preserve"> </w:t>
      </w:r>
      <w:r w:rsidRPr="00DC3374">
        <w:rPr>
          <w:rFonts w:hint="cs"/>
          <w:b/>
          <w:bCs/>
          <w:rtl/>
        </w:rPr>
        <w:t xml:space="preserve">זמן ההמתנה הממוצע שב ועלה </w:t>
      </w:r>
      <w:r w:rsidRPr="00DC3374">
        <w:rPr>
          <w:b/>
          <w:bCs/>
          <w:rtl/>
        </w:rPr>
        <w:t>והגיע ל-27 דקות בממוצע.</w:t>
      </w:r>
    </w:p>
    <w:p w:rsidR="00E92F67" w:rsidP="00E81188" w14:paraId="3C218F01" w14:textId="1EC54C2E">
      <w:pPr>
        <w:pStyle w:val="ListParagraph"/>
        <w:spacing w:line="269" w:lineRule="auto"/>
        <w:ind w:left="-1"/>
        <w:jc w:val="center"/>
        <w:rPr>
          <w:rFonts w:ascii="Arial" w:hAnsi="Arial" w:cs="Arial"/>
          <w:b/>
          <w:bCs/>
          <w:sz w:val="36"/>
          <w:rtl/>
        </w:rPr>
      </w:pPr>
      <w:r w:rsidRPr="00DC3374">
        <w:rPr>
          <w:rFonts w:ascii="Segoe UI Symbol" w:hAnsi="Segoe UI Symbol" w:cs="Segoe UI Symbol" w:hint="cs"/>
          <w:b/>
          <w:bCs/>
          <w:sz w:val="36"/>
          <w:rtl/>
        </w:rPr>
        <w:t>✰</w:t>
      </w:r>
    </w:p>
    <w:p w:rsidR="00094DD9" w:rsidRPr="00DC3374" w:rsidP="00E81188" w14:paraId="12085229" w14:textId="77777777">
      <w:pPr>
        <w:pStyle w:val="ListParagraph"/>
        <w:spacing w:line="269" w:lineRule="auto"/>
        <w:ind w:left="-1"/>
        <w:jc w:val="center"/>
        <w:rPr>
          <w:rFonts w:ascii="Arial" w:hAnsi="Arial" w:cs="Arial"/>
          <w:b/>
          <w:bCs/>
          <w:sz w:val="36"/>
          <w:rtl/>
        </w:rPr>
      </w:pPr>
    </w:p>
    <w:p w:rsidR="00E92F67" w:rsidRPr="00DC3374" w:rsidP="00E81188" w14:paraId="6E77FC7E" w14:textId="53F0AD4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382296" w14:paraId="0C1E5388" w14:textId="77777777">
      <w:pPr>
        <w:spacing w:line="269" w:lineRule="auto"/>
        <w:rPr>
          <w:b/>
          <w:bCs/>
          <w:rtl/>
        </w:rPr>
      </w:pPr>
      <w:r w:rsidRPr="00DC3374">
        <w:rPr>
          <w:b/>
          <w:bCs/>
          <w:rtl/>
        </w:rPr>
        <w:t xml:space="preserve">ממצאי הביקורת מלמדים על </w:t>
      </w:r>
      <w:r w:rsidRPr="00DC3374">
        <w:rPr>
          <w:rFonts w:hint="cs"/>
          <w:b/>
          <w:bCs/>
          <w:rtl/>
        </w:rPr>
        <w:t>חפיפה</w:t>
      </w:r>
      <w:r w:rsidRPr="00DC3374">
        <w:rPr>
          <w:b/>
          <w:bCs/>
          <w:rtl/>
        </w:rPr>
        <w:t xml:space="preserve"> מסוימת בין אתרי ה</w:t>
      </w:r>
      <w:r w:rsidRPr="00DC3374">
        <w:rPr>
          <w:rFonts w:hint="cs"/>
          <w:b/>
          <w:bCs/>
          <w:rtl/>
        </w:rPr>
        <w:t>אינטרנט</w:t>
      </w:r>
      <w:r w:rsidRPr="00DC3374">
        <w:rPr>
          <w:b/>
          <w:bCs/>
          <w:rtl/>
        </w:rPr>
        <w:t xml:space="preserve"> של משרד הבריאות ושל פקע"ר בהיבט </w:t>
      </w:r>
      <w:r w:rsidRPr="00DC3374">
        <w:rPr>
          <w:rFonts w:hint="cs"/>
          <w:b/>
          <w:bCs/>
          <w:rtl/>
        </w:rPr>
        <w:t xml:space="preserve">של </w:t>
      </w:r>
      <w:r w:rsidRPr="00DC3374">
        <w:rPr>
          <w:b/>
          <w:bCs/>
          <w:rtl/>
        </w:rPr>
        <w:t>הנושאים המוצגים בהם והמידע שהם מספקים לציב</w:t>
      </w:r>
      <w:r w:rsidRPr="00DC3374">
        <w:rPr>
          <w:rFonts w:hint="cs"/>
          <w:b/>
          <w:bCs/>
          <w:rtl/>
        </w:rPr>
        <w:t xml:space="preserve">ור. הפעלת מוקדים טלפוניים ואתרי האינטרנט מקבילים של </w:t>
      </w:r>
      <w:r w:rsidRPr="00DC3374">
        <w:rPr>
          <w:rFonts w:hint="eastAsia"/>
          <w:b/>
          <w:bCs/>
          <w:rtl/>
        </w:rPr>
        <w:t>משרד</w:t>
      </w:r>
      <w:r w:rsidRPr="00DC3374">
        <w:rPr>
          <w:b/>
          <w:bCs/>
          <w:rtl/>
        </w:rPr>
        <w:t xml:space="preserve"> </w:t>
      </w:r>
      <w:r w:rsidRPr="00DC3374">
        <w:rPr>
          <w:rFonts w:hint="eastAsia"/>
          <w:b/>
          <w:bCs/>
          <w:rtl/>
        </w:rPr>
        <w:t>הבריאות</w:t>
      </w:r>
      <w:r w:rsidRPr="00DC3374">
        <w:rPr>
          <w:b/>
          <w:bCs/>
          <w:rtl/>
        </w:rPr>
        <w:t xml:space="preserve"> </w:t>
      </w:r>
      <w:r w:rsidRPr="00DC3374">
        <w:rPr>
          <w:rFonts w:hint="eastAsia"/>
          <w:b/>
          <w:bCs/>
          <w:rtl/>
        </w:rPr>
        <w:t>ופקע</w:t>
      </w:r>
      <w:r w:rsidRPr="00DC3374">
        <w:rPr>
          <w:b/>
          <w:bCs/>
          <w:rtl/>
        </w:rPr>
        <w:t xml:space="preserve">"ר </w:t>
      </w:r>
      <w:r w:rsidRPr="00DC3374">
        <w:rPr>
          <w:rFonts w:hint="cs"/>
          <w:b/>
          <w:bCs/>
          <w:rtl/>
        </w:rPr>
        <w:t xml:space="preserve">- כל אחד בנפרד - </w:t>
      </w:r>
      <w:r w:rsidRPr="00DC3374">
        <w:rPr>
          <w:rFonts w:hint="eastAsia"/>
          <w:b/>
          <w:bCs/>
          <w:rtl/>
        </w:rPr>
        <w:t>שיקפה</w:t>
      </w:r>
      <w:r w:rsidRPr="00DC3374">
        <w:rPr>
          <w:b/>
          <w:bCs/>
          <w:rtl/>
        </w:rPr>
        <w:t xml:space="preserve"> </w:t>
      </w:r>
      <w:r w:rsidRPr="00DC3374">
        <w:rPr>
          <w:rFonts w:hint="eastAsia"/>
          <w:b/>
          <w:bCs/>
          <w:rtl/>
        </w:rPr>
        <w:t>חוסר</w:t>
      </w:r>
      <w:r w:rsidRPr="00DC3374">
        <w:rPr>
          <w:b/>
          <w:bCs/>
          <w:rtl/>
        </w:rPr>
        <w:t xml:space="preserve"> </w:t>
      </w:r>
      <w:r w:rsidRPr="00DC3374">
        <w:rPr>
          <w:rFonts w:hint="eastAsia"/>
          <w:b/>
          <w:bCs/>
          <w:rtl/>
        </w:rPr>
        <w:t>יעילות</w:t>
      </w:r>
      <w:r w:rsidRPr="00DC3374">
        <w:rPr>
          <w:rFonts w:hint="cs"/>
          <w:b/>
          <w:bCs/>
          <w:rtl/>
        </w:rPr>
        <w:t>, שכן</w:t>
      </w:r>
      <w:r w:rsidRPr="00DC3374">
        <w:rPr>
          <w:b/>
          <w:bCs/>
          <w:rtl/>
        </w:rPr>
        <w:t xml:space="preserve"> כל אחד מהם התמודד בנפרד עם קשיים במתן שירות מלא ויעיל לציבור</w:t>
      </w:r>
      <w:r w:rsidRPr="00DC3374">
        <w:rPr>
          <w:rFonts w:hint="cs"/>
          <w:b/>
          <w:bCs/>
          <w:rtl/>
        </w:rPr>
        <w:t xml:space="preserve">. </w:t>
      </w:r>
      <w:r w:rsidRPr="00DC3374">
        <w:rPr>
          <w:b/>
          <w:bCs/>
          <w:rtl/>
        </w:rPr>
        <w:t xml:space="preserve">פקע"ר לא </w:t>
      </w:r>
      <w:r w:rsidRPr="00DC3374">
        <w:rPr>
          <w:rFonts w:hint="cs"/>
          <w:b/>
          <w:bCs/>
          <w:rtl/>
        </w:rPr>
        <w:t>אסף</w:t>
      </w:r>
      <w:r w:rsidRPr="00DC3374">
        <w:rPr>
          <w:b/>
          <w:bCs/>
          <w:rtl/>
        </w:rPr>
        <w:t xml:space="preserve"> נתוני</w:t>
      </w:r>
      <w:r w:rsidRPr="00DC3374">
        <w:rPr>
          <w:rFonts w:hint="cs"/>
          <w:b/>
          <w:bCs/>
          <w:rtl/>
        </w:rPr>
        <w:t xml:space="preserve">ם על השיחות למוקד שלא הגיעו למוקדן (כיוון שנעצרו בנתב) ועל נושאי הפניות שהגיעו למוקדן, </w:t>
      </w:r>
      <w:r w:rsidRPr="00DC3374">
        <w:rPr>
          <w:b/>
          <w:bCs/>
          <w:rtl/>
        </w:rPr>
        <w:t xml:space="preserve">ולכן יש קושי לאתר נקודות חולשה כדי לפעול לתיקונן. </w:t>
      </w:r>
      <w:r w:rsidRPr="00DC3374">
        <w:rPr>
          <w:rFonts w:hint="cs"/>
          <w:b/>
          <w:bCs/>
          <w:rtl/>
        </w:rPr>
        <w:t xml:space="preserve">עוד עלה כי </w:t>
      </w:r>
      <w:r w:rsidRPr="00DC3374">
        <w:rPr>
          <w:b/>
          <w:bCs/>
          <w:rtl/>
        </w:rPr>
        <w:t xml:space="preserve">שלושת הגופים </w:t>
      </w:r>
      <w:r w:rsidRPr="00DC3374">
        <w:rPr>
          <w:rFonts w:hint="cs"/>
          <w:b/>
          <w:bCs/>
          <w:rtl/>
        </w:rPr>
        <w:t>-</w:t>
      </w:r>
      <w:r w:rsidRPr="00DC3374">
        <w:rPr>
          <w:b/>
          <w:bCs/>
          <w:rtl/>
        </w:rPr>
        <w:t xml:space="preserve"> משרד הבריאות, פקע"ר והמשטרה, לא עמדו בכל היעדים שקבעו לעצמם בנוגע ל</w:t>
      </w:r>
      <w:r w:rsidRPr="00DC3374">
        <w:rPr>
          <w:rFonts w:hint="cs"/>
          <w:b/>
          <w:bCs/>
          <w:rtl/>
        </w:rPr>
        <w:t>שיעורי המענה בידי מוקדן ול</w:t>
      </w:r>
      <w:r w:rsidRPr="00DC3374">
        <w:rPr>
          <w:b/>
          <w:bCs/>
          <w:rtl/>
        </w:rPr>
        <w:t>איכות השירות לציבור.</w:t>
      </w:r>
    </w:p>
    <w:p w:rsidR="00E92F67" w:rsidRPr="00DC3374" w:rsidP="00E81188" w14:paraId="02772F4C" w14:textId="0FD70CD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315E3480" w14:textId="77777777">
      <w:pPr>
        <w:spacing w:line="269" w:lineRule="auto"/>
        <w:rPr>
          <w:b/>
          <w:bCs/>
          <w:rtl/>
        </w:rPr>
      </w:pPr>
      <w:r w:rsidRPr="00DC3374">
        <w:rPr>
          <w:b/>
          <w:bCs/>
          <w:rtl/>
        </w:rPr>
        <w:t>שילוב המאמצים והמשאבים להפעלת מקורות המידע עשוי הי</w:t>
      </w:r>
      <w:r w:rsidRPr="00DC3374">
        <w:rPr>
          <w:rFonts w:hint="cs"/>
          <w:b/>
          <w:bCs/>
          <w:rtl/>
        </w:rPr>
        <w:t>ה</w:t>
      </w:r>
      <w:r w:rsidRPr="00DC3374">
        <w:rPr>
          <w:b/>
          <w:bCs/>
          <w:rtl/>
        </w:rPr>
        <w:t xml:space="preserve"> להניב שירות </w:t>
      </w:r>
      <w:r w:rsidRPr="00DC3374">
        <w:rPr>
          <w:rFonts w:hint="cs"/>
          <w:b/>
          <w:bCs/>
          <w:rtl/>
        </w:rPr>
        <w:t xml:space="preserve">טוב ויעיל </w:t>
      </w:r>
      <w:r w:rsidRPr="00DC3374">
        <w:rPr>
          <w:b/>
          <w:bCs/>
          <w:rtl/>
        </w:rPr>
        <w:t xml:space="preserve">יותר לציבור, </w:t>
      </w:r>
      <w:r w:rsidRPr="00DC3374">
        <w:rPr>
          <w:rFonts w:hint="cs"/>
          <w:b/>
          <w:bCs/>
          <w:rtl/>
        </w:rPr>
        <w:t xml:space="preserve">כפי שאכן קרה כאמור במהלך יולי ואוגוסט 2020, </w:t>
      </w:r>
      <w:r w:rsidRPr="00DC3374">
        <w:rPr>
          <w:b/>
          <w:bCs/>
          <w:rtl/>
        </w:rPr>
        <w:t xml:space="preserve">וייתכן שאף לחסוך כספי ציבור. </w:t>
      </w:r>
    </w:p>
    <w:p w:rsidR="00E92F67" w:rsidRPr="00DC3374" w:rsidP="00E81188" w14:paraId="0610EDB2" w14:textId="649D857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E92F67" w:rsidRPr="00DC3374" w:rsidP="00E81188" w14:paraId="527B6BF4" w14:textId="77777777">
      <w:pPr>
        <w:spacing w:line="269" w:lineRule="auto"/>
        <w:rPr>
          <w:rFonts w:eastAsiaTheme="majorEastAsia"/>
          <w:bCs/>
          <w:szCs w:val="32"/>
          <w:rtl/>
        </w:rPr>
      </w:pPr>
      <w:r w:rsidRPr="00DC3374">
        <w:rPr>
          <w:rFonts w:hint="cs"/>
          <w:b/>
          <w:bCs/>
          <w:rtl/>
        </w:rPr>
        <w:t xml:space="preserve">מומלץ כי </w:t>
      </w:r>
      <w:r w:rsidRPr="00DC3374">
        <w:rPr>
          <w:b/>
          <w:bCs/>
          <w:rtl/>
        </w:rPr>
        <w:t xml:space="preserve">מטה ההסברה הלאומי במשרד רה"ם, בסיוע משרד הבריאות, </w:t>
      </w:r>
      <w:r w:rsidRPr="00DC3374">
        <w:rPr>
          <w:rFonts w:hint="cs"/>
          <w:b/>
          <w:bCs/>
          <w:rtl/>
        </w:rPr>
        <w:t xml:space="preserve">יבחנו </w:t>
      </w:r>
      <w:r w:rsidRPr="00DC3374">
        <w:rPr>
          <w:b/>
          <w:bCs/>
          <w:rtl/>
        </w:rPr>
        <w:t>ג</w:t>
      </w:r>
      <w:r w:rsidRPr="00DC3374">
        <w:rPr>
          <w:rFonts w:hint="cs"/>
          <w:b/>
          <w:bCs/>
          <w:rtl/>
        </w:rPr>
        <w:t>י</w:t>
      </w:r>
      <w:r w:rsidRPr="00DC3374">
        <w:rPr>
          <w:b/>
          <w:bCs/>
          <w:rtl/>
        </w:rPr>
        <w:t>ב</w:t>
      </w:r>
      <w:r w:rsidRPr="00DC3374">
        <w:rPr>
          <w:rFonts w:hint="cs"/>
          <w:b/>
          <w:bCs/>
          <w:rtl/>
        </w:rPr>
        <w:t>ו</w:t>
      </w:r>
      <w:r w:rsidRPr="00DC3374">
        <w:rPr>
          <w:b/>
          <w:bCs/>
          <w:rtl/>
        </w:rPr>
        <w:t>ש ת</w:t>
      </w:r>
      <w:r w:rsidRPr="00DC3374">
        <w:rPr>
          <w:rFonts w:hint="cs"/>
          <w:b/>
          <w:bCs/>
          <w:rtl/>
        </w:rPr>
        <w:t>ו</w:t>
      </w:r>
      <w:r w:rsidRPr="00DC3374">
        <w:rPr>
          <w:b/>
          <w:bCs/>
          <w:rtl/>
        </w:rPr>
        <w:t>כנית לאיחוד המאמצים והמשאבים כאמור לצורך הקמת מקורות מידע אחודים של הממשלה לציבור בעת חירום</w:t>
      </w:r>
      <w:r w:rsidRPr="00DC3374">
        <w:rPr>
          <w:rFonts w:hint="cs"/>
          <w:b/>
          <w:bCs/>
          <w:rtl/>
        </w:rPr>
        <w:t xml:space="preserve"> אזרחי</w:t>
      </w:r>
      <w:r w:rsidRPr="00DC3374">
        <w:rPr>
          <w:b/>
          <w:bCs/>
          <w:rtl/>
        </w:rPr>
        <w:t xml:space="preserve"> ברוח החלטות הממשלה - החלטת הממשלה מ-2007 בנושא "הקמת מערך ההסברה הלאומי" והחלטת הממשלה מ-2014 בדבר הקמת אתר </w:t>
      </w:r>
      <w:r w:rsidRPr="00DC3374">
        <w:rPr>
          <w:rFonts w:hint="cs"/>
          <w:b/>
          <w:bCs/>
          <w:rtl/>
        </w:rPr>
        <w:t>אינטרנט</w:t>
      </w:r>
      <w:r w:rsidRPr="00DC3374">
        <w:rPr>
          <w:b/>
          <w:bCs/>
          <w:rtl/>
        </w:rPr>
        <w:t xml:space="preserve"> אחוד והנגשת </w:t>
      </w:r>
      <w:r w:rsidRPr="00DC3374">
        <w:rPr>
          <w:rFonts w:hint="cs"/>
          <w:b/>
          <w:bCs/>
          <w:rtl/>
        </w:rPr>
        <w:t>ה</w:t>
      </w:r>
      <w:r w:rsidRPr="00DC3374">
        <w:rPr>
          <w:b/>
          <w:bCs/>
          <w:rtl/>
        </w:rPr>
        <w:t xml:space="preserve">מידע הממשלתי לציבור. </w:t>
      </w:r>
    </w:p>
    <w:p w:rsidR="00E92F67" w:rsidRPr="00DC3374" w:rsidP="00E81188" w14:paraId="63E94282" w14:textId="6E77DCAF">
      <w:pPr>
        <w:spacing w:line="269" w:lineRule="auto"/>
        <w:ind w:left="720" w:hanging="720"/>
        <w:rPr>
          <w:rFonts w:eastAsiaTheme="majorEastAsia"/>
          <w:bCs/>
          <w:szCs w:val="32"/>
          <w:rtl/>
        </w:rPr>
      </w:pPr>
    </w:p>
    <w:p w:rsidR="0092532A" w:rsidRPr="00DC3374" w:rsidP="00E81188" w14:paraId="1FBB6153" w14:textId="3336B64C">
      <w:pPr>
        <w:pStyle w:val="Heading2"/>
        <w:spacing w:before="0" w:line="269" w:lineRule="auto"/>
        <w:rPr>
          <w:rtl/>
        </w:rPr>
      </w:pPr>
      <w:r w:rsidRPr="00DC3374">
        <w:rPr>
          <w:rFonts w:hint="cs"/>
          <w:rtl/>
        </w:rPr>
        <w:t xml:space="preserve">ההסברה לאוכלוסיות ייחודיות </w:t>
      </w:r>
    </w:p>
    <w:p w:rsidR="0092532A" w:rsidRPr="00DC3374" w:rsidP="00E81188" w14:paraId="72916545" w14:textId="77777777">
      <w:pPr>
        <w:pStyle w:val="Heading3"/>
        <w:spacing w:before="0" w:line="269" w:lineRule="auto"/>
        <w:rPr>
          <w:rtl/>
        </w:rPr>
      </w:pPr>
      <w:r w:rsidRPr="00DC3374">
        <w:rPr>
          <w:rFonts w:hint="cs"/>
          <w:rtl/>
        </w:rPr>
        <w:t>רקע - החברה הערבית והחברה החרדית במשבר הקורונה</w:t>
      </w:r>
    </w:p>
    <w:p w:rsidR="0092532A" w:rsidRPr="00DC3374" w:rsidP="00E81188" w14:paraId="4EE70A24" w14:textId="70F4777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107CED82" w14:textId="77777777">
      <w:pPr>
        <w:spacing w:line="269" w:lineRule="auto"/>
        <w:rPr>
          <w:rtl/>
        </w:rPr>
      </w:pPr>
      <w:r w:rsidRPr="00DC3374">
        <w:rPr>
          <w:rFonts w:hint="cs"/>
          <w:rtl/>
        </w:rPr>
        <w:t>החברה הישראלית מורכבת מקבוצות אוכלוסייה שונות, המובחנות זו מזו בצרכים, בשפה, בתפיסות ובהרגלים. שתי קבוצות האוכלוסייה הגדולות והמרכזיות בחברה הישראלית המתאפיינות בשונות תרבותית ודתית הן החברה הערבית, ששיעורה באוכלוסייה בישראל היה בשנת 2020 כ-21%, והחברה החרדית, שחלקה באוכלוסייה היה באותה שנה כ-12%</w:t>
      </w:r>
      <w:r>
        <w:rPr>
          <w:rStyle w:val="FootnoteReference1"/>
          <w:rtl/>
        </w:rPr>
        <w:footnoteReference w:id="66"/>
      </w:r>
      <w:r w:rsidRPr="00DC3374">
        <w:rPr>
          <w:rFonts w:hint="cs"/>
          <w:rtl/>
        </w:rPr>
        <w:t xml:space="preserve">. </w:t>
      </w:r>
    </w:p>
    <w:p w:rsidR="0092532A" w:rsidRPr="00DC3374" w:rsidP="00E81188" w14:paraId="23B05351" w14:textId="160FB22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3E792204" w14:textId="77777777">
      <w:pPr>
        <w:spacing w:line="269" w:lineRule="auto"/>
        <w:rPr>
          <w:rtl/>
        </w:rPr>
      </w:pPr>
      <w:r w:rsidRPr="00DC3374">
        <w:rPr>
          <w:rFonts w:hint="cs"/>
          <w:rtl/>
        </w:rPr>
        <w:t>על פי דוח הוועדה המייעצת למל"ל שהוגש לראש המל"ל באוקטובר 2020</w:t>
      </w:r>
      <w:r>
        <w:rPr>
          <w:rStyle w:val="FootnoteReference1"/>
          <w:rtl/>
        </w:rPr>
        <w:footnoteReference w:id="67"/>
      </w:r>
      <w:r w:rsidRPr="00DC3374">
        <w:rPr>
          <w:rFonts w:hint="cs"/>
          <w:rtl/>
        </w:rPr>
        <w:t>, במהלך משבר הקורונה התאפיינו אזורים גיאוגרפיים שבהם ריכוז גבוה של אוכלוסייה חרדית או אוכלוסייה ערבית במספר ממוצע גדול של חולים בהשוואה לאזורים הכוללים ריכוז גבוה של אוכלוסייה יהודית לא חרדית. עוד עולה מהדוח, כי האוכלוסייה החרדית סבלה מתחלואה גבוהה יחסית בשני הגלים הראשונים של משבר הקורונה, ואילו האוכלוסייה הערבית התאפיינה בתחלואה נמוכה יחסית במהלך הגל הראשון, אולם בגל השני חלה החמרה ניכרת בתחלואה בקרב אוכלוסייה זו.</w:t>
      </w:r>
    </w:p>
    <w:p w:rsidR="0092532A" w:rsidRPr="00DC3374" w:rsidP="00E81188" w14:paraId="481ADA41" w14:textId="6D83F26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094DD9" w:rsidP="00E81188" w14:paraId="4933D18B" w14:textId="1957C39C">
      <w:pPr>
        <w:spacing w:line="269" w:lineRule="auto"/>
        <w:rPr>
          <w:rtl/>
        </w:rPr>
      </w:pPr>
      <w:r w:rsidRPr="00DC3374">
        <w:rPr>
          <w:rFonts w:hint="cs"/>
          <w:rtl/>
        </w:rPr>
        <w:t xml:space="preserve">להלן שני תרשימים המציגים את נתוני התחלואה בישראל במהלך תקופת משבר הקורונה, ממרץ 2020 עד אוקטובר 2020, בפילוח לפי קבוצות אוכלוסייה: </w:t>
      </w:r>
    </w:p>
    <w:p w:rsidR="00094DD9" w14:paraId="56F80346" w14:textId="77777777">
      <w:pPr>
        <w:spacing w:line="240" w:lineRule="auto"/>
        <w:ind w:left="720" w:hanging="720"/>
        <w:rPr>
          <w:rtl/>
        </w:rPr>
      </w:pPr>
      <w:r>
        <w:rPr>
          <w:rtl/>
        </w:rPr>
        <w:br w:type="page"/>
      </w:r>
    </w:p>
    <w:p w:rsidR="0092532A" w:rsidRPr="00DC3374" w:rsidP="00E81188" w14:paraId="63FAAAD8" w14:textId="2255680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22790925" w14:textId="77777777">
      <w:pPr>
        <w:spacing w:line="269" w:lineRule="auto"/>
        <w:jc w:val="center"/>
        <w:rPr>
          <w:b/>
          <w:bCs/>
          <w:rtl/>
        </w:rPr>
      </w:pPr>
      <w:r w:rsidRPr="00DC3374">
        <w:rPr>
          <w:rFonts w:hint="cs"/>
          <w:b/>
          <w:bCs/>
          <w:rtl/>
        </w:rPr>
        <w:t xml:space="preserve">תרשים 46: מספר חולי הקורונה המאומתים </w:t>
      </w:r>
    </w:p>
    <w:p w:rsidR="0092532A" w:rsidRPr="00DC3374" w:rsidP="00E81188" w14:paraId="1860A0C4" w14:textId="77777777">
      <w:pPr>
        <w:spacing w:line="269" w:lineRule="auto"/>
        <w:jc w:val="center"/>
        <w:rPr>
          <w:b/>
          <w:bCs/>
          <w:rtl/>
        </w:rPr>
      </w:pPr>
      <w:r w:rsidRPr="00DC3374">
        <w:rPr>
          <w:rFonts w:hint="eastAsia"/>
          <w:b/>
          <w:bCs/>
          <w:rtl/>
        </w:rPr>
        <w:t>בפילוח</w:t>
      </w:r>
      <w:r w:rsidRPr="00DC3374">
        <w:rPr>
          <w:b/>
          <w:bCs/>
          <w:rtl/>
        </w:rPr>
        <w:t xml:space="preserve"> </w:t>
      </w:r>
      <w:r w:rsidRPr="00DC3374">
        <w:rPr>
          <w:rFonts w:hint="eastAsia"/>
          <w:b/>
          <w:bCs/>
          <w:rtl/>
        </w:rPr>
        <w:t>לפי</w:t>
      </w:r>
      <w:r w:rsidRPr="00DC3374">
        <w:rPr>
          <w:b/>
          <w:bCs/>
          <w:rtl/>
        </w:rPr>
        <w:t xml:space="preserve"> </w:t>
      </w:r>
      <w:r w:rsidRPr="00DC3374">
        <w:rPr>
          <w:rFonts w:hint="eastAsia"/>
          <w:b/>
          <w:bCs/>
          <w:rtl/>
        </w:rPr>
        <w:t>קבוצות</w:t>
      </w:r>
      <w:r w:rsidRPr="00DC3374">
        <w:rPr>
          <w:b/>
          <w:bCs/>
          <w:rtl/>
        </w:rPr>
        <w:t xml:space="preserve"> </w:t>
      </w:r>
      <w:r w:rsidRPr="00DC3374">
        <w:rPr>
          <w:rFonts w:hint="eastAsia"/>
          <w:b/>
          <w:bCs/>
          <w:rtl/>
        </w:rPr>
        <w:t>אוכלוסייה</w:t>
      </w:r>
      <w:r w:rsidRPr="00DC3374">
        <w:rPr>
          <w:b/>
          <w:bCs/>
          <w:rtl/>
        </w:rPr>
        <w:t xml:space="preserve"> (על </w:t>
      </w:r>
      <w:r w:rsidRPr="00DC3374">
        <w:rPr>
          <w:rFonts w:hint="eastAsia"/>
          <w:b/>
          <w:bCs/>
          <w:rtl/>
        </w:rPr>
        <w:t>בסיס</w:t>
      </w:r>
      <w:r w:rsidRPr="00DC3374">
        <w:rPr>
          <w:b/>
          <w:bCs/>
          <w:rtl/>
        </w:rPr>
        <w:t xml:space="preserve"> </w:t>
      </w:r>
      <w:r w:rsidRPr="00DC3374">
        <w:rPr>
          <w:rFonts w:hint="eastAsia"/>
          <w:b/>
          <w:bCs/>
          <w:rtl/>
        </w:rPr>
        <w:t>יומי</w:t>
      </w:r>
      <w:r w:rsidRPr="00DC3374">
        <w:rPr>
          <w:b/>
          <w:bCs/>
          <w:rtl/>
        </w:rPr>
        <w:t xml:space="preserve">, </w:t>
      </w:r>
      <w:r w:rsidRPr="00DC3374">
        <w:rPr>
          <w:rFonts w:hint="eastAsia"/>
          <w:b/>
          <w:bCs/>
          <w:rtl/>
        </w:rPr>
        <w:t>למיליון</w:t>
      </w:r>
      <w:r w:rsidRPr="00DC3374">
        <w:rPr>
          <w:b/>
          <w:bCs/>
          <w:rtl/>
        </w:rPr>
        <w:t xml:space="preserve"> </w:t>
      </w:r>
      <w:r w:rsidRPr="00DC3374">
        <w:rPr>
          <w:rFonts w:hint="eastAsia"/>
          <w:b/>
          <w:bCs/>
          <w:rtl/>
        </w:rPr>
        <w:t>נפש</w:t>
      </w:r>
      <w:r w:rsidRPr="00DC3374">
        <w:rPr>
          <w:b/>
          <w:bCs/>
          <w:rtl/>
        </w:rPr>
        <w:t>)</w:t>
      </w:r>
    </w:p>
    <w:p w:rsidR="001527FF" w:rsidRPr="00DC3374" w:rsidP="00E81188" w14:paraId="41CEA325" w14:textId="33D705F5">
      <w:pPr>
        <w:spacing w:line="269" w:lineRule="auto"/>
        <w:rPr>
          <w:szCs w:val="20"/>
          <w:rtl/>
        </w:rPr>
      </w:pPr>
      <w:r w:rsidRPr="00DC3374">
        <w:rPr>
          <w:noProof/>
        </w:rPr>
        <w:drawing>
          <wp:inline distT="0" distB="0" distL="0" distR="0">
            <wp:extent cx="5256000" cy="2290796"/>
            <wp:effectExtent l="0" t="0" r="1905" b="0"/>
            <wp:docPr id="11" name="תמונה 11" descr="C:\Users\haim_sha\AppData\Local\Microsoft\Windows\INetCache\Content.Word\MR-Tarshim-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99221" name="Picture 9" descr="C:\Users\haim_sha\AppData\Local\Microsoft\Windows\INetCache\Content.Word\MR-Tarshim-46.jpg"/>
                    <pic:cNvPicPr>
                      <a:picLocks noChangeAspect="1"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56000" cy="2290796"/>
                    </a:xfrm>
                    <a:prstGeom prst="rect">
                      <a:avLst/>
                    </a:prstGeom>
                    <a:noFill/>
                    <a:ln>
                      <a:noFill/>
                    </a:ln>
                  </pic:spPr>
                </pic:pic>
              </a:graphicData>
            </a:graphic>
          </wp:inline>
        </w:drawing>
      </w:r>
    </w:p>
    <w:p w:rsidR="0092532A" w:rsidRPr="00DC3374" w:rsidP="00E81188" w14:paraId="6B950541" w14:textId="13AD0B22">
      <w:pPr>
        <w:spacing w:line="269" w:lineRule="auto"/>
        <w:rPr>
          <w:szCs w:val="20"/>
          <w:rtl/>
        </w:rPr>
      </w:pPr>
      <w:r w:rsidRPr="00DC3374">
        <w:rPr>
          <w:rFonts w:hint="cs"/>
          <w:szCs w:val="20"/>
          <w:rtl/>
        </w:rPr>
        <w:t>באדיבות פרופ' ערן סגל, מכון ויצמן למדע, על בסיס נתוני משרד הבריאות, בעיבוד משרד מבקר המדינה.</w:t>
      </w:r>
    </w:p>
    <w:p w:rsidR="0092532A" w:rsidRPr="00DC3374" w:rsidP="00E81188" w14:paraId="061B488C" w14:textId="545D9F6D">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92532A" w:rsidRPr="00DC3374" w:rsidP="00E81188" w14:paraId="5FBAD5A9" w14:textId="77777777">
      <w:pPr>
        <w:spacing w:line="269" w:lineRule="auto"/>
        <w:rPr>
          <w:b/>
          <w:bCs/>
          <w:u w:val="single"/>
          <w:rtl/>
        </w:rPr>
      </w:pPr>
      <w:r w:rsidRPr="00DC3374">
        <w:rPr>
          <w:rFonts w:hint="cs"/>
          <w:rtl/>
        </w:rPr>
        <w:t xml:space="preserve">נתונים על היקף התחלואה נגזרים גם מהיקף בדיקות הקורונה באוכלוסייה. שיעור בדיקות הקורונה בחברה הערבית היה </w:t>
      </w:r>
      <w:r w:rsidRPr="00DC3374">
        <w:rPr>
          <w:rFonts w:hint="eastAsia"/>
          <w:rtl/>
        </w:rPr>
        <w:t>נמוך</w:t>
      </w:r>
      <w:r w:rsidRPr="00DC3374">
        <w:rPr>
          <w:rtl/>
        </w:rPr>
        <w:t xml:space="preserve"> יחסית </w:t>
      </w:r>
      <w:r w:rsidRPr="00DC3374">
        <w:rPr>
          <w:rFonts w:hint="eastAsia"/>
          <w:rtl/>
        </w:rPr>
        <w:t>לקבוצות</w:t>
      </w:r>
      <w:r w:rsidRPr="00DC3374">
        <w:rPr>
          <w:rFonts w:hint="cs"/>
          <w:rtl/>
        </w:rPr>
        <w:t xml:space="preserve"> האוכלוסייה האחרות במשך רובה המכריע של התקופה שנבדקה: על פי נתוני בנק ישראל (עד סוף ינואר 2021), מספר הבדיקות ל-1,000 נפש בחברה היהודית הכללית היה 1,100 בקירוב; בחברה החרדית - 1,150 בקירוב; ובחברה הערבית - 900 בקירוב. מכאן אפשר להניח שהנתונים על מספר החולים המאומתים בחברה הערבית מייצגים בחסר את המצב בפועל. סברה זו עשויה להסביר את הפער בין תרשים זה לתרשים שלהלן, שבו החברה הערבית בולטת במספר החולים המאושפזים מיולי 2020.</w:t>
      </w:r>
      <w:r w:rsidRPr="00DC3374">
        <w:rPr>
          <w:rFonts w:hint="cs"/>
          <w:b/>
          <w:bCs/>
          <w:u w:val="single"/>
          <w:rtl/>
        </w:rPr>
        <w:t xml:space="preserve"> </w:t>
      </w:r>
    </w:p>
    <w:p w:rsidR="0092532A" w:rsidRPr="00DC3374" w:rsidP="00E81188" w14:paraId="1DA39415" w14:textId="6CD8171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27749B62" w14:textId="77777777">
      <w:pPr>
        <w:spacing w:line="269" w:lineRule="auto"/>
        <w:jc w:val="center"/>
        <w:rPr>
          <w:b/>
          <w:bCs/>
          <w:rtl/>
        </w:rPr>
      </w:pPr>
      <w:r w:rsidRPr="00DC3374">
        <w:rPr>
          <w:rFonts w:hint="cs"/>
          <w:b/>
          <w:bCs/>
          <w:rtl/>
        </w:rPr>
        <w:t xml:space="preserve">תרשים 47: מספר חולי הקורונה המאושפזים </w:t>
      </w:r>
    </w:p>
    <w:p w:rsidR="0092532A" w:rsidRPr="00DC3374" w:rsidP="00E81188" w14:paraId="3F79C975" w14:textId="77777777">
      <w:pPr>
        <w:spacing w:line="269" w:lineRule="auto"/>
        <w:jc w:val="center"/>
        <w:rPr>
          <w:b/>
          <w:bCs/>
          <w:rtl/>
        </w:rPr>
      </w:pPr>
      <w:r w:rsidRPr="00DC3374">
        <w:rPr>
          <w:rFonts w:hint="eastAsia"/>
          <w:b/>
          <w:bCs/>
          <w:rtl/>
        </w:rPr>
        <w:t>בפילוח</w:t>
      </w:r>
      <w:r w:rsidRPr="00DC3374">
        <w:rPr>
          <w:b/>
          <w:bCs/>
          <w:rtl/>
        </w:rPr>
        <w:t xml:space="preserve"> </w:t>
      </w:r>
      <w:r w:rsidRPr="00DC3374">
        <w:rPr>
          <w:rFonts w:hint="eastAsia"/>
          <w:b/>
          <w:bCs/>
          <w:rtl/>
        </w:rPr>
        <w:t>לפי</w:t>
      </w:r>
      <w:r w:rsidRPr="00DC3374">
        <w:rPr>
          <w:b/>
          <w:bCs/>
          <w:rtl/>
        </w:rPr>
        <w:t xml:space="preserve"> </w:t>
      </w:r>
      <w:r w:rsidRPr="00DC3374">
        <w:rPr>
          <w:rFonts w:hint="eastAsia"/>
          <w:b/>
          <w:bCs/>
          <w:rtl/>
        </w:rPr>
        <w:t>קבוצות</w:t>
      </w:r>
      <w:r w:rsidRPr="00DC3374">
        <w:rPr>
          <w:b/>
          <w:bCs/>
          <w:rtl/>
        </w:rPr>
        <w:t xml:space="preserve"> </w:t>
      </w:r>
      <w:r w:rsidRPr="00DC3374">
        <w:rPr>
          <w:rFonts w:hint="eastAsia"/>
          <w:b/>
          <w:bCs/>
          <w:rtl/>
        </w:rPr>
        <w:t>אוכלוסייה</w:t>
      </w:r>
      <w:r w:rsidRPr="00DC3374">
        <w:rPr>
          <w:b/>
          <w:bCs/>
          <w:rtl/>
        </w:rPr>
        <w:t xml:space="preserve"> (על </w:t>
      </w:r>
      <w:r w:rsidRPr="00DC3374">
        <w:rPr>
          <w:rFonts w:hint="eastAsia"/>
          <w:b/>
          <w:bCs/>
          <w:rtl/>
        </w:rPr>
        <w:t>בסיס</w:t>
      </w:r>
      <w:r w:rsidRPr="00DC3374">
        <w:rPr>
          <w:b/>
          <w:bCs/>
          <w:rtl/>
        </w:rPr>
        <w:t xml:space="preserve"> </w:t>
      </w:r>
      <w:r w:rsidRPr="00DC3374">
        <w:rPr>
          <w:rFonts w:hint="eastAsia"/>
          <w:b/>
          <w:bCs/>
          <w:rtl/>
        </w:rPr>
        <w:t>יומי</w:t>
      </w:r>
      <w:r w:rsidRPr="00DC3374">
        <w:rPr>
          <w:b/>
          <w:bCs/>
          <w:rtl/>
        </w:rPr>
        <w:t xml:space="preserve">, </w:t>
      </w:r>
      <w:r w:rsidRPr="00DC3374">
        <w:rPr>
          <w:rFonts w:hint="eastAsia"/>
          <w:b/>
          <w:bCs/>
          <w:rtl/>
        </w:rPr>
        <w:t>למיליון</w:t>
      </w:r>
      <w:r w:rsidRPr="00DC3374">
        <w:rPr>
          <w:b/>
          <w:bCs/>
          <w:rtl/>
        </w:rPr>
        <w:t xml:space="preserve"> </w:t>
      </w:r>
      <w:r w:rsidRPr="00DC3374">
        <w:rPr>
          <w:rFonts w:hint="eastAsia"/>
          <w:b/>
          <w:bCs/>
          <w:rtl/>
        </w:rPr>
        <w:t>נפש</w:t>
      </w:r>
      <w:r w:rsidRPr="00DC3374">
        <w:rPr>
          <w:b/>
          <w:bCs/>
          <w:rtl/>
        </w:rPr>
        <w:t>)</w:t>
      </w:r>
    </w:p>
    <w:p w:rsidR="001527FF" w:rsidRPr="00DC3374" w:rsidP="00E81188" w14:paraId="7FCA41E3" w14:textId="1DC61E07">
      <w:pPr>
        <w:spacing w:line="269" w:lineRule="auto"/>
        <w:rPr>
          <w:szCs w:val="20"/>
          <w:rtl/>
        </w:rPr>
      </w:pPr>
      <w:r w:rsidRPr="00DC3374">
        <w:rPr>
          <w:noProof/>
        </w:rPr>
        <w:drawing>
          <wp:inline distT="0" distB="0" distL="0" distR="0">
            <wp:extent cx="5244537" cy="1944000"/>
            <wp:effectExtent l="0" t="0" r="0" b="0"/>
            <wp:docPr id="12" name="תמונה 12" descr="C:\Users\haim_sha\AppData\Local\Microsoft\Windows\INetCache\Content.Word\MR-Tarshim-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08969" name="Picture 11" descr="C:\Users\haim_sha\AppData\Local\Microsoft\Windows\INetCache\Content.Word\MR-Tarshim-47.jpg"/>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44537" cy="1944000"/>
                    </a:xfrm>
                    <a:prstGeom prst="rect">
                      <a:avLst/>
                    </a:prstGeom>
                    <a:noFill/>
                    <a:ln>
                      <a:noFill/>
                    </a:ln>
                  </pic:spPr>
                </pic:pic>
              </a:graphicData>
            </a:graphic>
          </wp:inline>
        </w:drawing>
      </w:r>
    </w:p>
    <w:p w:rsidR="0092532A" w:rsidRPr="00DC3374" w:rsidP="00E81188" w14:paraId="622B1541" w14:textId="7090E32D">
      <w:pPr>
        <w:spacing w:line="269" w:lineRule="auto"/>
        <w:rPr>
          <w:szCs w:val="20"/>
          <w:rtl/>
        </w:rPr>
      </w:pPr>
      <w:r w:rsidRPr="00DC3374">
        <w:rPr>
          <w:rFonts w:hint="cs"/>
          <w:szCs w:val="20"/>
          <w:rtl/>
        </w:rPr>
        <w:t>באדיבות פרופ' ערן סגל, מכון ויצמן למדע, על בסיס נתוני משרד הבריאות, בעיבוד משרד מבקר המדינה.</w:t>
      </w:r>
    </w:p>
    <w:p w:rsidR="0092532A" w:rsidRPr="00DC3374" w:rsidP="00E81188" w14:paraId="29DB3827" w14:textId="0EFBD1B1">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92532A" w:rsidRPr="00DC3374" w:rsidP="00E81188" w14:paraId="5A060C54" w14:textId="77777777">
      <w:pPr>
        <w:spacing w:line="269" w:lineRule="auto"/>
        <w:rPr>
          <w:szCs w:val="20"/>
          <w:rtl/>
        </w:rPr>
      </w:pPr>
      <w:r w:rsidRPr="00DC3374">
        <w:rPr>
          <w:rFonts w:hint="eastAsia"/>
          <w:rtl/>
        </w:rPr>
        <w:t>מהתרשימים</w:t>
      </w:r>
      <w:r w:rsidRPr="00DC3374">
        <w:rPr>
          <w:rtl/>
        </w:rPr>
        <w:t xml:space="preserve"> </w:t>
      </w:r>
      <w:r w:rsidRPr="00DC3374">
        <w:rPr>
          <w:rFonts w:hint="eastAsia"/>
          <w:rtl/>
        </w:rPr>
        <w:t>עולה</w:t>
      </w:r>
      <w:r w:rsidRPr="00DC3374">
        <w:rPr>
          <w:rFonts w:hint="cs"/>
          <w:szCs w:val="20"/>
          <w:rtl/>
        </w:rPr>
        <w:t xml:space="preserve"> </w:t>
      </w:r>
      <w:r w:rsidRPr="00DC3374">
        <w:rPr>
          <w:rFonts w:hint="cs"/>
          <w:rtl/>
        </w:rPr>
        <w:t>כי במחצית השנייה של חודש מרץ 2020 גדל מספר החולים המאומתים ו</w:t>
      </w:r>
      <w:r w:rsidRPr="00DC3374">
        <w:rPr>
          <w:rFonts w:hint="eastAsia"/>
          <w:rtl/>
        </w:rPr>
        <w:t>מספר</w:t>
      </w:r>
      <w:r w:rsidRPr="00DC3374">
        <w:rPr>
          <w:rtl/>
        </w:rPr>
        <w:t xml:space="preserve"> </w:t>
      </w:r>
      <w:r w:rsidRPr="00DC3374">
        <w:rPr>
          <w:rFonts w:hint="eastAsia"/>
          <w:rtl/>
        </w:rPr>
        <w:t>חולי</w:t>
      </w:r>
      <w:r w:rsidRPr="00DC3374">
        <w:rPr>
          <w:rtl/>
        </w:rPr>
        <w:t xml:space="preserve"> </w:t>
      </w:r>
      <w:r w:rsidRPr="00DC3374">
        <w:rPr>
          <w:rFonts w:hint="eastAsia"/>
          <w:rtl/>
        </w:rPr>
        <w:t>הקורונה</w:t>
      </w:r>
      <w:r w:rsidRPr="00DC3374">
        <w:rPr>
          <w:rtl/>
        </w:rPr>
        <w:t xml:space="preserve"> </w:t>
      </w:r>
      <w:r w:rsidRPr="00DC3374">
        <w:rPr>
          <w:rFonts w:hint="eastAsia"/>
          <w:rtl/>
        </w:rPr>
        <w:t>שהיו</w:t>
      </w:r>
      <w:r w:rsidRPr="00DC3374">
        <w:rPr>
          <w:rtl/>
        </w:rPr>
        <w:t xml:space="preserve"> </w:t>
      </w:r>
      <w:r w:rsidRPr="00DC3374">
        <w:rPr>
          <w:rFonts w:hint="eastAsia"/>
          <w:rtl/>
        </w:rPr>
        <w:t>מאושפזים</w:t>
      </w:r>
      <w:r w:rsidRPr="00DC3374">
        <w:rPr>
          <w:rFonts w:hint="cs"/>
          <w:rtl/>
        </w:rPr>
        <w:t>, בייחוד בקרב החברה החרדית, ובמהלך חודש אפריל קטן מספר החולים עד לתקופת רגיעה במאי 2020. כמו כן בחודש יולי 2020</w:t>
      </w:r>
      <w:r w:rsidRPr="00DC3374">
        <w:rPr>
          <w:rtl/>
        </w:rPr>
        <w:t xml:space="preserve"> </w:t>
      </w:r>
      <w:r w:rsidRPr="00DC3374">
        <w:rPr>
          <w:rFonts w:hint="cs"/>
          <w:rtl/>
        </w:rPr>
        <w:t xml:space="preserve">גדל באופן ניכר </w:t>
      </w:r>
      <w:r w:rsidRPr="00DC3374">
        <w:rPr>
          <w:rFonts w:hint="eastAsia"/>
          <w:rtl/>
        </w:rPr>
        <w:t>מספר</w:t>
      </w:r>
      <w:r w:rsidRPr="00DC3374">
        <w:rPr>
          <w:rtl/>
        </w:rPr>
        <w:t xml:space="preserve"> </w:t>
      </w:r>
      <w:r w:rsidRPr="00DC3374">
        <w:rPr>
          <w:rFonts w:hint="eastAsia"/>
          <w:rtl/>
        </w:rPr>
        <w:t>החולים</w:t>
      </w:r>
      <w:r w:rsidRPr="00DC3374">
        <w:rPr>
          <w:rtl/>
        </w:rPr>
        <w:t xml:space="preserve"> </w:t>
      </w:r>
      <w:r w:rsidRPr="00DC3374">
        <w:rPr>
          <w:rFonts w:hint="eastAsia"/>
          <w:rtl/>
        </w:rPr>
        <w:t>המאומתים</w:t>
      </w:r>
      <w:r w:rsidRPr="00DC3374">
        <w:rPr>
          <w:rtl/>
        </w:rPr>
        <w:t xml:space="preserve">, </w:t>
      </w:r>
      <w:r w:rsidRPr="00DC3374">
        <w:rPr>
          <w:rFonts w:hint="eastAsia"/>
          <w:rtl/>
        </w:rPr>
        <w:t>בייחוד</w:t>
      </w:r>
      <w:r w:rsidRPr="00DC3374">
        <w:rPr>
          <w:rtl/>
        </w:rPr>
        <w:t xml:space="preserve"> </w:t>
      </w:r>
      <w:r w:rsidRPr="00DC3374">
        <w:rPr>
          <w:rFonts w:hint="eastAsia"/>
          <w:rtl/>
        </w:rPr>
        <w:t>בקרב</w:t>
      </w:r>
      <w:r w:rsidRPr="00DC3374">
        <w:rPr>
          <w:rtl/>
        </w:rPr>
        <w:t xml:space="preserve"> </w:t>
      </w:r>
      <w:r w:rsidRPr="00DC3374">
        <w:rPr>
          <w:rFonts w:hint="eastAsia"/>
          <w:rtl/>
        </w:rPr>
        <w:t>החברה</w:t>
      </w:r>
      <w:r w:rsidRPr="00DC3374">
        <w:rPr>
          <w:rtl/>
        </w:rPr>
        <w:t xml:space="preserve"> </w:t>
      </w:r>
      <w:r w:rsidRPr="00DC3374">
        <w:rPr>
          <w:rFonts w:hint="eastAsia"/>
          <w:rtl/>
        </w:rPr>
        <w:t>החרדית</w:t>
      </w:r>
      <w:r w:rsidRPr="00DC3374">
        <w:rPr>
          <w:rFonts w:hint="cs"/>
          <w:rtl/>
        </w:rPr>
        <w:t>,</w:t>
      </w:r>
      <w:r w:rsidRPr="00DC3374">
        <w:rPr>
          <w:rtl/>
        </w:rPr>
        <w:t xml:space="preserve"> </w:t>
      </w:r>
      <w:r w:rsidRPr="00DC3374">
        <w:rPr>
          <w:rFonts w:hint="eastAsia"/>
          <w:rtl/>
        </w:rPr>
        <w:t>וכן</w:t>
      </w:r>
      <w:r w:rsidRPr="00DC3374">
        <w:rPr>
          <w:rtl/>
        </w:rPr>
        <w:t xml:space="preserve"> </w:t>
      </w:r>
      <w:r w:rsidRPr="00DC3374">
        <w:rPr>
          <w:rFonts w:hint="cs"/>
          <w:rtl/>
        </w:rPr>
        <w:t>גדל</w:t>
      </w:r>
      <w:r w:rsidRPr="00DC3374">
        <w:rPr>
          <w:rtl/>
        </w:rPr>
        <w:t xml:space="preserve"> </w:t>
      </w:r>
      <w:r w:rsidRPr="00DC3374">
        <w:rPr>
          <w:rFonts w:hint="eastAsia"/>
          <w:rtl/>
        </w:rPr>
        <w:t>מספר</w:t>
      </w:r>
      <w:r w:rsidRPr="00DC3374">
        <w:rPr>
          <w:rtl/>
        </w:rPr>
        <w:t xml:space="preserve"> </w:t>
      </w:r>
      <w:r w:rsidRPr="00DC3374">
        <w:rPr>
          <w:rFonts w:hint="eastAsia"/>
          <w:rtl/>
        </w:rPr>
        <w:t>חולי</w:t>
      </w:r>
      <w:r w:rsidRPr="00DC3374">
        <w:rPr>
          <w:rtl/>
        </w:rPr>
        <w:t xml:space="preserve"> </w:t>
      </w:r>
      <w:r w:rsidRPr="00DC3374">
        <w:rPr>
          <w:rFonts w:hint="eastAsia"/>
          <w:rtl/>
        </w:rPr>
        <w:t>הקורונה</w:t>
      </w:r>
      <w:r w:rsidRPr="00DC3374">
        <w:rPr>
          <w:rtl/>
        </w:rPr>
        <w:t xml:space="preserve"> </w:t>
      </w:r>
      <w:r w:rsidRPr="00DC3374">
        <w:rPr>
          <w:rFonts w:hint="eastAsia"/>
          <w:rtl/>
        </w:rPr>
        <w:t>שהיו</w:t>
      </w:r>
      <w:r w:rsidRPr="00DC3374">
        <w:rPr>
          <w:rtl/>
        </w:rPr>
        <w:t xml:space="preserve"> </w:t>
      </w:r>
      <w:r w:rsidRPr="00DC3374">
        <w:rPr>
          <w:rFonts w:hint="eastAsia"/>
          <w:rtl/>
        </w:rPr>
        <w:t>מאושפזים</w:t>
      </w:r>
      <w:r w:rsidRPr="00DC3374">
        <w:rPr>
          <w:rtl/>
        </w:rPr>
        <w:t xml:space="preserve"> </w:t>
      </w:r>
      <w:r w:rsidRPr="00DC3374">
        <w:rPr>
          <w:rFonts w:hint="eastAsia"/>
          <w:rtl/>
        </w:rPr>
        <w:t>בבתי</w:t>
      </w:r>
      <w:r w:rsidRPr="00DC3374">
        <w:rPr>
          <w:rtl/>
        </w:rPr>
        <w:t xml:space="preserve"> </w:t>
      </w:r>
      <w:r w:rsidRPr="00DC3374">
        <w:rPr>
          <w:rFonts w:hint="cs"/>
          <w:rtl/>
        </w:rPr>
        <w:t>ה</w:t>
      </w:r>
      <w:r w:rsidRPr="00DC3374">
        <w:rPr>
          <w:rFonts w:hint="eastAsia"/>
          <w:rtl/>
        </w:rPr>
        <w:t>חולים</w:t>
      </w:r>
      <w:r w:rsidRPr="00DC3374">
        <w:rPr>
          <w:rFonts w:hint="cs"/>
          <w:rtl/>
        </w:rPr>
        <w:t>, בייחוד ב</w:t>
      </w:r>
      <w:r w:rsidRPr="00DC3374">
        <w:rPr>
          <w:rFonts w:hint="eastAsia"/>
          <w:rtl/>
        </w:rPr>
        <w:t>חברה</w:t>
      </w:r>
      <w:r w:rsidRPr="00DC3374">
        <w:rPr>
          <w:rtl/>
        </w:rPr>
        <w:t xml:space="preserve"> </w:t>
      </w:r>
      <w:r w:rsidRPr="00DC3374">
        <w:rPr>
          <w:rFonts w:hint="eastAsia"/>
          <w:rtl/>
        </w:rPr>
        <w:t>הערבית</w:t>
      </w:r>
      <w:r w:rsidRPr="00DC3374">
        <w:rPr>
          <w:rFonts w:hint="cs"/>
          <w:rtl/>
        </w:rPr>
        <w:t xml:space="preserve"> ובחברה החרדית, עד לסוף אוקטובר 2020, אז השתוו היקפי החולים האלה (בהשוואה לשיעוריהם באוכלוסייה)</w:t>
      </w:r>
      <w:r w:rsidRPr="00DC3374">
        <w:rPr>
          <w:rFonts w:hint="cs"/>
          <w:szCs w:val="20"/>
          <w:rtl/>
        </w:rPr>
        <w:t>.</w:t>
      </w:r>
    </w:p>
    <w:p w:rsidR="0092532A" w:rsidRPr="00DC3374" w:rsidP="00E81188" w14:paraId="3513DC64" w14:textId="34F0BED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55FAB50E" w14:textId="77777777">
      <w:pPr>
        <w:spacing w:line="269" w:lineRule="auto"/>
        <w:rPr>
          <w:b/>
          <w:bCs/>
          <w:rtl/>
        </w:rPr>
      </w:pPr>
      <w:r w:rsidRPr="00DC3374">
        <w:rPr>
          <w:rFonts w:hint="cs"/>
          <w:rtl/>
        </w:rPr>
        <w:t xml:space="preserve">הגורמים המרכזיים לתחלואה הגבוהה בקרב החברה החרדית והחברה הערבית, על פי דוח הוועדה המייעצת למל"ל, הם מגורים בתנאי צפיפות וכן ריבוי התכנסויות במסגרת קהילתית בחגים </w:t>
      </w:r>
      <w:r w:rsidRPr="00DC3374">
        <w:rPr>
          <w:rFonts w:hint="cs"/>
          <w:rtl/>
        </w:rPr>
        <w:t>ובאירועים משפחתיים, לעיתים שלא בהתאם להנחיות. בנוגע לחברה החרדית צוין עוד כי ההתמודדות עם המגפה הייתה מורכבת בשל מאפייני היחסים שבין החברה החרדית למדינה ואופן המענה של המדינה לקשיים בחברה הזו, לנוכח היעדר קיומה של סמכות דתית אחת המקובלת על כלל הציבור החרדי. כן צוינה גם חשיפה מוגבלת להסברה בתקשורת הכללית ובאינטרנט. בנוגע לחברה הערבית צוינו חולשת התשתיות הרלוונטיות בהיערכות לחירום ובתחום הבריאות וכן מאפיינים במישור הכלכלי-חברתי, המתבטאים במיקום נמוך של רוב היישובים הערביים במדד הכלכלי-חברתי של הממשלה, בהשוואה לאוכלוסייה הכללית.</w:t>
      </w:r>
    </w:p>
    <w:p w:rsidR="0092532A" w:rsidRPr="00DC3374" w:rsidP="00E81188" w14:paraId="0E00B3EE" w14:textId="227B1A6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4C035CC5" w14:textId="77777777">
      <w:pPr>
        <w:spacing w:line="269" w:lineRule="auto"/>
        <w:rPr>
          <w:rtl/>
        </w:rPr>
      </w:pPr>
      <w:r w:rsidRPr="00DC3374">
        <w:rPr>
          <w:rFonts w:hint="eastAsia"/>
          <w:rtl/>
        </w:rPr>
        <w:t>יצוין</w:t>
      </w:r>
      <w:r w:rsidRPr="00DC3374">
        <w:rPr>
          <w:rtl/>
        </w:rPr>
        <w:t xml:space="preserve"> כי על</w:t>
      </w:r>
      <w:r w:rsidRPr="00DC3374">
        <w:rPr>
          <w:rFonts w:hint="cs"/>
          <w:rtl/>
        </w:rPr>
        <w:t xml:space="preserve"> </w:t>
      </w:r>
      <w:r w:rsidRPr="00DC3374">
        <w:rPr>
          <w:rtl/>
        </w:rPr>
        <w:t xml:space="preserve">פי דוח בנק ישראל לשנת 2020, </w:t>
      </w:r>
      <w:r w:rsidRPr="00DC3374">
        <w:rPr>
          <w:rFonts w:hint="cs"/>
          <w:rtl/>
        </w:rPr>
        <w:t>סיכוייהם של חרדים להיות מאומתים לנגיף הקורונה היו גבוהים פי 6.2 לעומת יהודים לא-חרדים, ולאחר התחשבות במאפיינים הדמוגרפיים, הכלכליים והחברתיים הייחודיים לחברה החרדית, הסיכוי היחסי של חרדים להיות מאומתים יורד, אך נותר גבוה - פי 4.6 לעומת יהודים לא-חרדים. ממצא זה עשוי ללמד, לדעת בנק ישראל, על כך שלמאפיינים הייחודיים לחברה החרדית הייתה השפעה מוגבלת על מידת התחלואה, וכי לגורמים התנהגותיים הייתה כפי הנראה תרומה לשיעורי המאומתים הגבוהים בקרבה. לעומת זאת, סיכוייהם של ערבים להיות מאומתים לנגיף הקורונה, לאחר התחשבות במאפיינים הייחודיים, היו דומים לסיכוייהם של יהודים לא-חרדים להיות מאומתים, וגבוהים מהם פי 1.3. עוד עולה מן הדוח כי לאחר התחשבות במאפיינים הייחודיים, הסיכוי היחסי של חרדים וערבים להתאשפז היה גבוה פי 3 בהשוואה ליהודים לא-חרדים.</w:t>
      </w:r>
    </w:p>
    <w:p w:rsidR="0092532A" w:rsidRPr="00DC3374" w:rsidP="00E81188" w14:paraId="380ACAF5" w14:textId="1CF733B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1118E73B" w14:textId="77777777">
      <w:pPr>
        <w:spacing w:line="269" w:lineRule="auto"/>
        <w:rPr>
          <w:rtl/>
        </w:rPr>
      </w:pPr>
      <w:r w:rsidRPr="00DC3374">
        <w:rPr>
          <w:rFonts w:hint="cs"/>
          <w:rtl/>
        </w:rPr>
        <w:t>ההתמודדות עם הקשיים והחסמים האמורים - דמוגרפיים, כלכליים, חברתיים והתנהגותיים, המאפיינים חלקים בקרב החברה החרדית והחברה הערבית, ואשר באו לידי ביטוי במהלך משבר הקורונה, היא משימה לאומית מורכבת, הדורשת מענה רב-מערכתי ואינה עומדת לפתחה של ההסברה בלבד. עם זאת, לגורמי ההסברה במשבר הקורונה, ובראשם מטה ההסברה הלאומי ומשרד הבריאות, היה תפקיד חשוב ברתימת אוכלוסיות אלו לציות להנחיות</w:t>
      </w:r>
      <w:r>
        <w:rPr>
          <w:rStyle w:val="FootnoteReference1"/>
          <w:rtl/>
        </w:rPr>
        <w:footnoteReference w:id="68"/>
      </w:r>
      <w:r w:rsidRPr="00DC3374">
        <w:rPr>
          <w:rFonts w:hint="cs"/>
          <w:rtl/>
        </w:rPr>
        <w:t xml:space="preserve">: על גורמי ההסברה היה למפות מבעוד מועד את הקבוצות השונות באוכלוסייה ולהכיר את מאפייניהן הייחודיים; היה עליהם לוודא כי בשעת חירום המידע בדבר מהות האיום ודרכי ההתגוננות מפניו מגיע גם לקבוצות שאינן חשופות לערוצי המידע המרכזיים, תוך התאמה של תוכן המסרים, השפה, שיטות ההסברה ואמצעי ההפצה לאוכלוסיות אלו; כמו כן בכל הנוגע לקשיים ולחסמים המצטברים עם התמשכות המשבר, תפקידה של ההסברה הוא לפעול במסגרת האמצעים שברשותה לחיזוק החוסן החברתי על ידי מתן מעטפת תומכת המלווה את חיי הפרט במהלך המשבר ומכירה בקשייו הייחודיים. </w:t>
      </w:r>
    </w:p>
    <w:p w:rsidR="0092532A" w:rsidRPr="00DC3374" w:rsidP="00E81188" w14:paraId="036B8E31" w14:textId="77777777">
      <w:pPr>
        <w:spacing w:line="269" w:lineRule="auto"/>
        <w:rPr>
          <w:rtl/>
        </w:rPr>
      </w:pPr>
    </w:p>
    <w:p w:rsidR="0092532A" w:rsidRPr="00DC3374" w:rsidP="00E81188" w14:paraId="503A936A" w14:textId="77777777">
      <w:pPr>
        <w:pStyle w:val="Heading3"/>
        <w:spacing w:before="0" w:line="269" w:lineRule="auto"/>
        <w:rPr>
          <w:rtl/>
        </w:rPr>
      </w:pPr>
      <w:r w:rsidRPr="00DC3374">
        <w:rPr>
          <w:rFonts w:hint="cs"/>
          <w:rtl/>
        </w:rPr>
        <w:t xml:space="preserve">פעולות ההסברה בתחילת משבר הקורונה </w:t>
      </w:r>
    </w:p>
    <w:p w:rsidR="0092532A" w:rsidRPr="00DC3374" w:rsidP="00E81188" w14:paraId="72362A63" w14:textId="77777777">
      <w:pPr>
        <w:pStyle w:val="Heading4"/>
        <w:spacing w:before="0" w:line="269" w:lineRule="auto"/>
        <w:rPr>
          <w:sz w:val="24"/>
          <w:szCs w:val="24"/>
        </w:rPr>
      </w:pPr>
      <w:r w:rsidRPr="00DC3374">
        <w:rPr>
          <w:rtl/>
        </w:rPr>
        <w:t>חשיבות ההסברה בתקופת ההתרעה לקראת משבר</w:t>
      </w:r>
      <w:r w:rsidRPr="00DC3374">
        <w:rPr>
          <w:sz w:val="24"/>
          <w:szCs w:val="24"/>
          <w:rtl/>
        </w:rPr>
        <w:t xml:space="preserve"> </w:t>
      </w:r>
    </w:p>
    <w:p w:rsidR="0092532A" w:rsidRPr="00DC3374" w:rsidP="00E81188" w14:paraId="230512D9" w14:textId="35C005C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14B0E47A" w14:textId="77777777">
      <w:pPr>
        <w:spacing w:line="269" w:lineRule="auto"/>
      </w:pPr>
      <w:r w:rsidRPr="00DC3374">
        <w:rPr>
          <w:rtl/>
        </w:rPr>
        <w:t>מגפת הקורונה התפרצה בישראל לאחר תקופ</w:t>
      </w:r>
      <w:r w:rsidRPr="00DC3374">
        <w:rPr>
          <w:rFonts w:hint="cs"/>
          <w:rtl/>
        </w:rPr>
        <w:t>ה</w:t>
      </w:r>
      <w:r w:rsidRPr="00DC3374">
        <w:rPr>
          <w:rtl/>
        </w:rPr>
        <w:t xml:space="preserve"> </w:t>
      </w:r>
      <w:r w:rsidRPr="00DC3374">
        <w:rPr>
          <w:rFonts w:hint="cs"/>
          <w:rtl/>
        </w:rPr>
        <w:t>של קרוב לחודשיים, מ-</w:t>
      </w:r>
      <w:r w:rsidRPr="00DC3374">
        <w:rPr>
          <w:rtl/>
        </w:rPr>
        <w:t>5 בינואר 2020</w:t>
      </w:r>
      <w:r w:rsidRPr="00DC3374">
        <w:rPr>
          <w:rFonts w:hint="cs"/>
          <w:rtl/>
        </w:rPr>
        <w:t xml:space="preserve"> - מועד הודעת ארגון הבריאות העולמי </w:t>
      </w:r>
      <w:r w:rsidRPr="00DC3374">
        <w:rPr>
          <w:rtl/>
        </w:rPr>
        <w:t>לרשויות הבריאות ברחבי העולם על התפרצות שפעת בסין ועל הצורך להיערך לאפשרות התפשטותה</w:t>
      </w:r>
      <w:r w:rsidRPr="00DC3374">
        <w:rPr>
          <w:rFonts w:hint="cs"/>
          <w:rtl/>
        </w:rPr>
        <w:t xml:space="preserve">, ועד </w:t>
      </w:r>
      <w:r w:rsidRPr="00DC3374">
        <w:rPr>
          <w:rtl/>
        </w:rPr>
        <w:t xml:space="preserve">27 בפברואר </w:t>
      </w:r>
      <w:r w:rsidRPr="00DC3374">
        <w:rPr>
          <w:rFonts w:hint="cs"/>
          <w:rtl/>
        </w:rPr>
        <w:t xml:space="preserve">2020, עת </w:t>
      </w:r>
      <w:r w:rsidRPr="00DC3374">
        <w:rPr>
          <w:rtl/>
        </w:rPr>
        <w:t>התגלה חולה קורונה מאומת ראשון בישראל.</w:t>
      </w:r>
    </w:p>
    <w:p w:rsidR="0092532A" w:rsidRPr="00DC3374" w:rsidP="00E81188" w14:paraId="6139E766" w14:textId="1C985FF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056F0E0C" w14:textId="77777777">
      <w:pPr>
        <w:spacing w:line="269" w:lineRule="auto"/>
        <w:rPr>
          <w:rtl/>
        </w:rPr>
      </w:pPr>
      <w:r w:rsidRPr="00DC3374">
        <w:rPr>
          <w:rtl/>
        </w:rPr>
        <w:t>תקופת ההתרעה היא פרק זמן יקר</w:t>
      </w:r>
      <w:r w:rsidRPr="00DC3374">
        <w:rPr>
          <w:rFonts w:hint="cs"/>
          <w:rtl/>
        </w:rPr>
        <w:t xml:space="preserve"> </w:t>
      </w:r>
      <w:r w:rsidRPr="00DC3374">
        <w:rPr>
          <w:rtl/>
        </w:rPr>
        <w:t xml:space="preserve">ערך עבור גורמי ההסברה, שכן בשלב זה הציבור נוטה לגלות קשב למידע בדבר האיום ולהנחיות ההתגוננות מפניו. על גורמי ההסברה לנצל </w:t>
      </w:r>
      <w:r w:rsidRPr="00DC3374">
        <w:rPr>
          <w:rFonts w:hint="cs"/>
          <w:rtl/>
        </w:rPr>
        <w:t xml:space="preserve">פרק </w:t>
      </w:r>
      <w:r w:rsidRPr="00DC3374">
        <w:rPr>
          <w:rtl/>
        </w:rPr>
        <w:t xml:space="preserve">זמן </w:t>
      </w:r>
      <w:r w:rsidRPr="00DC3374">
        <w:rPr>
          <w:rFonts w:hint="cs"/>
          <w:rtl/>
        </w:rPr>
        <w:t>זה</w:t>
      </w:r>
      <w:r w:rsidRPr="00DC3374">
        <w:rPr>
          <w:rtl/>
        </w:rPr>
        <w:t xml:space="preserve"> כדי לספק לציבור את המידע שהצטבר בנוגע למהות האיום, לוודא שהציבור מבין את הנחיות ההתגוננות וכן לבחון את הלכי הרוח בציבור ולפעול לביסוס אמון הציבור ברשויות, במטרה לחזק את נכונותו לציית להנחיות. בתהליך העברת המסרים לציבור יש חשיבות לחזרה על ההנחיות בדרכים שונות וכן להנגשת המידע לציבור באמצעות תקשורת ישירה</w:t>
      </w:r>
      <w:r w:rsidRPr="00DC3374">
        <w:rPr>
          <w:rFonts w:hint="cs"/>
          <w:rtl/>
        </w:rPr>
        <w:t>,</w:t>
      </w:r>
      <w:r w:rsidRPr="00DC3374">
        <w:rPr>
          <w:rtl/>
        </w:rPr>
        <w:t xml:space="preserve"> כגון אתר אינטרנט המותאם לאירוע החירום, מתעדכן בהתמדה ומספק מענה לשאלות הציבור. את המידע יש להנגיש גם לקהלים השונים באוכלוסייה באופן שיקל עליהם לקבל מידע ומענה לשאלותיהם.</w:t>
      </w:r>
      <w:r w:rsidRPr="00DC3374">
        <w:rPr>
          <w:rFonts w:hint="cs"/>
          <w:rtl/>
        </w:rPr>
        <w:t xml:space="preserve"> </w:t>
      </w:r>
    </w:p>
    <w:p w:rsidR="0092532A" w:rsidRPr="00DC3374" w:rsidP="00E81188" w14:paraId="107A9B9C" w14:textId="77777777">
      <w:pPr>
        <w:spacing w:line="269" w:lineRule="auto"/>
        <w:rPr>
          <w:rtl/>
        </w:rPr>
      </w:pPr>
    </w:p>
    <w:p w:rsidR="0092532A" w:rsidRPr="00DC3374" w:rsidP="00E81188" w14:paraId="4AB05A75" w14:textId="77777777">
      <w:pPr>
        <w:pStyle w:val="Heading4"/>
        <w:spacing w:before="0" w:line="269" w:lineRule="auto"/>
        <w:rPr>
          <w:rtl/>
        </w:rPr>
      </w:pPr>
      <w:r w:rsidRPr="00DC3374">
        <w:rPr>
          <w:rFonts w:hint="cs"/>
          <w:rtl/>
        </w:rPr>
        <w:t xml:space="preserve">ההסברה לחברה היהודית הכללית </w:t>
      </w:r>
    </w:p>
    <w:p w:rsidR="0092532A" w:rsidRPr="00DC3374" w:rsidP="00E81188" w14:paraId="6A8B097A" w14:textId="05569CE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72F77864" w14:textId="77777777">
      <w:pPr>
        <w:spacing w:line="269" w:lineRule="auto"/>
        <w:rPr>
          <w:rtl/>
        </w:rPr>
      </w:pPr>
      <w:r w:rsidRPr="00DC3374">
        <w:rPr>
          <w:rFonts w:hint="cs"/>
          <w:rtl/>
        </w:rPr>
        <w:t xml:space="preserve">משרד הבריאות החל למסור מידע והנחיות לחברה היהודית הכללית בנושא נגיף הקורונה וההתגוננות מפניו במחצית השנייה של ינואר 2020, סמוך לאחר פרוץ משבר הקורונה בסין. זאת, באמצעות הפצת עלונים לציבור, הכוללים המחשה של ההנחיות באינפוגרפיקה; סרטוני מידע והנחיות לציבור בהשתתפות רופאים ובכירי המשרד; מסרונים טלפוניים בעברית ובאנגלית לנכנסים לישראל; שיח רשת (צ'אט) בנושא הקורונה; ועדכונים שוטפים מדי יום ביומו. המשרד הפיץ את המידע השוטף במגוון ערוצים ובהם כלי התקשורת המסורתיים; ערוצי החדשות באינטרנט; אתר האינטרנט של המשרד; ערוץ יוטיוב; ורשתות חברתיות כגון פייסבוק, טוויטר, אינסטגרם וטלגרם. </w:t>
      </w:r>
    </w:p>
    <w:p w:rsidR="0092532A" w:rsidRPr="00DC3374" w:rsidP="00E81188" w14:paraId="1AD283D3" w14:textId="2A59EA0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1917F3EC" w14:textId="77777777">
      <w:pPr>
        <w:spacing w:line="269" w:lineRule="auto"/>
        <w:rPr>
          <w:rtl/>
        </w:rPr>
      </w:pPr>
      <w:r w:rsidRPr="00DC3374">
        <w:rPr>
          <w:rFonts w:hint="cs"/>
          <w:rtl/>
        </w:rPr>
        <w:t xml:space="preserve">בתחילת פברואר 2020 הפיץ משרד הבריאות מסע פרסום ראשון ובו הסבר על נגיף הקורונה והנחיות לשמירה על היגיינה. בתחילת מרץ 2020, סמוך לאחר שאותר חולה מאומת ראשון בישראל, הציג המשרד באתר האינטרנט מפה מתעדכנת, שבה סומנו מוקדי החשיפה לנגיף הקורונה בישראל, בהתאם למיקום הגיאוגרפי. כמו כן החל המשרד להפעיל יישומון ייעודי-שיתופי בנושא הקורונה, תוך מתן תמיכה והנחיות בנושא הכניסה לבידוד (יישומון </w:t>
      </w:r>
      <w:r w:rsidRPr="00DC3374">
        <w:rPr>
          <w:rFonts w:hint="cs"/>
        </w:rPr>
        <w:t>C</w:t>
      </w:r>
      <w:r w:rsidRPr="00DC3374">
        <w:t>oronApp</w:t>
      </w:r>
      <w:r w:rsidRPr="00DC3374">
        <w:rPr>
          <w:rFonts w:hint="cs"/>
          <w:rtl/>
        </w:rPr>
        <w:t>). לצד אלה, הופעל, כאמור, במחצית השנייה של פברואר המוקד הטלפוני של המשרד - "קול הבריאות" - בנושא הקורונה, במשותף עם מד"א וקופות החולים, ומתחילת מרץ 2020 הורחבו שעות פעילותו וכוח האדם שבו תוגבר בהדרגה.</w:t>
      </w:r>
    </w:p>
    <w:p w:rsidR="0092532A" w:rsidRPr="00DC3374" w:rsidP="00E81188" w14:paraId="46F55609" w14:textId="77777777">
      <w:pPr>
        <w:spacing w:line="269" w:lineRule="auto"/>
        <w:rPr>
          <w:rStyle w:val="5"/>
          <w:rtl/>
        </w:rPr>
      </w:pPr>
    </w:p>
    <w:p w:rsidR="0092532A" w:rsidRPr="00DC3374" w:rsidP="00E81188" w14:paraId="4CF2850A" w14:textId="77777777">
      <w:pPr>
        <w:pStyle w:val="Heading4"/>
        <w:spacing w:before="0" w:line="269" w:lineRule="auto"/>
      </w:pPr>
      <w:r w:rsidRPr="00DC3374">
        <w:rPr>
          <w:rFonts w:hint="cs"/>
          <w:rtl/>
        </w:rPr>
        <w:t xml:space="preserve">תרגום המידע והמסרים לשפה הערבית </w:t>
      </w:r>
    </w:p>
    <w:p w:rsidR="0092532A" w:rsidRPr="00DC3374" w:rsidP="00E81188" w14:paraId="0EE6AE72" w14:textId="020AD45A">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42BF0EC6" w14:textId="77777777">
      <w:pPr>
        <w:spacing w:line="269" w:lineRule="auto"/>
      </w:pPr>
      <w:r w:rsidRPr="00DC3374">
        <w:rPr>
          <w:rFonts w:hint="cs"/>
          <w:rtl/>
        </w:rPr>
        <w:t>על פי נתוני הלשכה המרכזית לסטטיסטיקה (להלן - למ"ס), כ-56% מתושבי המדינה הערבים מגיל 20 ומעלה דוברים עברית ברמה טובה, וכ-44% דוברים עברית ברמה בינונית, חלשה או אינם דוברים עברית כלל. כמו כן כ-50% מהתושבים הערבים מגיל 65 ומעלה אינם יודעים כלל לקרוא בעברית, ומגיל 20 עד 44 כ-11% אינם יודעים כלל לקרוא בעברית.</w:t>
      </w:r>
    </w:p>
    <w:p w:rsidR="0092532A" w:rsidRPr="00DC3374" w:rsidP="00E81188" w14:paraId="3264B2B6" w14:textId="49998670">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5C28C10A" w14:textId="77777777">
      <w:pPr>
        <w:spacing w:line="269" w:lineRule="auto"/>
        <w:rPr>
          <w:rtl/>
        </w:rPr>
      </w:pPr>
      <w:r w:rsidRPr="00DC3374">
        <w:rPr>
          <w:rFonts w:hint="cs"/>
          <w:rtl/>
        </w:rPr>
        <w:t xml:space="preserve">בתחילת חודש פברואר 2020 החל משרד הבריאות להפיץ בהדרגה מידע והנחיות בשפה הערבית. כך הפיץ המשרד עלוני מידע מתורגמים לערבית לחוזרים מחו"ל וכן קיים שיח רשת (צ'אט) בשפה הערבית בדף הפייסבוק של המשרד; בסוף פברואר הפיץ המשרד גרסה מתורגמת של מסע הפרסום בנושא נגיף הקורונה והשמירה על היגיינה; ובתחילת מרץ הפיץ סרטון מידע ראשון ובו המציג הוא רופא דובר ערבית. </w:t>
      </w:r>
    </w:p>
    <w:p w:rsidR="0092532A" w:rsidRPr="00DC3374" w:rsidP="00E81188" w14:paraId="22827D11" w14:textId="1745C88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0304C641" w14:textId="77777777">
      <w:pPr>
        <w:spacing w:line="269" w:lineRule="auto"/>
        <w:rPr>
          <w:rtl/>
        </w:rPr>
      </w:pPr>
      <w:r w:rsidRPr="00DC3374">
        <w:rPr>
          <w:rFonts w:hint="cs"/>
          <w:rtl/>
        </w:rPr>
        <w:t>משרד הבריאות מסר בתשובתו כי עם פרוץ המגפה הוא ניהל מידע בהיקף נרחב ובגידול חד, הנוגע לעולמות תוכן חדשים ותוך שינויים בתדירות גבוהה; תהליך התרגום כולל גם התאמת תכנים והזנתם ובקרת תרגום; משרד הבריאות ציין כי הוא השקיע ומשקיע מאמצים רבים להשלמת תרגום התכנים בזמן הקצר ביותר האפשרי.</w:t>
      </w:r>
    </w:p>
    <w:p w:rsidR="0092532A" w:rsidRPr="00DC3374" w:rsidP="00E81188" w14:paraId="69364D41" w14:textId="4203383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633EA5CF" w14:textId="77777777">
      <w:pPr>
        <w:spacing w:line="269" w:lineRule="auto"/>
        <w:rPr>
          <w:b/>
          <w:bCs/>
          <w:rtl/>
        </w:rPr>
      </w:pPr>
      <w:r w:rsidRPr="00DC3374">
        <w:rPr>
          <w:rFonts w:hint="eastAsia"/>
          <w:b/>
          <w:bCs/>
          <w:rtl/>
        </w:rPr>
        <w:t>משרד</w:t>
      </w:r>
      <w:r w:rsidRPr="00DC3374">
        <w:rPr>
          <w:b/>
          <w:bCs/>
          <w:rtl/>
        </w:rPr>
        <w:t xml:space="preserve"> </w:t>
      </w:r>
      <w:r w:rsidRPr="00DC3374">
        <w:rPr>
          <w:rFonts w:hint="eastAsia"/>
          <w:b/>
          <w:bCs/>
          <w:rtl/>
        </w:rPr>
        <w:t>הבריאות</w:t>
      </w:r>
      <w:r w:rsidRPr="00DC3374">
        <w:rPr>
          <w:rFonts w:hint="cs"/>
          <w:b/>
          <w:bCs/>
          <w:rtl/>
        </w:rPr>
        <w:t xml:space="preserve"> החל אפוא </w:t>
      </w:r>
      <w:r w:rsidRPr="00DC3374">
        <w:rPr>
          <w:rFonts w:hint="eastAsia"/>
          <w:b/>
          <w:bCs/>
          <w:rtl/>
        </w:rPr>
        <w:t>לתרגם</w:t>
      </w:r>
      <w:r w:rsidRPr="00DC3374">
        <w:rPr>
          <w:b/>
          <w:bCs/>
          <w:rtl/>
        </w:rPr>
        <w:t xml:space="preserve"> </w:t>
      </w:r>
      <w:r w:rsidRPr="00DC3374">
        <w:rPr>
          <w:rFonts w:hint="eastAsia"/>
          <w:b/>
          <w:bCs/>
          <w:rtl/>
        </w:rPr>
        <w:t>לשפה</w:t>
      </w:r>
      <w:r w:rsidRPr="00DC3374">
        <w:rPr>
          <w:b/>
          <w:bCs/>
          <w:rtl/>
        </w:rPr>
        <w:t xml:space="preserve"> </w:t>
      </w:r>
      <w:r w:rsidRPr="00DC3374">
        <w:rPr>
          <w:rFonts w:hint="eastAsia"/>
          <w:b/>
          <w:bCs/>
          <w:rtl/>
        </w:rPr>
        <w:t>הערבית</w:t>
      </w:r>
      <w:r w:rsidRPr="00DC3374">
        <w:rPr>
          <w:b/>
          <w:bCs/>
          <w:rtl/>
        </w:rPr>
        <w:t xml:space="preserve"> </w:t>
      </w:r>
      <w:r w:rsidRPr="00DC3374">
        <w:rPr>
          <w:rFonts w:hint="eastAsia"/>
          <w:b/>
          <w:bCs/>
          <w:rtl/>
        </w:rPr>
        <w:t>את</w:t>
      </w:r>
      <w:r w:rsidRPr="00DC3374">
        <w:rPr>
          <w:b/>
          <w:bCs/>
          <w:rtl/>
        </w:rPr>
        <w:t xml:space="preserve"> </w:t>
      </w:r>
      <w:r w:rsidRPr="00DC3374">
        <w:rPr>
          <w:rFonts w:hint="eastAsia"/>
          <w:b/>
          <w:bCs/>
          <w:rtl/>
        </w:rPr>
        <w:t>המידע</w:t>
      </w:r>
      <w:r w:rsidRPr="00DC3374">
        <w:rPr>
          <w:b/>
          <w:bCs/>
          <w:rtl/>
        </w:rPr>
        <w:t xml:space="preserve"> </w:t>
      </w:r>
      <w:r w:rsidRPr="00DC3374">
        <w:rPr>
          <w:rFonts w:hint="eastAsia"/>
          <w:b/>
          <w:bCs/>
          <w:rtl/>
        </w:rPr>
        <w:t>והמסרים</w:t>
      </w:r>
      <w:r w:rsidRPr="00DC3374">
        <w:rPr>
          <w:b/>
          <w:bCs/>
          <w:rtl/>
        </w:rPr>
        <w:t xml:space="preserve"> </w:t>
      </w:r>
      <w:r w:rsidRPr="00DC3374">
        <w:rPr>
          <w:rFonts w:hint="eastAsia"/>
          <w:b/>
          <w:bCs/>
          <w:rtl/>
        </w:rPr>
        <w:t>בנוגע</w:t>
      </w:r>
      <w:r w:rsidRPr="00DC3374">
        <w:rPr>
          <w:b/>
          <w:bCs/>
          <w:rtl/>
        </w:rPr>
        <w:t xml:space="preserve"> </w:t>
      </w:r>
      <w:r w:rsidRPr="00DC3374">
        <w:rPr>
          <w:rFonts w:hint="eastAsia"/>
          <w:b/>
          <w:bCs/>
          <w:rtl/>
        </w:rPr>
        <w:t>לנגיף</w:t>
      </w:r>
      <w:r w:rsidRPr="00DC3374">
        <w:rPr>
          <w:b/>
          <w:bCs/>
          <w:rtl/>
        </w:rPr>
        <w:t xml:space="preserve"> </w:t>
      </w:r>
      <w:r w:rsidRPr="00DC3374">
        <w:rPr>
          <w:rFonts w:hint="eastAsia"/>
          <w:b/>
          <w:bCs/>
          <w:rtl/>
        </w:rPr>
        <w:t>הקורונה</w:t>
      </w:r>
      <w:r w:rsidRPr="00DC3374">
        <w:rPr>
          <w:rFonts w:hint="cs"/>
          <w:b/>
          <w:bCs/>
          <w:rtl/>
        </w:rPr>
        <w:t xml:space="preserve"> בפברואר ומרץ 2020. זאת, </w:t>
      </w:r>
      <w:r w:rsidRPr="00DC3374">
        <w:rPr>
          <w:rFonts w:hint="eastAsia"/>
          <w:b/>
          <w:bCs/>
          <w:rtl/>
        </w:rPr>
        <w:t>באופן</w:t>
      </w:r>
      <w:r w:rsidRPr="00DC3374">
        <w:rPr>
          <w:b/>
          <w:bCs/>
          <w:rtl/>
        </w:rPr>
        <w:t xml:space="preserve"> </w:t>
      </w:r>
      <w:r w:rsidRPr="00DC3374">
        <w:rPr>
          <w:rFonts w:hint="eastAsia"/>
          <w:b/>
          <w:bCs/>
          <w:rtl/>
        </w:rPr>
        <w:t>מדורג</w:t>
      </w:r>
      <w:r w:rsidRPr="00DC3374">
        <w:rPr>
          <w:b/>
          <w:bCs/>
          <w:rtl/>
        </w:rPr>
        <w:t xml:space="preserve"> </w:t>
      </w:r>
      <w:r w:rsidRPr="00DC3374">
        <w:rPr>
          <w:rFonts w:hint="eastAsia"/>
          <w:b/>
          <w:bCs/>
          <w:rtl/>
        </w:rPr>
        <w:t>בהשוואה</w:t>
      </w:r>
      <w:r w:rsidRPr="00DC3374">
        <w:rPr>
          <w:b/>
          <w:bCs/>
          <w:rtl/>
        </w:rPr>
        <w:t xml:space="preserve"> </w:t>
      </w:r>
      <w:r w:rsidRPr="00DC3374">
        <w:rPr>
          <w:rFonts w:hint="eastAsia"/>
          <w:b/>
          <w:bCs/>
          <w:rtl/>
        </w:rPr>
        <w:t>למידע</w:t>
      </w:r>
      <w:r w:rsidRPr="00DC3374">
        <w:rPr>
          <w:b/>
          <w:bCs/>
          <w:rtl/>
        </w:rPr>
        <w:t xml:space="preserve"> </w:t>
      </w:r>
      <w:r w:rsidRPr="00DC3374">
        <w:rPr>
          <w:rFonts w:hint="eastAsia"/>
          <w:b/>
          <w:bCs/>
          <w:rtl/>
        </w:rPr>
        <w:t>שהועבר</w:t>
      </w:r>
      <w:r w:rsidRPr="00DC3374">
        <w:rPr>
          <w:b/>
          <w:bCs/>
          <w:rtl/>
        </w:rPr>
        <w:t xml:space="preserve"> </w:t>
      </w:r>
      <w:r w:rsidRPr="00DC3374">
        <w:rPr>
          <w:rFonts w:hint="eastAsia"/>
          <w:b/>
          <w:bCs/>
          <w:rtl/>
        </w:rPr>
        <w:t>בעברית</w:t>
      </w:r>
      <w:r w:rsidRPr="00DC3374">
        <w:rPr>
          <w:b/>
          <w:bCs/>
          <w:rtl/>
        </w:rPr>
        <w:t xml:space="preserve">, </w:t>
      </w:r>
      <w:r w:rsidRPr="00DC3374">
        <w:rPr>
          <w:rFonts w:hint="eastAsia"/>
          <w:b/>
          <w:bCs/>
          <w:rtl/>
        </w:rPr>
        <w:t>אף</w:t>
      </w:r>
      <w:r w:rsidRPr="00DC3374">
        <w:rPr>
          <w:b/>
          <w:bCs/>
          <w:rtl/>
        </w:rPr>
        <w:t xml:space="preserve"> </w:t>
      </w:r>
      <w:r w:rsidRPr="00DC3374">
        <w:rPr>
          <w:rFonts w:hint="eastAsia"/>
          <w:b/>
          <w:bCs/>
          <w:rtl/>
        </w:rPr>
        <w:t>על</w:t>
      </w:r>
      <w:r w:rsidRPr="00DC3374">
        <w:rPr>
          <w:b/>
          <w:bCs/>
          <w:rtl/>
        </w:rPr>
        <w:t xml:space="preserve"> </w:t>
      </w:r>
      <w:r w:rsidRPr="00DC3374">
        <w:rPr>
          <w:rFonts w:hint="eastAsia"/>
          <w:b/>
          <w:bCs/>
          <w:rtl/>
        </w:rPr>
        <w:t>פי</w:t>
      </w:r>
      <w:r w:rsidRPr="00DC3374">
        <w:rPr>
          <w:b/>
          <w:bCs/>
          <w:rtl/>
        </w:rPr>
        <w:t xml:space="preserve"> </w:t>
      </w:r>
      <w:r w:rsidRPr="00DC3374">
        <w:rPr>
          <w:rFonts w:hint="eastAsia"/>
          <w:b/>
          <w:bCs/>
          <w:rtl/>
        </w:rPr>
        <w:t>ש</w:t>
      </w:r>
      <w:r w:rsidRPr="00DC3374">
        <w:rPr>
          <w:rFonts w:hint="cs"/>
          <w:b/>
          <w:bCs/>
          <w:rtl/>
        </w:rPr>
        <w:t>כ-44%</w:t>
      </w:r>
      <w:r w:rsidRPr="00DC3374">
        <w:rPr>
          <w:b/>
          <w:bCs/>
          <w:rtl/>
        </w:rPr>
        <w:t xml:space="preserve"> </w:t>
      </w:r>
      <w:r w:rsidRPr="00DC3374">
        <w:rPr>
          <w:rFonts w:hint="eastAsia"/>
          <w:b/>
          <w:bCs/>
          <w:rtl/>
        </w:rPr>
        <w:t>מהתושבים</w:t>
      </w:r>
      <w:r w:rsidRPr="00DC3374">
        <w:rPr>
          <w:b/>
          <w:bCs/>
          <w:rtl/>
        </w:rPr>
        <w:t xml:space="preserve"> </w:t>
      </w:r>
      <w:r w:rsidRPr="00DC3374">
        <w:rPr>
          <w:rFonts w:hint="eastAsia"/>
          <w:b/>
          <w:bCs/>
          <w:rtl/>
        </w:rPr>
        <w:t>הערבים</w:t>
      </w:r>
      <w:r w:rsidRPr="00DC3374">
        <w:rPr>
          <w:b/>
          <w:bCs/>
          <w:rtl/>
        </w:rPr>
        <w:t xml:space="preserve"> </w:t>
      </w:r>
      <w:r w:rsidRPr="00DC3374">
        <w:rPr>
          <w:rFonts w:hint="cs"/>
          <w:b/>
          <w:bCs/>
          <w:rtl/>
        </w:rPr>
        <w:t xml:space="preserve">בני 20 ומעלה </w:t>
      </w:r>
      <w:r w:rsidRPr="00DC3374">
        <w:rPr>
          <w:rFonts w:hint="eastAsia"/>
          <w:b/>
          <w:bCs/>
          <w:rtl/>
        </w:rPr>
        <w:t>אינם</w:t>
      </w:r>
      <w:r w:rsidRPr="00DC3374">
        <w:rPr>
          <w:b/>
          <w:bCs/>
          <w:rtl/>
        </w:rPr>
        <w:t xml:space="preserve"> </w:t>
      </w:r>
      <w:r w:rsidRPr="00DC3374">
        <w:rPr>
          <w:rFonts w:hint="eastAsia"/>
          <w:b/>
          <w:bCs/>
          <w:rtl/>
        </w:rPr>
        <w:t>דוברים</w:t>
      </w:r>
      <w:r w:rsidRPr="00DC3374">
        <w:rPr>
          <w:b/>
          <w:bCs/>
          <w:rtl/>
        </w:rPr>
        <w:t xml:space="preserve"> </w:t>
      </w:r>
      <w:r w:rsidRPr="00DC3374">
        <w:rPr>
          <w:rFonts w:hint="eastAsia"/>
          <w:b/>
          <w:bCs/>
          <w:rtl/>
        </w:rPr>
        <w:t>עברית</w:t>
      </w:r>
      <w:r w:rsidRPr="00DC3374">
        <w:rPr>
          <w:b/>
          <w:bCs/>
          <w:rtl/>
        </w:rPr>
        <w:t xml:space="preserve"> </w:t>
      </w:r>
      <w:r w:rsidRPr="00DC3374">
        <w:rPr>
          <w:rFonts w:hint="eastAsia"/>
          <w:b/>
          <w:bCs/>
          <w:rtl/>
        </w:rPr>
        <w:t>על</w:t>
      </w:r>
      <w:r w:rsidRPr="00DC3374">
        <w:rPr>
          <w:b/>
          <w:bCs/>
          <w:rtl/>
        </w:rPr>
        <w:t xml:space="preserve"> </w:t>
      </w:r>
      <w:r w:rsidRPr="00DC3374">
        <w:rPr>
          <w:rFonts w:hint="eastAsia"/>
          <w:b/>
          <w:bCs/>
          <w:rtl/>
        </w:rPr>
        <w:t>בוריה</w:t>
      </w:r>
      <w:r w:rsidRPr="00DC3374">
        <w:rPr>
          <w:rFonts w:hint="cs"/>
          <w:b/>
          <w:bCs/>
          <w:rtl/>
        </w:rPr>
        <w:t xml:space="preserve">. כך, עד תחילת מרץ 2020 לא תורגם המידע באתר האינטרנט של משרד הבריאות לערבית; במרץ 2020 תורגם התוכן באתר לשפה הערבית, אך זאת באופן חלקי, ותוך עיכוב של כשישה ימים בהצגת ההודעות לציבור, ששיקף, על פי התיעוד, קושי מתמשך בתרגום המידע; במרץ ואפריל 2020 פורסם מידע חלקי בדבר מוקדי החשיפה לנגיף הקורונה בנוגע לחולים ערבים וברשויות מקומיות ערביות; מפת מוקדי החשיפה לא תורגמה לשפה הערבית עד </w:t>
      </w:r>
      <w:r w:rsidRPr="00DC3374">
        <w:rPr>
          <w:rFonts w:hint="eastAsia"/>
          <w:b/>
          <w:bCs/>
          <w:rtl/>
        </w:rPr>
        <w:t>למחצית</w:t>
      </w:r>
      <w:r w:rsidRPr="00DC3374">
        <w:rPr>
          <w:b/>
          <w:bCs/>
          <w:rtl/>
        </w:rPr>
        <w:t xml:space="preserve"> השנייה של אפריל (לכל </w:t>
      </w:r>
      <w:r w:rsidRPr="00DC3374">
        <w:rPr>
          <w:rFonts w:hint="eastAsia"/>
          <w:b/>
          <w:bCs/>
          <w:rtl/>
        </w:rPr>
        <w:t>המוקדם</w:t>
      </w:r>
      <w:r w:rsidRPr="00DC3374">
        <w:rPr>
          <w:b/>
          <w:bCs/>
          <w:rtl/>
        </w:rPr>
        <w:t>)</w:t>
      </w:r>
      <w:r w:rsidRPr="00DC3374">
        <w:rPr>
          <w:rFonts w:hint="cs"/>
          <w:b/>
          <w:bCs/>
          <w:rtl/>
        </w:rPr>
        <w:t xml:space="preserve">; ערוץ הטלגרם הייעודי של משרד הבריאות בערבית הופעל לראשונה סמוך לאמצע מרץ 2020; והמוקד הטלפוני "קול הבריאות" הופעל לראשונה בערבית במתכונת המותאמת למשבר הקורונה בתחילת אפריל 2020. </w:t>
      </w:r>
    </w:p>
    <w:p w:rsidR="0092532A" w:rsidRPr="00DC3374" w:rsidP="00E81188" w14:paraId="756BD5F4" w14:textId="77777777">
      <w:pPr>
        <w:spacing w:line="269" w:lineRule="auto"/>
        <w:rPr>
          <w:rtl/>
        </w:rPr>
      </w:pPr>
    </w:p>
    <w:p w:rsidR="0092532A" w:rsidRPr="00DC3374" w:rsidP="00E81188" w14:paraId="44FBF717" w14:textId="77777777">
      <w:pPr>
        <w:pStyle w:val="Heading4"/>
        <w:spacing w:before="0" w:line="269" w:lineRule="auto"/>
        <w:rPr>
          <w:b/>
          <w:bCs w:val="0"/>
        </w:rPr>
      </w:pPr>
      <w:r w:rsidRPr="00DC3374">
        <w:rPr>
          <w:rFonts w:hint="cs"/>
          <w:rtl/>
        </w:rPr>
        <w:t>התאמת אמצעי ההפצה לחברה החרדית</w:t>
      </w:r>
      <w:r w:rsidRPr="00DC3374">
        <w:rPr>
          <w:rFonts w:hint="cs"/>
          <w:b/>
          <w:bCs w:val="0"/>
          <w:rtl/>
        </w:rPr>
        <w:t xml:space="preserve"> </w:t>
      </w:r>
    </w:p>
    <w:p w:rsidR="0092532A" w:rsidRPr="00DC3374" w:rsidP="00E81188" w14:paraId="1142F42A" w14:textId="4938783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509DBBAF" w14:textId="77777777">
      <w:pPr>
        <w:spacing w:line="269" w:lineRule="auto"/>
      </w:pPr>
      <w:r w:rsidRPr="00DC3374">
        <w:rPr>
          <w:rFonts w:hint="cs"/>
          <w:rtl/>
        </w:rPr>
        <w:t>בתחילת פברואר 2020 הפיץ משרד הבריאות לחברה היהודית הכללית מסע פרסום בנושא היגיינה למניעת הידבקות, שהופץ לחברה החרדית בעיתונות ובדיגיטל; בתחילת מרץ 2020 הוכן לראשונה סרטון בנושא הקורונה בהשתתפות רופא המשתייך לחברה החרדית, והופצו מסרים ברדיו החרדי "קול חי" ובאמצעות פשקווילים; ובאמצע מרץ הופץ לראשונה מידע לחברה החרדית באמצעות כריזה ברחוב.</w:t>
      </w:r>
    </w:p>
    <w:p w:rsidR="0092532A" w:rsidRPr="00DC3374" w:rsidP="00E81188" w14:paraId="4E360CE7" w14:textId="0FBC8DAD">
      <w:pPr>
        <w:pStyle w:val="a"/>
        <w:spacing w:line="269" w:lineRule="auto"/>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92532A" w:rsidRPr="00DC3374" w:rsidP="00E81188" w14:paraId="0A99DC14" w14:textId="77777777">
      <w:pPr>
        <w:spacing w:line="269" w:lineRule="auto"/>
        <w:rPr>
          <w:rtl/>
        </w:rPr>
      </w:pPr>
      <w:r w:rsidRPr="00DC3374">
        <w:rPr>
          <w:rFonts w:hint="eastAsia"/>
          <w:b/>
          <w:bCs/>
          <w:rtl/>
        </w:rPr>
        <w:t>משרד</w:t>
      </w:r>
      <w:r w:rsidRPr="00DC3374">
        <w:rPr>
          <w:b/>
          <w:bCs/>
          <w:rtl/>
        </w:rPr>
        <w:t xml:space="preserve"> </w:t>
      </w:r>
      <w:r w:rsidRPr="00DC3374">
        <w:rPr>
          <w:rFonts w:hint="eastAsia"/>
          <w:b/>
          <w:bCs/>
          <w:rtl/>
        </w:rPr>
        <w:t>הבריאות</w:t>
      </w:r>
      <w:r w:rsidRPr="00DC3374">
        <w:rPr>
          <w:b/>
          <w:bCs/>
          <w:rtl/>
        </w:rPr>
        <w:t xml:space="preserve"> </w:t>
      </w:r>
      <w:r w:rsidRPr="00DC3374">
        <w:rPr>
          <w:rFonts w:hint="eastAsia"/>
          <w:b/>
          <w:bCs/>
          <w:rtl/>
        </w:rPr>
        <w:t>החל</w:t>
      </w:r>
      <w:r w:rsidRPr="00DC3374">
        <w:rPr>
          <w:rFonts w:hint="cs"/>
          <w:b/>
          <w:bCs/>
          <w:rtl/>
        </w:rPr>
        <w:t xml:space="preserve"> אפוא </w:t>
      </w:r>
      <w:r w:rsidRPr="00DC3374">
        <w:rPr>
          <w:rFonts w:hint="eastAsia"/>
          <w:b/>
          <w:bCs/>
          <w:rtl/>
        </w:rPr>
        <w:t>להעביר</w:t>
      </w:r>
      <w:r w:rsidRPr="00DC3374">
        <w:rPr>
          <w:b/>
          <w:bCs/>
          <w:rtl/>
        </w:rPr>
        <w:t xml:space="preserve"> </w:t>
      </w:r>
      <w:r w:rsidRPr="00DC3374">
        <w:rPr>
          <w:rFonts w:hint="eastAsia"/>
          <w:b/>
          <w:bCs/>
          <w:rtl/>
        </w:rPr>
        <w:t>מידע</w:t>
      </w:r>
      <w:r w:rsidRPr="00DC3374">
        <w:rPr>
          <w:b/>
          <w:bCs/>
          <w:rtl/>
        </w:rPr>
        <w:t xml:space="preserve"> </w:t>
      </w:r>
      <w:r w:rsidRPr="00DC3374">
        <w:rPr>
          <w:rFonts w:hint="eastAsia"/>
          <w:b/>
          <w:bCs/>
          <w:rtl/>
        </w:rPr>
        <w:t>לחברה</w:t>
      </w:r>
      <w:r w:rsidRPr="00DC3374">
        <w:rPr>
          <w:b/>
          <w:bCs/>
          <w:rtl/>
        </w:rPr>
        <w:t xml:space="preserve"> </w:t>
      </w:r>
      <w:r w:rsidRPr="00DC3374">
        <w:rPr>
          <w:rFonts w:hint="eastAsia"/>
          <w:b/>
          <w:bCs/>
          <w:rtl/>
        </w:rPr>
        <w:t>החרדית</w:t>
      </w:r>
      <w:r w:rsidRPr="00DC3374">
        <w:rPr>
          <w:b/>
          <w:bCs/>
          <w:rtl/>
        </w:rPr>
        <w:t xml:space="preserve"> </w:t>
      </w:r>
      <w:r w:rsidRPr="00DC3374">
        <w:rPr>
          <w:rFonts w:hint="eastAsia"/>
          <w:b/>
          <w:bCs/>
          <w:rtl/>
        </w:rPr>
        <w:t>בנוגע</w:t>
      </w:r>
      <w:r w:rsidRPr="00DC3374">
        <w:rPr>
          <w:b/>
          <w:bCs/>
          <w:rtl/>
        </w:rPr>
        <w:t xml:space="preserve"> </w:t>
      </w:r>
      <w:r w:rsidRPr="00DC3374">
        <w:rPr>
          <w:rFonts w:hint="eastAsia"/>
          <w:b/>
          <w:bCs/>
          <w:rtl/>
        </w:rPr>
        <w:t>לנגיף</w:t>
      </w:r>
      <w:r w:rsidRPr="00DC3374">
        <w:rPr>
          <w:b/>
          <w:bCs/>
          <w:rtl/>
        </w:rPr>
        <w:t xml:space="preserve"> </w:t>
      </w:r>
      <w:r w:rsidRPr="00DC3374">
        <w:rPr>
          <w:rFonts w:hint="eastAsia"/>
          <w:b/>
          <w:bCs/>
          <w:rtl/>
        </w:rPr>
        <w:t>הקורונה</w:t>
      </w:r>
      <w:r w:rsidRPr="00DC3374">
        <w:rPr>
          <w:b/>
          <w:bCs/>
          <w:rtl/>
        </w:rPr>
        <w:t xml:space="preserve"> </w:t>
      </w:r>
      <w:r w:rsidRPr="00DC3374">
        <w:rPr>
          <w:rFonts w:hint="eastAsia"/>
          <w:b/>
          <w:bCs/>
          <w:rtl/>
        </w:rPr>
        <w:t>באמצעי</w:t>
      </w:r>
      <w:r w:rsidRPr="00DC3374">
        <w:rPr>
          <w:b/>
          <w:bCs/>
          <w:rtl/>
        </w:rPr>
        <w:t xml:space="preserve"> </w:t>
      </w:r>
      <w:r w:rsidRPr="00DC3374">
        <w:rPr>
          <w:rFonts w:hint="eastAsia"/>
          <w:b/>
          <w:bCs/>
          <w:rtl/>
        </w:rPr>
        <w:t>הפצה</w:t>
      </w:r>
      <w:r w:rsidRPr="00DC3374">
        <w:rPr>
          <w:b/>
          <w:bCs/>
          <w:rtl/>
        </w:rPr>
        <w:t xml:space="preserve"> </w:t>
      </w:r>
      <w:r w:rsidRPr="00DC3374">
        <w:rPr>
          <w:rFonts w:hint="eastAsia"/>
          <w:b/>
          <w:bCs/>
          <w:rtl/>
        </w:rPr>
        <w:t>מותאמים</w:t>
      </w:r>
      <w:r w:rsidRPr="00DC3374">
        <w:rPr>
          <w:rFonts w:hint="cs"/>
          <w:b/>
          <w:bCs/>
          <w:rtl/>
        </w:rPr>
        <w:t xml:space="preserve"> - בעיתונות, ברדיו, באמצעות פשקווילים ובאמצעות כריזה - </w:t>
      </w:r>
      <w:r w:rsidRPr="00DC3374">
        <w:rPr>
          <w:rFonts w:hint="eastAsia"/>
          <w:b/>
          <w:bCs/>
          <w:rtl/>
        </w:rPr>
        <w:t>בפברואר</w:t>
      </w:r>
      <w:r w:rsidRPr="00DC3374">
        <w:rPr>
          <w:b/>
          <w:bCs/>
          <w:rtl/>
        </w:rPr>
        <w:t xml:space="preserve"> </w:t>
      </w:r>
      <w:r w:rsidRPr="00DC3374">
        <w:rPr>
          <w:rFonts w:hint="eastAsia"/>
          <w:b/>
          <w:bCs/>
          <w:rtl/>
        </w:rPr>
        <w:t>ו</w:t>
      </w:r>
      <w:r w:rsidRPr="00DC3374">
        <w:rPr>
          <w:rFonts w:hint="cs"/>
          <w:b/>
          <w:bCs/>
          <w:rtl/>
        </w:rPr>
        <w:t>ב</w:t>
      </w:r>
      <w:r w:rsidRPr="00DC3374">
        <w:rPr>
          <w:rFonts w:hint="eastAsia"/>
          <w:b/>
          <w:bCs/>
          <w:rtl/>
        </w:rPr>
        <w:t>מרץ</w:t>
      </w:r>
      <w:r w:rsidRPr="00DC3374">
        <w:rPr>
          <w:b/>
          <w:bCs/>
          <w:rtl/>
        </w:rPr>
        <w:t xml:space="preserve"> 2020. </w:t>
      </w:r>
      <w:r w:rsidRPr="00DC3374">
        <w:rPr>
          <w:rFonts w:hint="eastAsia"/>
          <w:b/>
          <w:bCs/>
          <w:rtl/>
        </w:rPr>
        <w:t>זאת</w:t>
      </w:r>
      <w:r w:rsidRPr="00DC3374">
        <w:rPr>
          <w:b/>
          <w:bCs/>
          <w:rtl/>
        </w:rPr>
        <w:t xml:space="preserve">, </w:t>
      </w:r>
      <w:r w:rsidRPr="00DC3374">
        <w:rPr>
          <w:rFonts w:hint="eastAsia"/>
          <w:b/>
          <w:bCs/>
          <w:rtl/>
        </w:rPr>
        <w:t>באופן</w:t>
      </w:r>
      <w:r w:rsidRPr="00DC3374">
        <w:rPr>
          <w:b/>
          <w:bCs/>
          <w:rtl/>
        </w:rPr>
        <w:t xml:space="preserve"> </w:t>
      </w:r>
      <w:r w:rsidRPr="00DC3374">
        <w:rPr>
          <w:rFonts w:hint="eastAsia"/>
          <w:b/>
          <w:bCs/>
          <w:rtl/>
        </w:rPr>
        <w:t>מדורג</w:t>
      </w:r>
      <w:r w:rsidRPr="00DC3374">
        <w:rPr>
          <w:b/>
          <w:bCs/>
          <w:rtl/>
        </w:rPr>
        <w:t xml:space="preserve"> </w:t>
      </w:r>
      <w:r w:rsidRPr="00DC3374">
        <w:rPr>
          <w:rFonts w:hint="eastAsia"/>
          <w:b/>
          <w:bCs/>
          <w:rtl/>
        </w:rPr>
        <w:t>בהשוואה</w:t>
      </w:r>
      <w:r w:rsidRPr="00DC3374">
        <w:rPr>
          <w:b/>
          <w:bCs/>
          <w:rtl/>
        </w:rPr>
        <w:t xml:space="preserve"> </w:t>
      </w:r>
      <w:r w:rsidRPr="00DC3374">
        <w:rPr>
          <w:rFonts w:hint="cs"/>
          <w:b/>
          <w:bCs/>
          <w:rtl/>
        </w:rPr>
        <w:t>לחברה</w:t>
      </w:r>
      <w:r w:rsidRPr="00DC3374">
        <w:rPr>
          <w:b/>
          <w:bCs/>
          <w:rtl/>
        </w:rPr>
        <w:t xml:space="preserve"> </w:t>
      </w:r>
      <w:r w:rsidRPr="00DC3374">
        <w:rPr>
          <w:rFonts w:hint="eastAsia"/>
          <w:b/>
          <w:bCs/>
          <w:rtl/>
        </w:rPr>
        <w:t>היהודית</w:t>
      </w:r>
      <w:r w:rsidRPr="00DC3374">
        <w:rPr>
          <w:b/>
          <w:bCs/>
          <w:rtl/>
        </w:rPr>
        <w:t xml:space="preserve"> </w:t>
      </w:r>
      <w:r w:rsidRPr="00DC3374">
        <w:rPr>
          <w:rFonts w:hint="eastAsia"/>
          <w:b/>
          <w:bCs/>
          <w:rtl/>
        </w:rPr>
        <w:t>הכללית</w:t>
      </w:r>
      <w:r w:rsidRPr="00DC3374">
        <w:rPr>
          <w:rFonts w:hint="cs"/>
          <w:b/>
          <w:bCs/>
          <w:rtl/>
        </w:rPr>
        <w:t xml:space="preserve">, אף על פי שחלק מהתושבים החרדים אינם חשופים לאמצעי התקשורת הנפוצים בכלל האוכלוסייה. מן המידע שהעביר משרד הבריאות לביקורת עולה כי מדובר בפרסומים מצומצמים יחסית בתכניהם ובהיקפם. זאת, בשונה מן העדכונים היומיים השוטפים והמפורטים שהעביר משרד הבריאות באמצעים הנפוצים יותר בקרב החברה היהודית הכללית, כגון אתר האינטרנט שלו והרשתות החברתיות. </w:t>
      </w:r>
    </w:p>
    <w:p w:rsidR="0092532A" w:rsidRPr="00DC3374" w:rsidP="00E81188" w14:paraId="4B9C9CCB" w14:textId="77777777">
      <w:pPr>
        <w:spacing w:line="269" w:lineRule="auto"/>
        <w:rPr>
          <w:rStyle w:val="5"/>
          <w:rtl/>
        </w:rPr>
      </w:pPr>
    </w:p>
    <w:p w:rsidR="0092532A" w:rsidRPr="00DC3374" w:rsidP="00E81188" w14:paraId="5237F40F" w14:textId="77777777">
      <w:pPr>
        <w:pStyle w:val="Heading4"/>
        <w:spacing w:before="0" w:line="269" w:lineRule="auto"/>
        <w:rPr>
          <w:b/>
          <w:bCs w:val="0"/>
          <w:rtl/>
        </w:rPr>
      </w:pPr>
      <w:r w:rsidRPr="00DC3374">
        <w:rPr>
          <w:rFonts w:hint="cs"/>
          <w:rtl/>
        </w:rPr>
        <w:t>פערים בהסברה והתאמה תרבותית</w:t>
      </w:r>
      <w:r w:rsidRPr="00DC3374">
        <w:rPr>
          <w:rFonts w:hint="cs"/>
          <w:b/>
          <w:bCs w:val="0"/>
          <w:rtl/>
        </w:rPr>
        <w:t xml:space="preserve"> </w:t>
      </w:r>
      <w:r w:rsidRPr="00DC3374">
        <w:rPr>
          <w:rFonts w:hint="eastAsia"/>
          <w:rtl/>
        </w:rPr>
        <w:t>לחברה</w:t>
      </w:r>
      <w:r w:rsidRPr="00DC3374">
        <w:rPr>
          <w:rtl/>
        </w:rPr>
        <w:t xml:space="preserve"> </w:t>
      </w:r>
      <w:r w:rsidRPr="00DC3374">
        <w:rPr>
          <w:rFonts w:hint="eastAsia"/>
          <w:rtl/>
        </w:rPr>
        <w:t>הערבית</w:t>
      </w:r>
      <w:r w:rsidRPr="00DC3374">
        <w:rPr>
          <w:rtl/>
        </w:rPr>
        <w:t xml:space="preserve"> </w:t>
      </w:r>
      <w:r w:rsidRPr="00DC3374">
        <w:rPr>
          <w:rFonts w:hint="eastAsia"/>
          <w:rtl/>
        </w:rPr>
        <w:t>ולחברה</w:t>
      </w:r>
      <w:r w:rsidRPr="00DC3374">
        <w:rPr>
          <w:rtl/>
        </w:rPr>
        <w:t xml:space="preserve"> </w:t>
      </w:r>
      <w:r w:rsidRPr="00DC3374">
        <w:rPr>
          <w:rFonts w:hint="eastAsia"/>
          <w:rtl/>
        </w:rPr>
        <w:t>החרדית</w:t>
      </w:r>
    </w:p>
    <w:p w:rsidR="0092532A" w:rsidRPr="00DC3374" w:rsidP="00E81188" w14:paraId="479AB4E5" w14:textId="39587B5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151AA00B" w14:textId="77777777">
      <w:pPr>
        <w:spacing w:line="269" w:lineRule="auto"/>
      </w:pPr>
      <w:r w:rsidRPr="00DC3374">
        <w:rPr>
          <w:rFonts w:hint="cs"/>
          <w:rtl/>
        </w:rPr>
        <w:t xml:space="preserve">במרץ 2020 הוחמרו ההגבלות על שגרת החיים, וב-10 במרץ נאסר על קיום אירועים המוניים של יותר מ-2,000 איש, תוך המלצה של משרד הבריאות לשקול נחיצות קיום אירועים באופן כללי. במועד זה חל חג הפורים, ובמסגרתו התקיימו אירועים רבי משתתפים, כגון קריאת מגילה, אירועים משפחתיים ואירועים קהילתיים שטרם נאסרו רשמית. ב-12 במרץ החליטה הממשלה על סגירת בתי הספר בישראל ואיסור התקהלות של יותר מ-10 אנשים, וב- 14 במרץ נסגרו כל מוסדות הלימוד וכן חלקים נרחבים במשק. ב-18 במרץ, בעקבות אי-סגירת חלק ממוסדות הלימוד בחברה החרדית, הבהיר משרד הבריאות כי ההגבלות חלות גם על מוסדות אלה. ב-2 באפריל, בשל נתוני תחלואה גבוהים בעיר בני ברק, הכריזה ועדת השרים להגדרת "אזור מוגבל" על העיר בני ברק כ"אזור מוגבל", אשר חלות על תושביו הגבלות תנועה מוגברות. באפריל הוכרזו אזורים מוגבלים נוספים, ובהם אזורים </w:t>
      </w:r>
      <w:r w:rsidRPr="00DC3374">
        <w:rPr>
          <w:rFonts w:hint="eastAsia"/>
          <w:rtl/>
        </w:rPr>
        <w:t>בירושלים</w:t>
      </w:r>
      <w:r w:rsidRPr="00DC3374">
        <w:rPr>
          <w:rtl/>
        </w:rPr>
        <w:t xml:space="preserve">, בבית שמש ובנתיבות </w:t>
      </w:r>
      <w:r w:rsidRPr="00DC3374">
        <w:rPr>
          <w:rFonts w:hint="cs"/>
          <w:rtl/>
        </w:rPr>
        <w:t xml:space="preserve">שבהם מתגוררת גם אוכלוסייה חרדית, והיישובים </w:t>
      </w:r>
      <w:r w:rsidRPr="00DC3374">
        <w:rPr>
          <w:rFonts w:hint="eastAsia"/>
          <w:rtl/>
        </w:rPr>
        <w:t>דיר</w:t>
      </w:r>
      <w:r w:rsidRPr="00DC3374">
        <w:rPr>
          <w:rtl/>
        </w:rPr>
        <w:t xml:space="preserve"> </w:t>
      </w:r>
      <w:r w:rsidRPr="00DC3374">
        <w:rPr>
          <w:rFonts w:hint="eastAsia"/>
          <w:rtl/>
        </w:rPr>
        <w:t>אל</w:t>
      </w:r>
      <w:r w:rsidRPr="00DC3374">
        <w:rPr>
          <w:rtl/>
        </w:rPr>
        <w:t xml:space="preserve"> </w:t>
      </w:r>
      <w:r w:rsidRPr="00DC3374">
        <w:rPr>
          <w:rFonts w:hint="eastAsia"/>
          <w:rtl/>
        </w:rPr>
        <w:t>אסד</w:t>
      </w:r>
      <w:r w:rsidRPr="00DC3374">
        <w:rPr>
          <w:rFonts w:hint="cs"/>
          <w:rtl/>
        </w:rPr>
        <w:t xml:space="preserve"> ובענה ושכונות במועצה המקומית חורה, שבהם מתגוררת אוכלוסייה ערבית.</w:t>
      </w:r>
    </w:p>
    <w:p w:rsidR="0092532A" w:rsidRPr="00DC3374" w:rsidP="00E81188" w14:paraId="397A7A39" w14:textId="3D823AD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2AAFA756" w14:textId="77777777">
      <w:pPr>
        <w:spacing w:line="269" w:lineRule="auto"/>
        <w:rPr>
          <w:rtl/>
        </w:rPr>
      </w:pPr>
      <w:r w:rsidRPr="00DC3374">
        <w:rPr>
          <w:rFonts w:hint="cs"/>
          <w:rtl/>
        </w:rPr>
        <w:t>בתקופה האמורה, סמוך למחצית השנייה של חודש מרץ 2020, זיהה משרד הבריאות פערי מידע ניכרים בנוגע להנחיות ההתנהגות במשבר הקורונה בקרב החברה החרדית והחברה הערבית בהשוואה לחברה היהודית הכללית. לצורך צמצום הפערים והעברת המידע וההנחיות באופן אפקטיבי גם לאוכלוסיות אלו, התקשר בדחיפות משרד הבריאות במחצית השנייה של מרץ עם משרד יחסי ציבור המתמחה בפרסום לחברה הערבית וכן עם משרד יחסי ציבור המתמחה בפרסום לחברה החרדית. כמו כן הסתייע המשרד בנציג המל"ל שהועמד לרשותו לצורך תגבור ההסברה לאוכלוסיות אלו, ובמנהל תחום ההסברה בערבית במטה ההסברה הלאומי, אשר תרגם חומרי הסברה לשפה הערבית ועבד עם משרד יחסי הציבור הרלוונטי. נוסף לאמור לעיל, ביולי 2020 תגברה לפ"ם את צוותי ההסברה שעסקו בנושא הקורונה באמצעות צירוף פרסומאים המתמחים בהסברה לחברה הערבית ולחברה החרדית.</w:t>
      </w:r>
    </w:p>
    <w:p w:rsidR="0092532A" w:rsidRPr="00DC3374" w:rsidP="00E81188" w14:paraId="2FB364C9" w14:textId="50B303B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102E44FF" w14:textId="77777777">
      <w:pPr>
        <w:spacing w:line="269" w:lineRule="auto"/>
        <w:rPr>
          <w:rtl/>
        </w:rPr>
      </w:pPr>
      <w:r w:rsidRPr="00DC3374">
        <w:rPr>
          <w:rFonts w:hint="cs"/>
          <w:rtl/>
        </w:rPr>
        <w:t xml:space="preserve">תגבור ההסברה לחברה הערבית כלל לראשונה במשבר הקורונה מסעות פרסום ייעודיים המתייחסים לחגים ולמנהגים, ובהם מסע פרסום בנושא שמירה על ריחוק חברתי ביום האם, אשר הופץ במחצית השנייה של חודש מרץ, ומסע פרסום לחודש הרמדאן, שהופץ באפריל. כמו כן באותה עת פנה המשרד לראשונה לאנשי ציבור, אנשי דת וידוענים ערבים, המשתייכים לזרמים שונים בחברה הערבית, אשר קראו לציבור לציית להנחיות; הקים קבוצת </w:t>
      </w:r>
      <w:r w:rsidRPr="00DC3374">
        <w:rPr>
          <w:sz w:val="22"/>
          <w:szCs w:val="22"/>
        </w:rPr>
        <w:t>WhatsApp</w:t>
      </w:r>
      <w:r w:rsidRPr="00DC3374">
        <w:rPr>
          <w:rFonts w:hint="cs"/>
          <w:rtl/>
        </w:rPr>
        <w:t xml:space="preserve"> ייעודית לאנשי תקשורת מהחברה הערבית; הרחיב והתאים את ההסברה בעמוד הפייסבוק של המשרד בערבית, לרבות שידורים חיים הפתוחים לשאלות ותשובות; ואף החל לפעול להתאמת תוכן ההנחיות לזרמים בתוך החברה הערבית תוך התייחסות נפרדת לחברה הבדואית בנגב ולתושבי מזרח ירושלים. מאמצע אפריל התקשר משרד הבריאות עם מכון ייעוץ המתמחה בהסברה לחברה </w:t>
      </w:r>
      <w:r w:rsidRPr="00DC3374">
        <w:rPr>
          <w:rFonts w:hint="cs"/>
          <w:rtl/>
        </w:rPr>
        <w:t xml:space="preserve">הבדואית בנגב לאחר שהתברר כי המידע בקרב קבוצת אוכלוסייה זו בנוגע להנחיות ההתגוננות מפני נגיף הקורונה אינו מספק. </w:t>
      </w:r>
      <w:r w:rsidRPr="00DC3374">
        <w:rPr>
          <w:rtl/>
        </w:rPr>
        <w:t>מ</w:t>
      </w:r>
      <w:r w:rsidRPr="00DC3374">
        <w:rPr>
          <w:rFonts w:hint="cs"/>
          <w:rtl/>
        </w:rPr>
        <w:t xml:space="preserve">המחצית השנייה של </w:t>
      </w:r>
      <w:r w:rsidRPr="00DC3374">
        <w:rPr>
          <w:rtl/>
        </w:rPr>
        <w:t xml:space="preserve">מרץ 2020 עד סוף אוקטובר 2020 הפיץ משרד הבריאות לחברה הערבית באמצעות יועצים כ-3,000 הודעות לעיתונות; כ-400 סרטונים; </w:t>
      </w:r>
      <w:r w:rsidRPr="00DC3374">
        <w:rPr>
          <w:rFonts w:hint="cs"/>
          <w:rtl/>
        </w:rPr>
        <w:t>כ-600,000</w:t>
      </w:r>
      <w:r w:rsidRPr="00DC3374">
        <w:rPr>
          <w:rtl/>
        </w:rPr>
        <w:t xml:space="preserve"> הודעות טלפוניות; כ-800 תמונות; </w:t>
      </w:r>
      <w:r w:rsidRPr="00DC3374">
        <w:rPr>
          <w:rFonts w:hint="cs"/>
          <w:rtl/>
        </w:rPr>
        <w:t>ו</w:t>
      </w:r>
      <w:r w:rsidRPr="00DC3374">
        <w:rPr>
          <w:rtl/>
        </w:rPr>
        <w:t xml:space="preserve">כ-230 שלטי חוצות; </w:t>
      </w:r>
      <w:r w:rsidRPr="00DC3374">
        <w:rPr>
          <w:rFonts w:hint="cs"/>
          <w:rtl/>
        </w:rPr>
        <w:t xml:space="preserve">הוא </w:t>
      </w:r>
      <w:r w:rsidRPr="00DC3374">
        <w:rPr>
          <w:rtl/>
        </w:rPr>
        <w:t>קיים כ-300 ראיונות בכלי התקשורת בערבית; הפעיל רכבי כריזה בהיקף של כ-250 שעות</w:t>
      </w:r>
      <w:r w:rsidRPr="00DC3374">
        <w:rPr>
          <w:rFonts w:hint="cs"/>
          <w:rtl/>
        </w:rPr>
        <w:t>; קידם הפצה של כ-160 פוסטים ברשתות החברתיות ובעמודים של מובילי דעת קהל; ויזם כ-100 פניות של אנשי דת מקומיים לציבור הערבי בקריאה לציית להנחיות</w:t>
      </w:r>
      <w:r w:rsidRPr="00DC3374">
        <w:rPr>
          <w:rtl/>
        </w:rPr>
        <w:t>.</w:t>
      </w:r>
      <w:r w:rsidRPr="00DC3374">
        <w:rPr>
          <w:rFonts w:hint="cs"/>
          <w:rtl/>
        </w:rPr>
        <w:t xml:space="preserve"> </w:t>
      </w:r>
    </w:p>
    <w:p w:rsidR="0092532A" w:rsidRPr="00DC3374" w:rsidP="00E81188" w14:paraId="5A19932C" w14:textId="278C6E5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222FE317" w14:textId="77777777">
      <w:pPr>
        <w:spacing w:line="269" w:lineRule="auto"/>
        <w:rPr>
          <w:rtl/>
        </w:rPr>
      </w:pPr>
      <w:r w:rsidRPr="00DC3374">
        <w:rPr>
          <w:rFonts w:hint="eastAsia"/>
          <w:rtl/>
        </w:rPr>
        <w:t>משרד</w:t>
      </w:r>
      <w:r w:rsidRPr="00DC3374">
        <w:rPr>
          <w:rtl/>
        </w:rPr>
        <w:t xml:space="preserve"> הבריאות ציין בתשובתו כי </w:t>
      </w:r>
      <w:r w:rsidRPr="00DC3374">
        <w:rPr>
          <w:rFonts w:hint="eastAsia"/>
          <w:rtl/>
        </w:rPr>
        <w:t>במחצית</w:t>
      </w:r>
      <w:r w:rsidRPr="00DC3374">
        <w:rPr>
          <w:rtl/>
        </w:rPr>
        <w:t xml:space="preserve"> השנייה של יולי 2020, לאחר מינוי ראש </w:t>
      </w:r>
      <w:r w:rsidRPr="00DC3374">
        <w:rPr>
          <w:rFonts w:hint="eastAsia"/>
          <w:rtl/>
        </w:rPr>
        <w:t>תוכנית</w:t>
      </w:r>
      <w:r w:rsidRPr="00DC3374">
        <w:rPr>
          <w:rtl/>
        </w:rPr>
        <w:t xml:space="preserve"> "מגן ישראל" למאבק בנגיף הקורונה, </w:t>
      </w:r>
      <w:r w:rsidRPr="00DC3374">
        <w:rPr>
          <w:rFonts w:hint="cs"/>
          <w:rtl/>
        </w:rPr>
        <w:t xml:space="preserve">הוא </w:t>
      </w:r>
      <w:r w:rsidRPr="00DC3374">
        <w:rPr>
          <w:rtl/>
        </w:rPr>
        <w:t>ביקר בתדירות גבוהה ביישובי החברה הערבית</w:t>
      </w:r>
      <w:r w:rsidRPr="00DC3374">
        <w:rPr>
          <w:rFonts w:hint="cs"/>
          <w:rtl/>
        </w:rPr>
        <w:t>,</w:t>
      </w:r>
      <w:r w:rsidRPr="00DC3374">
        <w:rPr>
          <w:rtl/>
        </w:rPr>
        <w:t xml:space="preserve"> והדבר פורסם בכלי התקשורת בערבית.</w:t>
      </w:r>
    </w:p>
    <w:p w:rsidR="0092532A" w:rsidRPr="00DC3374" w:rsidP="00E81188" w14:paraId="2227B69C" w14:textId="545173B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68953C8F" w14:textId="0547CB28">
      <w:pPr>
        <w:spacing w:line="269" w:lineRule="auto"/>
        <w:rPr>
          <w:rtl/>
        </w:rPr>
      </w:pPr>
      <w:r w:rsidRPr="00DC3374">
        <w:rPr>
          <w:rFonts w:hint="cs"/>
          <w:rtl/>
        </w:rPr>
        <w:t>תגבור ההסברה לחברה החרדית כלל לראשונה במשבר הקורונה מסעות פרסום ייעודיים הנוגעים לחגים ולמנהגים, ובהם מסע פרסום לקראת חג הפסח שהופץ באפריל ומסע פרסום לקראת ל"ג בעומר שהופץ במאי. כמו כן תוגברו אמצעי ההפצה הייעודיים וכללו עלוני מידע בדיוור ישיר; פשקווילים; מערכות כריזה; קווי נייעס (</w:t>
      </w:r>
      <w:r w:rsidRPr="00DC3374">
        <w:rPr>
          <w:rtl/>
        </w:rPr>
        <w:t xml:space="preserve">קו מידע קולי טלפוני המבוסס על מערכת מענה קולי </w:t>
      </w:r>
      <w:r w:rsidRPr="00DC3374">
        <w:rPr>
          <w:rFonts w:hint="cs"/>
          <w:rtl/>
        </w:rPr>
        <w:t>ו</w:t>
      </w:r>
      <w:r w:rsidRPr="00DC3374">
        <w:rPr>
          <w:rtl/>
        </w:rPr>
        <w:t xml:space="preserve">משמש כערוץ חדשות </w:t>
      </w:r>
      <w:r w:rsidR="00FD67A0">
        <w:rPr>
          <w:rFonts w:hint="cs"/>
          <w:rtl/>
        </w:rPr>
        <w:t xml:space="preserve">בחברה </w:t>
      </w:r>
      <w:r w:rsidRPr="00DC3374">
        <w:rPr>
          <w:rtl/>
        </w:rPr>
        <w:t>החרדי</w:t>
      </w:r>
      <w:r w:rsidR="00FD67A0">
        <w:rPr>
          <w:rFonts w:hint="cs"/>
          <w:rtl/>
        </w:rPr>
        <w:t>ת</w:t>
      </w:r>
      <w:r w:rsidRPr="00DC3374">
        <w:rPr>
          <w:rFonts w:hint="cs"/>
          <w:rtl/>
        </w:rPr>
        <w:t xml:space="preserve">); הודעות </w:t>
      </w:r>
      <w:r w:rsidRPr="00DC3374">
        <w:rPr>
          <w:sz w:val="22"/>
          <w:szCs w:val="22"/>
        </w:rPr>
        <w:t>IVR</w:t>
      </w:r>
      <w:r w:rsidRPr="00DC3374">
        <w:rPr>
          <w:rFonts w:hint="cs"/>
          <w:rtl/>
        </w:rPr>
        <w:t xml:space="preserve"> (מערכת לשליחת הודעות קוליות, לרבות למכשירים ניידים כשרים, </w:t>
      </w:r>
      <w:r w:rsidRPr="00DC3374">
        <w:rPr>
          <w:sz w:val="22"/>
          <w:szCs w:val="22"/>
        </w:rPr>
        <w:t>Interactive Voice Response</w:t>
      </w:r>
      <w:r w:rsidRPr="00DC3374">
        <w:rPr>
          <w:rFonts w:hint="cs"/>
          <w:rtl/>
        </w:rPr>
        <w:t xml:space="preserve">); מודעות בעיתונות החרדית; פרסום ברדיו החרדי; ראיונות עם מומחי משרד הבריאות בכלי התקשורת החרדיים; הפצת חומרי הסברה ייעודיים לנשים ולילדים מהחברה החרדית; והפצת סרטונים בערוצים ייעודיים באינטרנט ובקבוצות וואטסאפ ופייסבוק. נוסף על כך פנה משרד הבריאות לאנשי ציבור, פעילים מקומיים, רבנים וידוענים חרדים, אשר קראו לציבור לציית להנחיות. </w:t>
      </w:r>
      <w:r w:rsidRPr="00DC3374">
        <w:rPr>
          <w:rtl/>
        </w:rPr>
        <w:t>מ</w:t>
      </w:r>
      <w:r w:rsidRPr="00DC3374">
        <w:rPr>
          <w:rFonts w:hint="cs"/>
          <w:rtl/>
        </w:rPr>
        <w:t xml:space="preserve">המחצית השנייה של </w:t>
      </w:r>
      <w:r w:rsidRPr="00DC3374">
        <w:rPr>
          <w:rtl/>
        </w:rPr>
        <w:t>מרץ 2020 עד סוף אוקטובר 2020 הפיץ משרד הבריאות לחברה החרדית באמצעות יועצים מאות הודעות לעיתונות החרדית</w:t>
      </w:r>
      <w:r w:rsidRPr="00DC3374">
        <w:rPr>
          <w:rFonts w:hint="cs"/>
          <w:rtl/>
        </w:rPr>
        <w:t xml:space="preserve"> </w:t>
      </w:r>
      <w:r w:rsidRPr="00DC3374">
        <w:rPr>
          <w:rtl/>
        </w:rPr>
        <w:t>- ל</w:t>
      </w:r>
      <w:r w:rsidRPr="00DC3374">
        <w:rPr>
          <w:rFonts w:hint="cs"/>
          <w:rtl/>
        </w:rPr>
        <w:t xml:space="preserve">ארבעה </w:t>
      </w:r>
      <w:r w:rsidRPr="00DC3374">
        <w:rPr>
          <w:rtl/>
        </w:rPr>
        <w:t>עיתונים יומיים</w:t>
      </w:r>
      <w:r w:rsidRPr="00DC3374">
        <w:rPr>
          <w:rFonts w:hint="cs"/>
          <w:rtl/>
        </w:rPr>
        <w:t xml:space="preserve"> המייצגים פלגים שונים בחברה החרדית</w:t>
      </w:r>
      <w:r w:rsidRPr="00DC3374">
        <w:rPr>
          <w:rtl/>
        </w:rPr>
        <w:t xml:space="preserve">, </w:t>
      </w:r>
      <w:r w:rsidRPr="00DC3374">
        <w:rPr>
          <w:rFonts w:hint="cs"/>
          <w:rtl/>
        </w:rPr>
        <w:t xml:space="preserve">לארבעה </w:t>
      </w:r>
      <w:r w:rsidRPr="00DC3374">
        <w:rPr>
          <w:rtl/>
        </w:rPr>
        <w:t xml:space="preserve">שבועונים, </w:t>
      </w:r>
      <w:r w:rsidRPr="00DC3374">
        <w:rPr>
          <w:rFonts w:hint="cs"/>
          <w:rtl/>
        </w:rPr>
        <w:t xml:space="preserve">לחמישה </w:t>
      </w:r>
      <w:r w:rsidRPr="00DC3374">
        <w:rPr>
          <w:rtl/>
        </w:rPr>
        <w:t xml:space="preserve">אתרי אינטרנט, </w:t>
      </w:r>
      <w:r w:rsidRPr="00DC3374">
        <w:rPr>
          <w:rFonts w:hint="cs"/>
          <w:rtl/>
        </w:rPr>
        <w:t xml:space="preserve">לשתי </w:t>
      </w:r>
      <w:r w:rsidRPr="00DC3374">
        <w:rPr>
          <w:rtl/>
        </w:rPr>
        <w:t>תחנות רדיו ו</w:t>
      </w:r>
      <w:r w:rsidRPr="00DC3374">
        <w:rPr>
          <w:rFonts w:hint="cs"/>
          <w:rtl/>
        </w:rPr>
        <w:t xml:space="preserve">לארבעה </w:t>
      </w:r>
      <w:r w:rsidRPr="00DC3374">
        <w:rPr>
          <w:rtl/>
        </w:rPr>
        <w:t>קווי תוכן קוליים</w:t>
      </w:r>
      <w:r w:rsidRPr="00DC3374">
        <w:rPr>
          <w:rFonts w:hint="cs"/>
          <w:rtl/>
        </w:rPr>
        <w:t>:</w:t>
      </w:r>
      <w:r w:rsidRPr="00DC3374">
        <w:rPr>
          <w:rtl/>
        </w:rPr>
        <w:t xml:space="preserve"> כ-50 סרטונים הכוללים בין היתר קריאה של רבנים לציית להנחיות </w:t>
      </w:r>
      <w:r w:rsidRPr="00DC3374">
        <w:rPr>
          <w:rFonts w:hint="cs"/>
          <w:rtl/>
        </w:rPr>
        <w:t>ו-13</w:t>
      </w:r>
      <w:r w:rsidRPr="00DC3374">
        <w:rPr>
          <w:rtl/>
        </w:rPr>
        <w:t xml:space="preserve"> חוברות הסברה שארבע מהן הופצו ב-200,000 עותקים כל אחת; </w:t>
      </w:r>
      <w:r w:rsidRPr="00DC3374">
        <w:rPr>
          <w:rFonts w:hint="cs"/>
          <w:rtl/>
        </w:rPr>
        <w:t xml:space="preserve">הוא </w:t>
      </w:r>
      <w:r w:rsidRPr="00DC3374">
        <w:rPr>
          <w:rtl/>
        </w:rPr>
        <w:t>הקים מערך הפצת תכנים שמנה כ-13,000 משתתפים בכ-90 קבוצות; השמיע בהאזנה טלפונית כ-</w:t>
      </w:r>
      <w:r w:rsidRPr="00DC3374">
        <w:rPr>
          <w:rFonts w:hint="cs"/>
          <w:rtl/>
        </w:rPr>
        <w:t>13</w:t>
      </w:r>
      <w:r w:rsidRPr="00DC3374">
        <w:rPr>
          <w:rtl/>
        </w:rPr>
        <w:t xml:space="preserve"> מיליון הודעות; והפעיל רכבי כריזה בהיקף של 360 שעות.</w:t>
      </w:r>
      <w:r w:rsidRPr="00DC3374">
        <w:rPr>
          <w:rFonts w:hint="cs"/>
          <w:rtl/>
        </w:rPr>
        <w:t xml:space="preserve"> </w:t>
      </w:r>
    </w:p>
    <w:p w:rsidR="0092532A" w:rsidRPr="00DC3374" w:rsidP="00E81188" w14:paraId="40413B80" w14:textId="25A5A2F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21947984" w14:textId="77777777">
      <w:pPr>
        <w:spacing w:line="269" w:lineRule="auto"/>
        <w:rPr>
          <w:rtl/>
        </w:rPr>
      </w:pPr>
      <w:r w:rsidRPr="00DC3374">
        <w:rPr>
          <w:rFonts w:hint="cs"/>
          <w:rtl/>
        </w:rPr>
        <w:t>להלן תרשים המתאר את נקודות הציון המרכזיות בהסברה בתחילת משבר הקורונה, תוך התמקדות בחברה החרדית ובחברה הערבית:</w:t>
      </w:r>
      <w:r w:rsidRPr="00DC3374">
        <w:rPr>
          <w:rtl/>
        </w:rPr>
        <w:br w:type="page"/>
      </w:r>
    </w:p>
    <w:p w:rsidR="0092532A" w:rsidRPr="00DC3374" w:rsidP="00E81188" w14:paraId="58067287" w14:textId="3BB48CE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0A647A04" w14:textId="77777777">
      <w:pPr>
        <w:spacing w:line="269" w:lineRule="auto"/>
        <w:jc w:val="center"/>
        <w:rPr>
          <w:b/>
          <w:bCs/>
          <w:rtl/>
        </w:rPr>
      </w:pPr>
      <w:r w:rsidRPr="00DC3374">
        <w:rPr>
          <w:rFonts w:hint="cs"/>
          <w:b/>
          <w:bCs/>
          <w:rtl/>
        </w:rPr>
        <w:t>תרשים 48</w:t>
      </w:r>
      <w:r w:rsidRPr="00DC3374">
        <w:rPr>
          <w:b/>
          <w:bCs/>
          <w:rtl/>
        </w:rPr>
        <w:t xml:space="preserve">: </w:t>
      </w:r>
      <w:r w:rsidRPr="00DC3374">
        <w:rPr>
          <w:rFonts w:hint="eastAsia"/>
          <w:b/>
          <w:bCs/>
          <w:rtl/>
        </w:rPr>
        <w:t>ההסברה</w:t>
      </w:r>
      <w:r w:rsidRPr="00DC3374">
        <w:rPr>
          <w:b/>
          <w:bCs/>
          <w:rtl/>
        </w:rPr>
        <w:t xml:space="preserve"> </w:t>
      </w:r>
      <w:r w:rsidRPr="00DC3374">
        <w:rPr>
          <w:rFonts w:hint="eastAsia"/>
          <w:b/>
          <w:bCs/>
          <w:rtl/>
        </w:rPr>
        <w:t>בתחילת</w:t>
      </w:r>
      <w:r w:rsidRPr="00DC3374">
        <w:rPr>
          <w:b/>
          <w:bCs/>
          <w:rtl/>
        </w:rPr>
        <w:t xml:space="preserve"> </w:t>
      </w:r>
      <w:r w:rsidRPr="00DC3374">
        <w:rPr>
          <w:rFonts w:hint="eastAsia"/>
          <w:b/>
          <w:bCs/>
          <w:rtl/>
        </w:rPr>
        <w:t>משבר</w:t>
      </w:r>
      <w:r w:rsidRPr="00DC3374">
        <w:rPr>
          <w:b/>
          <w:bCs/>
          <w:rtl/>
        </w:rPr>
        <w:t xml:space="preserve"> </w:t>
      </w:r>
      <w:r w:rsidRPr="00DC3374">
        <w:rPr>
          <w:rFonts w:hint="eastAsia"/>
          <w:b/>
          <w:bCs/>
          <w:rtl/>
        </w:rPr>
        <w:t>הקורונה</w:t>
      </w:r>
      <w:r w:rsidRPr="00DC3374">
        <w:rPr>
          <w:b/>
          <w:bCs/>
          <w:rtl/>
        </w:rPr>
        <w:t xml:space="preserve"> - </w:t>
      </w:r>
      <w:r w:rsidRPr="00DC3374">
        <w:rPr>
          <w:rFonts w:hint="eastAsia"/>
          <w:b/>
          <w:bCs/>
          <w:rtl/>
        </w:rPr>
        <w:t>נקודות</w:t>
      </w:r>
      <w:r w:rsidRPr="00DC3374">
        <w:rPr>
          <w:b/>
          <w:bCs/>
          <w:rtl/>
        </w:rPr>
        <w:t xml:space="preserve"> </w:t>
      </w:r>
      <w:r w:rsidRPr="00DC3374">
        <w:rPr>
          <w:rFonts w:hint="eastAsia"/>
          <w:b/>
          <w:bCs/>
          <w:rtl/>
        </w:rPr>
        <w:t>ציון</w:t>
      </w:r>
      <w:r>
        <w:rPr>
          <w:rStyle w:val="FootnoteReference1"/>
          <w:b/>
          <w:bCs/>
          <w:rtl/>
        </w:rPr>
        <w:footnoteReference w:id="69"/>
      </w:r>
    </w:p>
    <w:p w:rsidR="0092532A" w:rsidRPr="00DC3374" w:rsidP="00E81188" w14:paraId="4BA99E2E" w14:textId="77777777">
      <w:pPr>
        <w:spacing w:line="269" w:lineRule="auto"/>
        <w:ind w:left="312"/>
        <w:jc w:val="center"/>
        <w:rPr>
          <w:b/>
          <w:bCs/>
          <w:u w:val="single"/>
          <w:rtl/>
        </w:rPr>
      </w:pPr>
      <w:r w:rsidRPr="00DC3374">
        <w:rPr>
          <w:noProof/>
        </w:rPr>
        <w:drawing>
          <wp:inline distT="0" distB="0" distL="0" distR="0">
            <wp:extent cx="4097147" cy="5743575"/>
            <wp:effectExtent l="0" t="0" r="0" b="0"/>
            <wp:docPr id="1743882400" name="תמונה 1743882400" descr="C:\Users\michal_re\AppData\Local\Microsoft\Windows\INetCache\Content.Word\MR-Tarshim-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19998" name="Picture 31" descr="C:\Users\michal_re\AppData\Local\Microsoft\Windows\INetCache\Content.Word\MR-Tarshim-48.jpg"/>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5050" cy="5754654"/>
                    </a:xfrm>
                    <a:prstGeom prst="rect">
                      <a:avLst/>
                    </a:prstGeom>
                    <a:noFill/>
                    <a:ln>
                      <a:noFill/>
                    </a:ln>
                  </pic:spPr>
                </pic:pic>
              </a:graphicData>
            </a:graphic>
          </wp:inline>
        </w:drawing>
      </w:r>
    </w:p>
    <w:p w:rsidR="0092532A" w:rsidRPr="00DC3374" w:rsidP="00E81188" w14:paraId="4526236D" w14:textId="77777777">
      <w:pPr>
        <w:spacing w:line="269" w:lineRule="auto"/>
        <w:ind w:left="312"/>
        <w:rPr>
          <w:szCs w:val="20"/>
          <w:rtl/>
        </w:rPr>
      </w:pPr>
      <w:r w:rsidRPr="00DC3374">
        <w:rPr>
          <w:rFonts w:hint="cs"/>
          <w:szCs w:val="20"/>
          <w:rtl/>
        </w:rPr>
        <w:t>על פי נתוני משרד הבריאות ומטה ההסברה הלאומי, בעיבוד משרד מבקר המדינה.</w:t>
      </w:r>
    </w:p>
    <w:p w:rsidR="0092532A" w:rsidRPr="00DC3374" w:rsidP="00E81188" w14:paraId="6329E8D5" w14:textId="0E23F66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59D62438" w14:textId="77777777">
      <w:pPr>
        <w:spacing w:line="269" w:lineRule="auto"/>
        <w:rPr>
          <w:b/>
          <w:bCs/>
          <w:rtl/>
        </w:rPr>
      </w:pPr>
      <w:r w:rsidRPr="00DC3374">
        <w:rPr>
          <w:rFonts w:hint="cs"/>
          <w:b/>
          <w:bCs/>
          <w:rtl/>
        </w:rPr>
        <w:t xml:space="preserve">מכל האמור עולה כי בסוף ינואר 2020 החל משרד הבריאות בהסברה נרחבת ושוטפת בעברית לכלל האוכלוסייה בנושא נגיף הקורונה והשפעותיו, ואילו ההסברה המותאמת לחברה הערבית ולחברה החרדית בתקופה שבין סוף ינואר 2020 לאמצע מרץ 2020 הייתה חלקית. זאת כאמור בהיעדר מחקר אוכלוסייה מוקדם ובהיעדר תוכנית פעולה להסברה בחירום לקהלי היעד השונים. </w:t>
      </w:r>
    </w:p>
    <w:p w:rsidR="0092532A" w:rsidRPr="00DC3374" w:rsidP="00E81188" w14:paraId="07386751" w14:textId="0F3D8FF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19E04247" w14:textId="77777777">
      <w:pPr>
        <w:spacing w:line="269" w:lineRule="auto"/>
        <w:rPr>
          <w:rtl/>
        </w:rPr>
      </w:pPr>
      <w:r w:rsidRPr="00DC3374">
        <w:rPr>
          <w:rFonts w:hint="cs"/>
          <w:b/>
          <w:bCs/>
          <w:rtl/>
        </w:rPr>
        <w:t xml:space="preserve">ההסברה לאוכלוסיות אלו תוגברה באמצע מרץ 2020 והותאמה בהדרגה באמצעות התקשרות עם יועצים חיצוניים, אולם על פי מסמכי משרד רה"ם ומשרד הבריאות, בפרק הזמן שחלף עד </w:t>
      </w:r>
      <w:r w:rsidRPr="00DC3374">
        <w:rPr>
          <w:rFonts w:hint="cs"/>
          <w:b/>
          <w:bCs/>
          <w:rtl/>
        </w:rPr>
        <w:t xml:space="preserve">תחילת ביצוע ההתאמות </w:t>
      </w:r>
      <w:r w:rsidRPr="00DC3374">
        <w:rPr>
          <w:rFonts w:hint="eastAsia"/>
          <w:b/>
          <w:bCs/>
          <w:rtl/>
        </w:rPr>
        <w:t>נוצר</w:t>
      </w:r>
      <w:r w:rsidRPr="00DC3374">
        <w:rPr>
          <w:b/>
          <w:bCs/>
          <w:rtl/>
        </w:rPr>
        <w:t xml:space="preserve"> פער בהטמעת הנחיות ההתנהגות בין החברה היהודית הכללית ובין החברה הערבית והחברה החרדית</w:t>
      </w:r>
      <w:r w:rsidRPr="00DC3374">
        <w:rPr>
          <w:rFonts w:hint="cs"/>
          <w:b/>
          <w:bCs/>
          <w:rtl/>
        </w:rPr>
        <w:t>.</w:t>
      </w:r>
      <w:r w:rsidRPr="00DC3374">
        <w:rPr>
          <w:rFonts w:hint="cs"/>
          <w:rtl/>
        </w:rPr>
        <w:t xml:space="preserve"> </w:t>
      </w:r>
    </w:p>
    <w:p w:rsidR="0092532A" w:rsidRPr="00DC3374" w:rsidP="00E81188" w14:paraId="4B5B6BF1" w14:textId="6ED4767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0D48E7B4" w14:textId="77777777">
      <w:pPr>
        <w:spacing w:line="269" w:lineRule="auto"/>
        <w:rPr>
          <w:rtl/>
        </w:rPr>
      </w:pPr>
      <w:r w:rsidRPr="00DC3374">
        <w:rPr>
          <w:rFonts w:hint="cs"/>
          <w:rtl/>
        </w:rPr>
        <w:t>יצוין כי פקע"ר החל לסייע למאמץ ההסברה במחצית השנייה של מרץ 2020: ב-18 במרץ השיק פקע"ר פורטל חירום לאומי ומוקד מידע טלפוני לציבור, אשר פעלו גם בשפה הערבית. כמו כן בתקופה זו החל פקע"ר להפיץ מסעות פרסום לציבור בנושא שמירה על הנחיות הקורונה, אשר חלקם הותאמו לחברה הערבית ולחברה החרדית. עם זאת, הפעילות האמורה החלה במהלך הגל הראשון של משבר הקורונה ולא קודם לכן.</w:t>
      </w:r>
    </w:p>
    <w:p w:rsidR="0092532A" w:rsidRPr="00DC3374" w:rsidP="00E81188" w14:paraId="40ED8E20" w14:textId="5A6CA41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74724221" w14:textId="77777777">
      <w:pPr>
        <w:spacing w:line="269" w:lineRule="auto"/>
        <w:rPr>
          <w:b/>
          <w:bCs/>
          <w:rtl/>
        </w:rPr>
      </w:pPr>
      <w:r w:rsidRPr="00DC3374">
        <w:rPr>
          <w:rFonts w:hint="eastAsia"/>
          <w:b/>
          <w:bCs/>
          <w:rtl/>
        </w:rPr>
        <w:t>מומלץ</w:t>
      </w:r>
      <w:r w:rsidRPr="00DC3374">
        <w:rPr>
          <w:b/>
          <w:bCs/>
          <w:rtl/>
        </w:rPr>
        <w:t xml:space="preserve"> כי </w:t>
      </w:r>
      <w:r w:rsidRPr="00DC3374">
        <w:rPr>
          <w:rFonts w:hint="eastAsia"/>
          <w:b/>
          <w:bCs/>
          <w:rtl/>
        </w:rPr>
        <w:t>מטה</w:t>
      </w:r>
      <w:r w:rsidRPr="00DC3374">
        <w:rPr>
          <w:b/>
          <w:bCs/>
          <w:rtl/>
        </w:rPr>
        <w:t xml:space="preserve"> ההסברה </w:t>
      </w:r>
      <w:r w:rsidRPr="00DC3374">
        <w:rPr>
          <w:rFonts w:hint="cs"/>
          <w:b/>
          <w:bCs/>
          <w:rtl/>
        </w:rPr>
        <w:t xml:space="preserve">הלאומי </w:t>
      </w:r>
      <w:r w:rsidRPr="00DC3374">
        <w:rPr>
          <w:b/>
          <w:bCs/>
          <w:rtl/>
        </w:rPr>
        <w:t xml:space="preserve">במשרד רה"ם יפעל </w:t>
      </w:r>
      <w:r w:rsidRPr="00DC3374">
        <w:rPr>
          <w:rFonts w:hint="cs"/>
          <w:b/>
          <w:bCs/>
          <w:rtl/>
        </w:rPr>
        <w:t>מבעוד מועד במסגרת ה</w:t>
      </w:r>
      <w:r w:rsidRPr="00DC3374">
        <w:rPr>
          <w:b/>
          <w:bCs/>
          <w:rtl/>
        </w:rPr>
        <w:t>ה</w:t>
      </w:r>
      <w:r w:rsidRPr="00DC3374">
        <w:rPr>
          <w:rFonts w:hint="cs"/>
          <w:b/>
          <w:bCs/>
          <w:rtl/>
        </w:rPr>
        <w:t>י</w:t>
      </w:r>
      <w:r w:rsidRPr="00DC3374">
        <w:rPr>
          <w:b/>
          <w:bCs/>
          <w:rtl/>
        </w:rPr>
        <w:t>ערכות לא</w:t>
      </w:r>
      <w:r w:rsidRPr="00DC3374">
        <w:rPr>
          <w:rFonts w:hint="cs"/>
          <w:b/>
          <w:bCs/>
          <w:rtl/>
        </w:rPr>
        <w:t>י</w:t>
      </w:r>
      <w:r w:rsidRPr="00DC3374">
        <w:rPr>
          <w:b/>
          <w:bCs/>
          <w:rtl/>
        </w:rPr>
        <w:t>רועי ח</w:t>
      </w:r>
      <w:r w:rsidRPr="00DC3374">
        <w:rPr>
          <w:rFonts w:hint="cs"/>
          <w:b/>
          <w:bCs/>
          <w:rtl/>
        </w:rPr>
        <w:t>י</w:t>
      </w:r>
      <w:r w:rsidRPr="00DC3374">
        <w:rPr>
          <w:b/>
          <w:bCs/>
          <w:rtl/>
        </w:rPr>
        <w:t xml:space="preserve">רום </w:t>
      </w:r>
      <w:r w:rsidRPr="00DC3374">
        <w:rPr>
          <w:rFonts w:hint="cs"/>
          <w:b/>
          <w:bCs/>
          <w:rtl/>
        </w:rPr>
        <w:t>לגיבוש</w:t>
      </w:r>
      <w:r w:rsidRPr="00DC3374">
        <w:rPr>
          <w:b/>
          <w:bCs/>
          <w:rtl/>
        </w:rPr>
        <w:t xml:space="preserve"> תוכניות </w:t>
      </w:r>
      <w:r w:rsidRPr="00DC3374">
        <w:rPr>
          <w:rFonts w:hint="eastAsia"/>
          <w:b/>
          <w:bCs/>
          <w:rtl/>
        </w:rPr>
        <w:t>הסברה</w:t>
      </w:r>
      <w:r w:rsidRPr="00DC3374">
        <w:rPr>
          <w:b/>
          <w:bCs/>
          <w:rtl/>
        </w:rPr>
        <w:t xml:space="preserve"> </w:t>
      </w:r>
      <w:r w:rsidRPr="00DC3374">
        <w:rPr>
          <w:rFonts w:hint="eastAsia"/>
          <w:b/>
          <w:bCs/>
          <w:rtl/>
        </w:rPr>
        <w:t>לאוכולוסיות</w:t>
      </w:r>
      <w:r w:rsidRPr="00DC3374">
        <w:rPr>
          <w:b/>
          <w:bCs/>
          <w:rtl/>
        </w:rPr>
        <w:t xml:space="preserve"> </w:t>
      </w:r>
      <w:r w:rsidRPr="00DC3374">
        <w:rPr>
          <w:rFonts w:hint="cs"/>
          <w:b/>
          <w:bCs/>
          <w:rtl/>
        </w:rPr>
        <w:t>ייחודיות,</w:t>
      </w:r>
      <w:r w:rsidRPr="00DC3374">
        <w:rPr>
          <w:b/>
          <w:bCs/>
          <w:rtl/>
        </w:rPr>
        <w:t xml:space="preserve"> </w:t>
      </w:r>
      <w:r w:rsidRPr="00DC3374">
        <w:rPr>
          <w:rFonts w:hint="eastAsia"/>
          <w:b/>
          <w:bCs/>
          <w:rtl/>
        </w:rPr>
        <w:t>ובפרט</w:t>
      </w:r>
      <w:r w:rsidRPr="00DC3374">
        <w:rPr>
          <w:b/>
          <w:bCs/>
          <w:rtl/>
        </w:rPr>
        <w:t xml:space="preserve"> </w:t>
      </w:r>
      <w:r w:rsidRPr="00DC3374">
        <w:rPr>
          <w:rFonts w:hint="eastAsia"/>
          <w:b/>
          <w:bCs/>
          <w:rtl/>
        </w:rPr>
        <w:t>לחברה</w:t>
      </w:r>
      <w:r w:rsidRPr="00DC3374">
        <w:rPr>
          <w:b/>
          <w:bCs/>
          <w:rtl/>
        </w:rPr>
        <w:t xml:space="preserve"> </w:t>
      </w:r>
      <w:r w:rsidRPr="00DC3374">
        <w:rPr>
          <w:rFonts w:hint="eastAsia"/>
          <w:b/>
          <w:bCs/>
          <w:rtl/>
        </w:rPr>
        <w:t>הערבית</w:t>
      </w:r>
      <w:r w:rsidRPr="00DC3374">
        <w:rPr>
          <w:b/>
          <w:bCs/>
          <w:rtl/>
        </w:rPr>
        <w:t xml:space="preserve"> </w:t>
      </w:r>
      <w:r w:rsidRPr="00DC3374">
        <w:rPr>
          <w:rFonts w:hint="eastAsia"/>
          <w:b/>
          <w:bCs/>
          <w:rtl/>
        </w:rPr>
        <w:t>ו</w:t>
      </w:r>
      <w:r w:rsidRPr="00DC3374">
        <w:rPr>
          <w:rFonts w:hint="cs"/>
          <w:b/>
          <w:bCs/>
          <w:rtl/>
        </w:rPr>
        <w:t xml:space="preserve">לחברה </w:t>
      </w:r>
      <w:r w:rsidRPr="00DC3374">
        <w:rPr>
          <w:rFonts w:hint="eastAsia"/>
          <w:b/>
          <w:bCs/>
          <w:rtl/>
        </w:rPr>
        <w:t>החרדית</w:t>
      </w:r>
      <w:r w:rsidRPr="00DC3374">
        <w:rPr>
          <w:rFonts w:hint="cs"/>
          <w:b/>
          <w:bCs/>
          <w:rtl/>
        </w:rPr>
        <w:t>,</w:t>
      </w:r>
      <w:r w:rsidRPr="00DC3374">
        <w:rPr>
          <w:b/>
          <w:bCs/>
          <w:rtl/>
        </w:rPr>
        <w:t xml:space="preserve"> </w:t>
      </w:r>
      <w:r w:rsidRPr="00DC3374">
        <w:rPr>
          <w:rFonts w:hint="eastAsia"/>
          <w:b/>
          <w:bCs/>
          <w:rtl/>
        </w:rPr>
        <w:t>וכי</w:t>
      </w:r>
      <w:r w:rsidRPr="00DC3374">
        <w:rPr>
          <w:b/>
          <w:bCs/>
          <w:rtl/>
        </w:rPr>
        <w:t xml:space="preserve"> </w:t>
      </w:r>
      <w:r w:rsidRPr="00DC3374">
        <w:rPr>
          <w:rFonts w:hint="eastAsia"/>
          <w:b/>
          <w:bCs/>
          <w:rtl/>
        </w:rPr>
        <w:t>ב</w:t>
      </w:r>
      <w:r w:rsidRPr="00DC3374">
        <w:rPr>
          <w:rFonts w:hint="cs"/>
          <w:b/>
          <w:bCs/>
          <w:rtl/>
        </w:rPr>
        <w:t xml:space="preserve">תחילתו של מצב חירום </w:t>
      </w:r>
      <w:r w:rsidRPr="00DC3374">
        <w:rPr>
          <w:rFonts w:hint="eastAsia"/>
          <w:b/>
          <w:bCs/>
          <w:rtl/>
        </w:rPr>
        <w:t>יפעל</w:t>
      </w:r>
      <w:r w:rsidRPr="00DC3374">
        <w:rPr>
          <w:rFonts w:hint="cs"/>
          <w:b/>
          <w:bCs/>
          <w:rtl/>
        </w:rPr>
        <w:t xml:space="preserve">ו גורמי ההסברה גם </w:t>
      </w:r>
      <w:r w:rsidRPr="00DC3374">
        <w:rPr>
          <w:rFonts w:hint="eastAsia"/>
          <w:b/>
          <w:bCs/>
          <w:rtl/>
        </w:rPr>
        <w:t>בדרכים</w:t>
      </w:r>
      <w:r w:rsidRPr="00DC3374">
        <w:rPr>
          <w:b/>
          <w:bCs/>
          <w:rtl/>
        </w:rPr>
        <w:t xml:space="preserve"> </w:t>
      </w:r>
      <w:r w:rsidRPr="00DC3374">
        <w:rPr>
          <w:rFonts w:hint="eastAsia"/>
          <w:b/>
          <w:bCs/>
          <w:rtl/>
        </w:rPr>
        <w:t>המתאימות</w:t>
      </w:r>
      <w:r w:rsidRPr="00DC3374">
        <w:rPr>
          <w:b/>
          <w:bCs/>
          <w:rtl/>
        </w:rPr>
        <w:t xml:space="preserve"> </w:t>
      </w:r>
      <w:r w:rsidRPr="00DC3374">
        <w:rPr>
          <w:rFonts w:hint="eastAsia"/>
          <w:b/>
          <w:bCs/>
          <w:rtl/>
        </w:rPr>
        <w:t>לקבוצות</w:t>
      </w:r>
      <w:r w:rsidRPr="00DC3374">
        <w:rPr>
          <w:b/>
          <w:bCs/>
          <w:rtl/>
        </w:rPr>
        <w:t xml:space="preserve"> </w:t>
      </w:r>
      <w:r w:rsidRPr="00DC3374">
        <w:rPr>
          <w:rFonts w:hint="eastAsia"/>
          <w:b/>
          <w:bCs/>
          <w:rtl/>
        </w:rPr>
        <w:t>אוכלוס</w:t>
      </w:r>
      <w:r w:rsidRPr="00DC3374">
        <w:rPr>
          <w:rFonts w:hint="cs"/>
          <w:b/>
          <w:bCs/>
          <w:rtl/>
        </w:rPr>
        <w:t>י</w:t>
      </w:r>
      <w:r w:rsidRPr="00DC3374">
        <w:rPr>
          <w:rFonts w:hint="eastAsia"/>
          <w:b/>
          <w:bCs/>
          <w:rtl/>
        </w:rPr>
        <w:t>יה</w:t>
      </w:r>
      <w:r w:rsidRPr="00DC3374">
        <w:rPr>
          <w:b/>
          <w:bCs/>
          <w:rtl/>
        </w:rPr>
        <w:t xml:space="preserve"> </w:t>
      </w:r>
      <w:r w:rsidRPr="00DC3374">
        <w:rPr>
          <w:rFonts w:hint="eastAsia"/>
          <w:b/>
          <w:bCs/>
          <w:rtl/>
        </w:rPr>
        <w:t>אלו</w:t>
      </w:r>
      <w:r w:rsidRPr="00DC3374">
        <w:rPr>
          <w:b/>
          <w:bCs/>
          <w:rtl/>
        </w:rPr>
        <w:t>.</w:t>
      </w:r>
    </w:p>
    <w:p w:rsidR="0092532A" w:rsidRPr="00DC3374" w:rsidP="00E81188" w14:paraId="5E5FEA64" w14:textId="77777777">
      <w:pPr>
        <w:spacing w:line="269" w:lineRule="auto"/>
        <w:rPr>
          <w:rtl/>
        </w:rPr>
      </w:pPr>
    </w:p>
    <w:p w:rsidR="0092532A" w:rsidRPr="00DC3374" w:rsidP="00E81188" w14:paraId="20AFE8A7" w14:textId="77777777">
      <w:pPr>
        <w:pStyle w:val="Heading3"/>
        <w:spacing w:before="0" w:line="269" w:lineRule="auto"/>
        <w:rPr>
          <w:rtl/>
        </w:rPr>
      </w:pPr>
      <w:r w:rsidRPr="00DC3374">
        <w:rPr>
          <w:rFonts w:hint="cs"/>
          <w:rtl/>
        </w:rPr>
        <w:t xml:space="preserve">משאבי הממשלה לפעולות ההסברה וחלוקתם לפי קבוצות היעד </w:t>
      </w:r>
    </w:p>
    <w:p w:rsidR="0092532A" w:rsidRPr="00DC3374" w:rsidP="00E81188" w14:paraId="177D1ED8" w14:textId="4FCBBB1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36150595" w14:textId="77777777">
      <w:pPr>
        <w:spacing w:line="269" w:lineRule="auto"/>
        <w:rPr>
          <w:rtl/>
        </w:rPr>
      </w:pPr>
      <w:r w:rsidRPr="00DC3374">
        <w:rPr>
          <w:rtl/>
        </w:rPr>
        <w:t xml:space="preserve">במצבי משבר מתמשכים דוגמת משבר הקורונה </w:t>
      </w:r>
      <w:r w:rsidRPr="00DC3374">
        <w:rPr>
          <w:rFonts w:hint="cs"/>
          <w:rtl/>
        </w:rPr>
        <w:t>קיים אתגר</w:t>
      </w:r>
      <w:r w:rsidRPr="00DC3374">
        <w:rPr>
          <w:rtl/>
        </w:rPr>
        <w:t xml:space="preserve"> בשימור ערנות הציבור ובחיזוק יכולתו להתמיד ולציית ל</w:t>
      </w:r>
      <w:r w:rsidRPr="00DC3374">
        <w:rPr>
          <w:rFonts w:hint="cs"/>
          <w:rtl/>
        </w:rPr>
        <w:t>ה</w:t>
      </w:r>
      <w:r w:rsidRPr="00DC3374">
        <w:rPr>
          <w:rtl/>
        </w:rPr>
        <w:t>גבלות ההתגוננות ולכללי שגרת החיים החדשה לאורך זמן. לשם כך על גורמי ההסברה ליצור מעטפת תומכת המלווה את חיי הפרט, מכירה בקשייו ומציעה לו דרכים להתמודדות ע</w:t>
      </w:r>
      <w:r w:rsidRPr="00DC3374">
        <w:rPr>
          <w:rFonts w:hint="cs"/>
          <w:rtl/>
        </w:rPr>
        <w:t>י</w:t>
      </w:r>
      <w:r w:rsidRPr="00DC3374">
        <w:rPr>
          <w:rtl/>
        </w:rPr>
        <w:t>מם. במסגרת זו, יש חשיבות להיקף ההסברה, ונדרשת העברת מידע תדירה ועקבית, תוך שמירה על רציפות הקשר עם הציבור. נוסף</w:t>
      </w:r>
      <w:r w:rsidRPr="00DC3374">
        <w:rPr>
          <w:rFonts w:hint="cs"/>
          <w:rtl/>
        </w:rPr>
        <w:t xml:space="preserve"> על כך</w:t>
      </w:r>
      <w:r w:rsidRPr="00DC3374">
        <w:rPr>
          <w:rtl/>
        </w:rPr>
        <w:t xml:space="preserve"> יש יתרון לגיוון הכלים והאמצעים </w:t>
      </w:r>
      <w:r w:rsidRPr="00DC3374">
        <w:rPr>
          <w:rFonts w:hint="cs"/>
          <w:rtl/>
        </w:rPr>
        <w:t>ש</w:t>
      </w:r>
      <w:r w:rsidRPr="00DC3374">
        <w:rPr>
          <w:rtl/>
        </w:rPr>
        <w:t>בהם מתבצעת ההסברה, וכן לפרסונליזציה של המסרים והתאמתם ככל הניתן לקהל היעד.</w:t>
      </w:r>
    </w:p>
    <w:p w:rsidR="0092532A" w:rsidRPr="00DC3374" w:rsidP="00E81188" w14:paraId="5F83F90C" w14:textId="77777777">
      <w:pPr>
        <w:spacing w:line="269" w:lineRule="auto"/>
        <w:rPr>
          <w:rtl/>
        </w:rPr>
      </w:pPr>
    </w:p>
    <w:p w:rsidR="0092532A" w:rsidRPr="00DC3374" w:rsidP="00E81188" w14:paraId="64F62BFB" w14:textId="77777777">
      <w:pPr>
        <w:pStyle w:val="Heading4"/>
        <w:spacing w:before="0" w:line="269" w:lineRule="auto"/>
        <w:rPr>
          <w:rtl/>
        </w:rPr>
      </w:pPr>
      <w:r w:rsidRPr="00DC3374">
        <w:rPr>
          <w:rFonts w:hint="cs"/>
          <w:rtl/>
        </w:rPr>
        <w:t>היקף ההוצאה על ההסברה לכל קבוצת יעד</w:t>
      </w:r>
    </w:p>
    <w:p w:rsidR="0092532A" w:rsidRPr="00DC3374" w:rsidP="00E81188" w14:paraId="5302283B" w14:textId="459F73C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14CE366E" w14:textId="77777777">
      <w:pPr>
        <w:spacing w:line="269" w:lineRule="auto"/>
        <w:rPr>
          <w:rFonts w:eastAsiaTheme="majorEastAsia"/>
          <w:bCs/>
          <w:spacing w:val="40"/>
          <w:rtl/>
        </w:rPr>
      </w:pPr>
      <w:r w:rsidRPr="00DC3374">
        <w:rPr>
          <w:rtl/>
        </w:rPr>
        <w:t xml:space="preserve">במהלך משבר הקורונה </w:t>
      </w:r>
      <w:r w:rsidRPr="00DC3374">
        <w:rPr>
          <w:rFonts w:hint="cs"/>
          <w:rtl/>
        </w:rPr>
        <w:t>הפיק</w:t>
      </w:r>
      <w:r w:rsidRPr="00DC3374">
        <w:rPr>
          <w:rtl/>
        </w:rPr>
        <w:t xml:space="preserve"> משרד הבריאות באמצעות </w:t>
      </w:r>
      <w:r w:rsidRPr="00DC3374">
        <w:rPr>
          <w:rFonts w:hint="cs"/>
          <w:rtl/>
        </w:rPr>
        <w:t>לפ"ם</w:t>
      </w:r>
      <w:r w:rsidRPr="00DC3374">
        <w:rPr>
          <w:rtl/>
        </w:rPr>
        <w:t xml:space="preserve"> </w:t>
      </w:r>
      <w:r w:rsidRPr="00DC3374">
        <w:rPr>
          <w:rFonts w:hint="cs"/>
          <w:rtl/>
        </w:rPr>
        <w:t>מסעות פרסום</w:t>
      </w:r>
      <w:r w:rsidRPr="00DC3374">
        <w:rPr>
          <w:rtl/>
        </w:rPr>
        <w:t xml:space="preserve"> אשר בשלבי המשבר הראשונים נועדו לספק לציבור מידע על הנגיף ועל דרכי ההתגוננות, ובהמשך נועדו לחדד את חשיבות השמירה על ההנחיות, לעדכן בדבר הנחיות חדשות וללוות את שגר</w:t>
      </w:r>
      <w:r w:rsidRPr="00DC3374">
        <w:rPr>
          <w:rFonts w:hint="cs"/>
          <w:rtl/>
        </w:rPr>
        <w:t>ת החיים</w:t>
      </w:r>
      <w:r w:rsidRPr="00DC3374">
        <w:rPr>
          <w:rtl/>
        </w:rPr>
        <w:t xml:space="preserve">. בחודשים פברואר 2020 עד אוקטובר 2020 </w:t>
      </w:r>
      <w:r w:rsidRPr="00DC3374">
        <w:rPr>
          <w:rFonts w:hint="cs"/>
          <w:rtl/>
        </w:rPr>
        <w:t>הפיק משרד הבריאות</w:t>
      </w:r>
      <w:r w:rsidRPr="00DC3374">
        <w:rPr>
          <w:rtl/>
        </w:rPr>
        <w:t xml:space="preserve"> </w:t>
      </w:r>
      <w:r w:rsidRPr="00DC3374">
        <w:rPr>
          <w:rFonts w:hint="cs"/>
          <w:rtl/>
        </w:rPr>
        <w:t>47</w:t>
      </w:r>
      <w:r w:rsidRPr="00DC3374">
        <w:rPr>
          <w:rtl/>
        </w:rPr>
        <w:t xml:space="preserve"> </w:t>
      </w:r>
      <w:r w:rsidRPr="00DC3374">
        <w:rPr>
          <w:rFonts w:hint="cs"/>
          <w:rtl/>
        </w:rPr>
        <w:t>מסעות פרסום</w:t>
      </w:r>
      <w:r w:rsidRPr="00DC3374">
        <w:rPr>
          <w:rtl/>
        </w:rPr>
        <w:t xml:space="preserve">, </w:t>
      </w:r>
      <w:r w:rsidRPr="00DC3374">
        <w:rPr>
          <w:rFonts w:hint="cs"/>
          <w:rtl/>
        </w:rPr>
        <w:t>בעלות</w:t>
      </w:r>
      <w:r w:rsidRPr="00DC3374">
        <w:rPr>
          <w:rtl/>
        </w:rPr>
        <w:t xml:space="preserve"> כולל</w:t>
      </w:r>
      <w:r w:rsidRPr="00DC3374">
        <w:rPr>
          <w:rFonts w:hint="cs"/>
          <w:rtl/>
        </w:rPr>
        <w:t>ת</w:t>
      </w:r>
      <w:r w:rsidRPr="00DC3374">
        <w:rPr>
          <w:rtl/>
        </w:rPr>
        <w:t xml:space="preserve"> של</w:t>
      </w:r>
      <w:r w:rsidRPr="00DC3374">
        <w:rPr>
          <w:rFonts w:hint="cs"/>
          <w:rtl/>
        </w:rPr>
        <w:t xml:space="preserve"> כ-93 מיליון </w:t>
      </w:r>
      <w:r w:rsidRPr="00DC3374">
        <w:rPr>
          <w:rtl/>
        </w:rPr>
        <w:t>ש"ח</w:t>
      </w:r>
      <w:r w:rsidRPr="00DC3374">
        <w:rPr>
          <w:rFonts w:hint="cs"/>
          <w:rtl/>
        </w:rPr>
        <w:t>. נוסף על כך בחודשים מרץ עד אוקטובר 2020 התקשר משרד הבריאות עם יועצים חיצוניים לצורך תגבור ההסברה לאוכלוסיות ייחודיות בהיקף כולל של כ-4.7 מיליון ש"ח.</w:t>
      </w:r>
    </w:p>
    <w:p w:rsidR="0092532A" w:rsidRPr="00DC3374" w:rsidP="00E81188" w14:paraId="460AC904" w14:textId="11C9972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094DD9" w:rsidP="00E81188" w14:paraId="26CE7AFE" w14:textId="6E37E0E4">
      <w:pPr>
        <w:spacing w:line="269" w:lineRule="auto"/>
        <w:rPr>
          <w:rtl/>
        </w:rPr>
      </w:pPr>
      <w:r w:rsidRPr="00DC3374">
        <w:rPr>
          <w:rtl/>
        </w:rPr>
        <w:t xml:space="preserve">להלן תרשים המתאר את </w:t>
      </w:r>
      <w:r w:rsidRPr="00DC3374">
        <w:rPr>
          <w:rFonts w:hint="cs"/>
          <w:rtl/>
        </w:rPr>
        <w:t>ההוצאה של</w:t>
      </w:r>
      <w:r w:rsidRPr="00DC3374">
        <w:rPr>
          <w:rtl/>
        </w:rPr>
        <w:t xml:space="preserve"> </w:t>
      </w:r>
      <w:r w:rsidRPr="00DC3374">
        <w:rPr>
          <w:rFonts w:hint="cs"/>
          <w:rtl/>
        </w:rPr>
        <w:t xml:space="preserve">משרד הבריאות על מסעות פרסום, בפילוח </w:t>
      </w:r>
      <w:r w:rsidRPr="00DC3374">
        <w:rPr>
          <w:rtl/>
        </w:rPr>
        <w:t>לפי קבוצ</w:t>
      </w:r>
      <w:r w:rsidRPr="00DC3374">
        <w:rPr>
          <w:rFonts w:hint="cs"/>
          <w:rtl/>
        </w:rPr>
        <w:t>ות יעד באוכלוסייה</w:t>
      </w:r>
      <w:r>
        <w:rPr>
          <w:rStyle w:val="FootnoteReference1"/>
          <w:rtl/>
        </w:rPr>
        <w:footnoteReference w:id="70"/>
      </w:r>
      <w:r w:rsidRPr="00DC3374">
        <w:rPr>
          <w:rFonts w:hint="cs"/>
          <w:rtl/>
        </w:rPr>
        <w:t xml:space="preserve">. </w:t>
      </w:r>
    </w:p>
    <w:p w:rsidR="00094DD9" w14:paraId="70BB6C4F" w14:textId="77777777">
      <w:pPr>
        <w:spacing w:line="240" w:lineRule="auto"/>
        <w:ind w:left="720" w:hanging="720"/>
        <w:rPr>
          <w:rtl/>
        </w:rPr>
      </w:pPr>
      <w:r>
        <w:rPr>
          <w:rtl/>
        </w:rPr>
        <w:br w:type="page"/>
      </w:r>
    </w:p>
    <w:p w:rsidR="0092532A" w:rsidRPr="00DC3374" w:rsidP="00E81188" w14:paraId="5A512243" w14:textId="0A04836D">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264FF8" w:rsidP="00E81188" w14:paraId="23DAC281" w14:textId="77777777">
      <w:pPr>
        <w:spacing w:line="269" w:lineRule="auto"/>
        <w:ind w:left="312"/>
        <w:jc w:val="center"/>
        <w:rPr>
          <w:b/>
          <w:bCs/>
          <w:rtl/>
        </w:rPr>
      </w:pPr>
      <w:r w:rsidRPr="00DC3374">
        <w:rPr>
          <w:rFonts w:hint="cs"/>
          <w:b/>
          <w:bCs/>
          <w:rtl/>
        </w:rPr>
        <w:t>תרשים 49: משרד הבריאות - ההוצאה על מסעות פרסום בנושא הקורונה, בפילוח לפי קבוצות יעד באוכלוסייה</w:t>
      </w:r>
      <w:r w:rsidRPr="00DC3374">
        <w:rPr>
          <w:rFonts w:hint="cs"/>
          <w:rtl/>
        </w:rPr>
        <w:t xml:space="preserve"> (</w:t>
      </w:r>
      <w:r w:rsidRPr="00DC3374">
        <w:rPr>
          <w:rFonts w:hint="cs"/>
          <w:b/>
          <w:bCs/>
          <w:rtl/>
        </w:rPr>
        <w:t xml:space="preserve">במיליוני ש"ח ובשיעורים מכלל התקציב), </w:t>
      </w:r>
    </w:p>
    <w:p w:rsidR="0092532A" w:rsidRPr="00DC3374" w:rsidP="00E81188" w14:paraId="759C42D2" w14:textId="25B8211B">
      <w:pPr>
        <w:spacing w:line="269" w:lineRule="auto"/>
        <w:ind w:left="312"/>
        <w:jc w:val="center"/>
        <w:rPr>
          <w:u w:val="single"/>
          <w:rtl/>
        </w:rPr>
      </w:pPr>
      <w:r w:rsidRPr="00DC3374">
        <w:rPr>
          <w:rFonts w:hint="cs"/>
          <w:b/>
          <w:bCs/>
          <w:rtl/>
        </w:rPr>
        <w:t>פברואר 2020 עד אוקטובר 2020</w:t>
      </w:r>
    </w:p>
    <w:p w:rsidR="0092532A" w:rsidRPr="00DC3374" w:rsidP="00E81188" w14:paraId="06BC745E" w14:textId="77777777">
      <w:pPr>
        <w:spacing w:line="269" w:lineRule="auto"/>
        <w:ind w:left="312"/>
        <w:jc w:val="center"/>
        <w:rPr>
          <w:u w:val="single"/>
          <w:rtl/>
        </w:rPr>
      </w:pPr>
      <w:r w:rsidRPr="00DC3374">
        <w:rPr>
          <w:noProof/>
        </w:rPr>
        <w:drawing>
          <wp:inline distT="0" distB="0" distL="0" distR="0">
            <wp:extent cx="4782628" cy="4733925"/>
            <wp:effectExtent l="0" t="0" r="0" b="0"/>
            <wp:docPr id="1743882401" name="תמונה 1743882401" descr="C:\Users\michal_re\AppData\Local\Microsoft\Windows\INetCache\Content.Word\MR-Tarshi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60333" name="Picture 33" descr="C:\Users\michal_re\AppData\Local\Microsoft\Windows\INetCache\Content.Word\MR-Tarshim-49.jpg"/>
                    <pic:cNvPicPr>
                      <a:picLocks noChangeAspect="1" noChangeArrowheads="1"/>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01988" cy="4753088"/>
                    </a:xfrm>
                    <a:prstGeom prst="rect">
                      <a:avLst/>
                    </a:prstGeom>
                    <a:noFill/>
                    <a:ln w="3175">
                      <a:noFill/>
                    </a:ln>
                  </pic:spPr>
                </pic:pic>
              </a:graphicData>
            </a:graphic>
          </wp:inline>
        </w:drawing>
      </w:r>
    </w:p>
    <w:p w:rsidR="0092532A" w:rsidRPr="00DC3374" w:rsidP="00190DE3" w14:paraId="06C8FA37" w14:textId="01682EA9">
      <w:pPr>
        <w:spacing w:line="269" w:lineRule="auto"/>
        <w:rPr>
          <w:szCs w:val="20"/>
          <w:rtl/>
        </w:rPr>
      </w:pPr>
      <w:r>
        <w:rPr>
          <w:rFonts w:hint="cs"/>
          <w:szCs w:val="20"/>
          <w:rtl/>
        </w:rPr>
        <w:t xml:space="preserve"> </w:t>
      </w:r>
      <w:r w:rsidRPr="00DC3374">
        <w:rPr>
          <w:rFonts w:hint="cs"/>
          <w:szCs w:val="20"/>
          <w:rtl/>
        </w:rPr>
        <w:t>על פי לפ"ם ומשרד הבריאות, בעיבוד משרד מבקר המדינה.</w:t>
      </w:r>
    </w:p>
    <w:p w:rsidR="0092532A" w:rsidRPr="00DC3374" w:rsidP="00E81188" w14:paraId="6733CF11" w14:textId="03BA4A7D">
      <w:pPr>
        <w:spacing w:line="269" w:lineRule="auto"/>
        <w:rPr>
          <w:szCs w:val="20"/>
          <w:rtl/>
        </w:rPr>
      </w:pPr>
      <w:r>
        <w:rPr>
          <w:rFonts w:hint="cs"/>
          <w:szCs w:val="20"/>
          <w:rtl/>
        </w:rPr>
        <w:t xml:space="preserve"> </w:t>
      </w:r>
      <w:r w:rsidRPr="00DC3374">
        <w:rPr>
          <w:rFonts w:hint="cs"/>
          <w:szCs w:val="20"/>
          <w:rtl/>
        </w:rPr>
        <w:t>* "אחר" בתרשים זה כולל קהל יעד דתי-לאומי; יוצאי אתיופיה; דוברי רוסית.</w:t>
      </w:r>
    </w:p>
    <w:p w:rsidR="0092532A" w:rsidRPr="00DC3374" w:rsidP="00E81188" w14:paraId="499BBD21" w14:textId="7FD7352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r w:rsidRPr="00DC3374">
        <w:rPr>
          <w:rtl/>
        </w:rPr>
        <w:t xml:space="preserve"> </w:t>
      </w:r>
    </w:p>
    <w:p w:rsidR="0092532A" w:rsidRPr="00DC3374" w:rsidP="00E81188" w14:paraId="76B381C9" w14:textId="77777777">
      <w:pPr>
        <w:spacing w:line="269" w:lineRule="auto"/>
        <w:rPr>
          <w:b/>
          <w:bCs/>
          <w:rtl/>
        </w:rPr>
      </w:pPr>
      <w:r w:rsidRPr="00DC3374">
        <w:rPr>
          <w:b/>
          <w:bCs/>
          <w:rtl/>
        </w:rPr>
        <w:t xml:space="preserve">מן התרשים עולה כי </w:t>
      </w:r>
      <w:r w:rsidRPr="00DC3374">
        <w:rPr>
          <w:rFonts w:hint="cs"/>
          <w:b/>
          <w:bCs/>
          <w:rtl/>
        </w:rPr>
        <w:t>ה</w:t>
      </w:r>
      <w:r w:rsidRPr="00DC3374">
        <w:rPr>
          <w:b/>
          <w:bCs/>
          <w:rtl/>
        </w:rPr>
        <w:t>רוב המכריע של ה</w:t>
      </w:r>
      <w:r w:rsidRPr="00DC3374">
        <w:rPr>
          <w:rFonts w:hint="cs"/>
          <w:b/>
          <w:bCs/>
          <w:rtl/>
        </w:rPr>
        <w:t>הוצאה של משרד הבריאות -</w:t>
      </w:r>
      <w:r w:rsidRPr="00DC3374">
        <w:rPr>
          <w:b/>
          <w:bCs/>
          <w:rtl/>
        </w:rPr>
        <w:t xml:space="preserve"> </w:t>
      </w:r>
      <w:r w:rsidRPr="00DC3374">
        <w:rPr>
          <w:rFonts w:hint="cs"/>
          <w:b/>
          <w:bCs/>
          <w:rtl/>
        </w:rPr>
        <w:t>82</w:t>
      </w:r>
      <w:r w:rsidRPr="00DC3374">
        <w:rPr>
          <w:b/>
          <w:bCs/>
          <w:rtl/>
        </w:rPr>
        <w:t xml:space="preserve">%, הוקצה לביצוע </w:t>
      </w:r>
      <w:r w:rsidRPr="00DC3374">
        <w:rPr>
          <w:rFonts w:hint="cs"/>
          <w:b/>
          <w:bCs/>
          <w:rtl/>
        </w:rPr>
        <w:t>מסעות פרסום</w:t>
      </w:r>
      <w:r w:rsidRPr="00DC3374">
        <w:rPr>
          <w:b/>
          <w:bCs/>
          <w:rtl/>
        </w:rPr>
        <w:t xml:space="preserve"> המיועדים להסברה </w:t>
      </w:r>
      <w:r w:rsidRPr="00DC3374">
        <w:rPr>
          <w:rFonts w:hint="cs"/>
          <w:b/>
          <w:bCs/>
          <w:rtl/>
        </w:rPr>
        <w:t>לחברה היהודית הכללית</w:t>
      </w:r>
      <w:r w:rsidRPr="00DC3374">
        <w:rPr>
          <w:b/>
          <w:bCs/>
          <w:rtl/>
        </w:rPr>
        <w:t xml:space="preserve">. </w:t>
      </w:r>
      <w:r w:rsidRPr="00DC3374">
        <w:rPr>
          <w:rFonts w:hint="cs"/>
          <w:b/>
          <w:bCs/>
          <w:rtl/>
        </w:rPr>
        <w:t>10</w:t>
      </w:r>
      <w:r w:rsidRPr="00DC3374">
        <w:rPr>
          <w:b/>
          <w:bCs/>
          <w:rtl/>
        </w:rPr>
        <w:t>% מ</w:t>
      </w:r>
      <w:r w:rsidRPr="00DC3374">
        <w:rPr>
          <w:rFonts w:hint="cs"/>
          <w:b/>
          <w:bCs/>
          <w:rtl/>
        </w:rPr>
        <w:t xml:space="preserve">ההוצאה </w:t>
      </w:r>
      <w:r w:rsidRPr="00DC3374">
        <w:rPr>
          <w:b/>
          <w:bCs/>
          <w:rtl/>
        </w:rPr>
        <w:t>הוקצ</w:t>
      </w:r>
      <w:r w:rsidRPr="00DC3374">
        <w:rPr>
          <w:rFonts w:hint="cs"/>
          <w:b/>
          <w:bCs/>
          <w:rtl/>
        </w:rPr>
        <w:t>ו</w:t>
      </w:r>
      <w:r w:rsidRPr="00DC3374">
        <w:rPr>
          <w:b/>
          <w:bCs/>
          <w:rtl/>
        </w:rPr>
        <w:t xml:space="preserve"> לביצוע </w:t>
      </w:r>
      <w:r w:rsidRPr="00DC3374">
        <w:rPr>
          <w:rFonts w:hint="cs"/>
          <w:b/>
          <w:bCs/>
          <w:rtl/>
        </w:rPr>
        <w:t>מסעות פרסום</w:t>
      </w:r>
      <w:r w:rsidRPr="00DC3374">
        <w:rPr>
          <w:b/>
          <w:bCs/>
          <w:rtl/>
        </w:rPr>
        <w:t xml:space="preserve"> המיועדים </w:t>
      </w:r>
      <w:r w:rsidRPr="00DC3374">
        <w:rPr>
          <w:rFonts w:hint="cs"/>
          <w:b/>
          <w:bCs/>
          <w:rtl/>
        </w:rPr>
        <w:t>לחברה הערבית (שיעור נמוך</w:t>
      </w:r>
      <w:r w:rsidRPr="00DC3374">
        <w:rPr>
          <w:b/>
          <w:bCs/>
          <w:rtl/>
        </w:rPr>
        <w:t xml:space="preserve"> </w:t>
      </w:r>
      <w:r w:rsidRPr="00DC3374">
        <w:rPr>
          <w:rFonts w:hint="eastAsia"/>
          <w:b/>
          <w:bCs/>
          <w:rtl/>
        </w:rPr>
        <w:t>פי</w:t>
      </w:r>
      <w:r w:rsidRPr="00DC3374">
        <w:rPr>
          <w:b/>
          <w:bCs/>
          <w:rtl/>
        </w:rPr>
        <w:t xml:space="preserve"> </w:t>
      </w:r>
      <w:r w:rsidRPr="00DC3374">
        <w:rPr>
          <w:rFonts w:hint="cs"/>
          <w:b/>
          <w:bCs/>
          <w:rtl/>
        </w:rPr>
        <w:t>2.1</w:t>
      </w:r>
      <w:r w:rsidRPr="00DC3374">
        <w:rPr>
          <w:b/>
          <w:bCs/>
          <w:rtl/>
        </w:rPr>
        <w:t xml:space="preserve"> </w:t>
      </w:r>
      <w:r w:rsidRPr="00DC3374">
        <w:rPr>
          <w:rFonts w:hint="cs"/>
          <w:b/>
          <w:bCs/>
          <w:rtl/>
        </w:rPr>
        <w:t>משיעורה של החברה הערבית באוכלוסייה</w:t>
      </w:r>
      <w:r w:rsidRPr="00DC3374">
        <w:rPr>
          <w:b/>
          <w:bCs/>
          <w:rtl/>
        </w:rPr>
        <w:t xml:space="preserve"> </w:t>
      </w:r>
      <w:r w:rsidRPr="00DC3374">
        <w:rPr>
          <w:rFonts w:hint="cs"/>
          <w:b/>
          <w:bCs/>
          <w:rtl/>
        </w:rPr>
        <w:t>-</w:t>
      </w:r>
      <w:r w:rsidRPr="00DC3374">
        <w:rPr>
          <w:b/>
          <w:bCs/>
          <w:rtl/>
        </w:rPr>
        <w:t xml:space="preserve"> 21%</w:t>
      </w:r>
      <w:r w:rsidRPr="00DC3374">
        <w:rPr>
          <w:rFonts w:hint="cs"/>
          <w:b/>
          <w:bCs/>
          <w:rtl/>
        </w:rPr>
        <w:t>)</w:t>
      </w:r>
      <w:r w:rsidRPr="00DC3374">
        <w:rPr>
          <w:b/>
          <w:bCs/>
          <w:rtl/>
        </w:rPr>
        <w:t xml:space="preserve"> </w:t>
      </w:r>
      <w:r w:rsidRPr="00DC3374">
        <w:rPr>
          <w:rFonts w:hint="cs"/>
          <w:b/>
          <w:bCs/>
          <w:rtl/>
        </w:rPr>
        <w:t>ו-5</w:t>
      </w:r>
      <w:r w:rsidRPr="00DC3374">
        <w:rPr>
          <w:b/>
          <w:bCs/>
          <w:rtl/>
        </w:rPr>
        <w:t>% הוקצ</w:t>
      </w:r>
      <w:r w:rsidRPr="00DC3374">
        <w:rPr>
          <w:rFonts w:hint="cs"/>
          <w:b/>
          <w:bCs/>
          <w:rtl/>
        </w:rPr>
        <w:t>ו</w:t>
      </w:r>
      <w:r w:rsidRPr="00DC3374">
        <w:rPr>
          <w:b/>
          <w:bCs/>
          <w:rtl/>
        </w:rPr>
        <w:t xml:space="preserve"> לביצוע </w:t>
      </w:r>
      <w:r w:rsidRPr="00DC3374">
        <w:rPr>
          <w:rFonts w:hint="cs"/>
          <w:b/>
          <w:bCs/>
          <w:rtl/>
        </w:rPr>
        <w:t>מסעות פרסום</w:t>
      </w:r>
      <w:r w:rsidRPr="00DC3374">
        <w:rPr>
          <w:b/>
          <w:bCs/>
          <w:rtl/>
        </w:rPr>
        <w:t xml:space="preserve"> המיועדים </w:t>
      </w:r>
      <w:r w:rsidRPr="00DC3374">
        <w:rPr>
          <w:rFonts w:hint="cs"/>
          <w:b/>
          <w:bCs/>
          <w:rtl/>
        </w:rPr>
        <w:t>לחברה החרדית (שיעור</w:t>
      </w:r>
      <w:r w:rsidRPr="00DC3374">
        <w:rPr>
          <w:b/>
          <w:bCs/>
          <w:rtl/>
        </w:rPr>
        <w:t xml:space="preserve"> נמוך פי </w:t>
      </w:r>
      <w:r w:rsidRPr="00DC3374">
        <w:rPr>
          <w:rFonts w:hint="cs"/>
          <w:b/>
          <w:bCs/>
          <w:rtl/>
        </w:rPr>
        <w:t>2.4</w:t>
      </w:r>
      <w:r w:rsidRPr="00DC3374">
        <w:rPr>
          <w:b/>
          <w:bCs/>
          <w:rtl/>
        </w:rPr>
        <w:t xml:space="preserve"> </w:t>
      </w:r>
      <w:r w:rsidRPr="00DC3374">
        <w:rPr>
          <w:rFonts w:hint="cs"/>
          <w:b/>
          <w:bCs/>
          <w:rtl/>
        </w:rPr>
        <w:t>מחלקה של החברה החרדית</w:t>
      </w:r>
      <w:r w:rsidRPr="00DC3374">
        <w:rPr>
          <w:b/>
          <w:bCs/>
          <w:rtl/>
        </w:rPr>
        <w:t xml:space="preserve"> באוכלוסייה </w:t>
      </w:r>
      <w:r w:rsidRPr="00DC3374">
        <w:rPr>
          <w:rFonts w:hint="cs"/>
          <w:b/>
          <w:bCs/>
          <w:rtl/>
        </w:rPr>
        <w:t>-</w:t>
      </w:r>
      <w:r w:rsidRPr="00DC3374">
        <w:rPr>
          <w:b/>
          <w:bCs/>
          <w:rtl/>
        </w:rPr>
        <w:t xml:space="preserve"> 12%</w:t>
      </w:r>
      <w:r w:rsidRPr="00DC3374">
        <w:rPr>
          <w:rFonts w:hint="cs"/>
          <w:b/>
          <w:bCs/>
          <w:rtl/>
        </w:rPr>
        <w:t>)</w:t>
      </w:r>
      <w:r w:rsidRPr="00DC3374">
        <w:rPr>
          <w:b/>
          <w:bCs/>
          <w:rtl/>
        </w:rPr>
        <w:t xml:space="preserve">. </w:t>
      </w:r>
    </w:p>
    <w:p w:rsidR="0092532A" w:rsidRPr="00DC3374" w:rsidP="00E81188" w14:paraId="5F870450" w14:textId="1BA8494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59BD5A7C" w14:textId="1DE5B748">
      <w:pPr>
        <w:spacing w:line="269" w:lineRule="auto"/>
        <w:rPr>
          <w:rtl/>
        </w:rPr>
      </w:pPr>
      <w:r w:rsidRPr="00DC3374">
        <w:rPr>
          <w:rFonts w:hint="cs"/>
          <w:rtl/>
        </w:rPr>
        <w:t xml:space="preserve">משרד הבריאות מסר בתשובתו כי תקציב הפרסום "אינו מדד רלוונטי" כיוון שכלי ההסברה והאפקטיביות שלהם בחברה החרדית ובחברה הערבית שונים מבחברה הכללית. המשרד ציין כי בחברה החרדית ניכרת השפעה רבה לקריאת רבנים לציית להנחיות, אף שפרסום זה אינו ניתן לכימות תקציבי, ובחברה הערבית עלות הפרסום בטלוויזיה נמוכה בהשוואה לפרסום בטלוויזיה בעברית. משרד הבריאות הוסיף כי הוא פעל רבות להסברה מותאמת לקבוצות אוכלוסייה אלו באמצעי ההסברה הנפוצים בהן. </w:t>
      </w:r>
    </w:p>
    <w:p w:rsidR="0092532A" w:rsidRPr="00DC3374" w:rsidP="00E81188" w14:paraId="504536B0" w14:textId="2E158A4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0A4FF082" w14:textId="77777777">
      <w:pPr>
        <w:spacing w:line="269" w:lineRule="auto"/>
        <w:rPr>
          <w:rtl/>
        </w:rPr>
      </w:pPr>
      <w:r w:rsidRPr="00DC3374">
        <w:rPr>
          <w:rFonts w:hint="cs"/>
          <w:rtl/>
        </w:rPr>
        <w:t xml:space="preserve">לפ"ם מסרה בתשובתה למשרד מבקר המדינה כי הבחירה באמצעי הפרסום בכל קבוצת אוכלוסייה וההשקעה בהם התבססה על מחקרי חשיפה לאמצעי פרסום בקבוצות אוכלוסייה שונות שלפ"ם ביצעה בשנה האחרונה במטרה להגיע לחשיפה מיטבית. לפ"ם הוסיפה כי בהינתן </w:t>
      </w:r>
      <w:r w:rsidRPr="00DC3374">
        <w:rPr>
          <w:rFonts w:hint="cs"/>
          <w:rtl/>
        </w:rPr>
        <w:t>העלות הגבוהה יחסית של הפרסום בטלוויזיה לחברה היהודית הכללית ובהיעדר חשיפה נרחבת לאמצעי זה בחברה הערבית ובחברה החרדית, העלות הכוללת של הפרסום לחברה הערבית ולחברה החרדית הייתה נמוכה בהשוואה לחברה היהודית הכללית. לפ"ם ציינה עוד שהשפעת הפרסום בטלוויזיה גבוהה יותר בהשוואה להשפעתה של "מדיה שטוחה" דוגמת עיתונות, שילוט או פרסום בדיגיטל, שכן הללו מפורסמים בפורמט קטן ובתפזורת וניתן להתעלם מהם בקלות. מתשובת לפ"ם עולה שכדי להטמיע מסרים באמצעות כלי הפרסום הנפוצים בקרב החברה הערבית והחברה החרדית, נדרשת הפצה אינטנסיבית יותר בהשוואה לחברה היהודית הכללית.</w:t>
      </w:r>
    </w:p>
    <w:p w:rsidR="0092532A" w:rsidRPr="00DC3374" w:rsidP="00E81188" w14:paraId="37CA544A" w14:textId="26A4C85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68106309" w14:textId="0EC386C1">
      <w:pPr>
        <w:spacing w:line="269" w:lineRule="auto"/>
        <w:rPr>
          <w:b/>
          <w:bCs/>
          <w:rtl/>
        </w:rPr>
      </w:pPr>
      <w:r w:rsidRPr="00DC3374">
        <w:rPr>
          <w:rFonts w:hint="eastAsia"/>
          <w:b/>
          <w:bCs/>
          <w:rtl/>
        </w:rPr>
        <w:t>משרד</w:t>
      </w:r>
      <w:r w:rsidRPr="00DC3374">
        <w:rPr>
          <w:b/>
          <w:bCs/>
          <w:rtl/>
        </w:rPr>
        <w:t xml:space="preserve"> מבקר המדינה מבהיר כי </w:t>
      </w:r>
      <w:r w:rsidRPr="00DC3374">
        <w:rPr>
          <w:rFonts w:hint="eastAsia"/>
          <w:b/>
          <w:bCs/>
          <w:rtl/>
        </w:rPr>
        <w:t>א</w:t>
      </w:r>
      <w:r w:rsidRPr="00DC3374">
        <w:rPr>
          <w:rFonts w:hint="cs"/>
          <w:b/>
          <w:bCs/>
          <w:rtl/>
        </w:rPr>
        <w:t>ו</w:t>
      </w:r>
      <w:r w:rsidRPr="00DC3374">
        <w:rPr>
          <w:rFonts w:hint="eastAsia"/>
          <w:b/>
          <w:bCs/>
          <w:rtl/>
        </w:rPr>
        <w:t>מנם</w:t>
      </w:r>
      <w:r w:rsidRPr="00DC3374">
        <w:rPr>
          <w:b/>
          <w:bCs/>
          <w:rtl/>
        </w:rPr>
        <w:t xml:space="preserve"> היקף </w:t>
      </w:r>
      <w:r w:rsidRPr="00DC3374">
        <w:rPr>
          <w:rFonts w:hint="eastAsia"/>
          <w:b/>
          <w:bCs/>
          <w:rtl/>
        </w:rPr>
        <w:t>ההוצאה</w:t>
      </w:r>
      <w:r w:rsidRPr="00DC3374">
        <w:rPr>
          <w:b/>
          <w:bCs/>
          <w:rtl/>
        </w:rPr>
        <w:t xml:space="preserve"> </w:t>
      </w:r>
      <w:r w:rsidRPr="00DC3374">
        <w:rPr>
          <w:rFonts w:hint="eastAsia"/>
          <w:b/>
          <w:bCs/>
          <w:rtl/>
        </w:rPr>
        <w:t>של</w:t>
      </w:r>
      <w:r w:rsidRPr="00DC3374">
        <w:rPr>
          <w:b/>
          <w:bCs/>
          <w:rtl/>
        </w:rPr>
        <w:t xml:space="preserve"> משרד הבריאות </w:t>
      </w:r>
      <w:r w:rsidRPr="00DC3374">
        <w:rPr>
          <w:rFonts w:hint="eastAsia"/>
          <w:b/>
          <w:bCs/>
          <w:rtl/>
        </w:rPr>
        <w:t>על</w:t>
      </w:r>
      <w:r w:rsidRPr="00DC3374">
        <w:rPr>
          <w:b/>
          <w:bCs/>
          <w:rtl/>
        </w:rPr>
        <w:t xml:space="preserve"> </w:t>
      </w:r>
      <w:r w:rsidRPr="00DC3374">
        <w:rPr>
          <w:rFonts w:hint="eastAsia"/>
          <w:b/>
          <w:bCs/>
          <w:rtl/>
        </w:rPr>
        <w:t>מסעות</w:t>
      </w:r>
      <w:r w:rsidRPr="00DC3374">
        <w:rPr>
          <w:b/>
          <w:bCs/>
          <w:rtl/>
        </w:rPr>
        <w:t xml:space="preserve"> </w:t>
      </w:r>
      <w:r w:rsidRPr="00DC3374">
        <w:rPr>
          <w:rFonts w:hint="eastAsia"/>
          <w:b/>
          <w:bCs/>
          <w:rtl/>
        </w:rPr>
        <w:t>הפרסום</w:t>
      </w:r>
      <w:r w:rsidRPr="00DC3374">
        <w:rPr>
          <w:b/>
          <w:bCs/>
          <w:rtl/>
        </w:rPr>
        <w:t xml:space="preserve"> לקבוצות האוכלוסייה השונות אינו המדד הבלעדי לבחינת היקף ההסברה </w:t>
      </w:r>
      <w:r w:rsidRPr="00DC3374">
        <w:rPr>
          <w:rFonts w:hint="eastAsia"/>
          <w:b/>
          <w:bCs/>
          <w:rtl/>
        </w:rPr>
        <w:t>לקבוצות</w:t>
      </w:r>
      <w:r w:rsidRPr="00DC3374">
        <w:rPr>
          <w:b/>
          <w:bCs/>
          <w:rtl/>
        </w:rPr>
        <w:t xml:space="preserve"> אלו בהשוואה </w:t>
      </w:r>
      <w:r w:rsidRPr="00DC3374">
        <w:rPr>
          <w:rFonts w:hint="eastAsia"/>
          <w:b/>
          <w:bCs/>
          <w:rtl/>
        </w:rPr>
        <w:t>לחברה</w:t>
      </w:r>
      <w:r w:rsidRPr="00DC3374">
        <w:rPr>
          <w:b/>
          <w:bCs/>
          <w:rtl/>
        </w:rPr>
        <w:t xml:space="preserve"> היהודית הכללית. </w:t>
      </w:r>
      <w:r w:rsidRPr="00DC3374" w:rsidR="00187B3E">
        <w:rPr>
          <w:b/>
          <w:bCs/>
          <w:rtl/>
        </w:rPr>
        <w:t>ואולם בהיעדר מידע כמותי על מכלול פעולות ההסברה או מדד אוביקטיבי</w:t>
      </w:r>
      <w:r w:rsidRPr="00DC3374" w:rsidR="00187B3E">
        <w:rPr>
          <w:rFonts w:hint="cs"/>
          <w:b/>
          <w:bCs/>
          <w:rtl/>
        </w:rPr>
        <w:t xml:space="preserve"> </w:t>
      </w:r>
      <w:r w:rsidRPr="00DC3374" w:rsidR="00187B3E">
        <w:rPr>
          <w:b/>
          <w:bCs/>
          <w:rtl/>
        </w:rPr>
        <w:t xml:space="preserve">שתוקף בידי משרד הבריאות ולפ"ם, </w:t>
      </w:r>
      <w:r w:rsidRPr="00DC3374">
        <w:rPr>
          <w:rFonts w:hint="cs"/>
          <w:b/>
          <w:bCs/>
          <w:rtl/>
        </w:rPr>
        <w:t xml:space="preserve">יש חשיבות לבחינת </w:t>
      </w:r>
      <w:r w:rsidRPr="00DC3374">
        <w:rPr>
          <w:rFonts w:hint="eastAsia"/>
          <w:b/>
          <w:bCs/>
          <w:rtl/>
        </w:rPr>
        <w:t>נתוני</w:t>
      </w:r>
      <w:r w:rsidRPr="00DC3374">
        <w:rPr>
          <w:b/>
          <w:bCs/>
          <w:rtl/>
        </w:rPr>
        <w:t xml:space="preserve"> </w:t>
      </w:r>
      <w:r w:rsidRPr="00DC3374">
        <w:rPr>
          <w:rFonts w:hint="eastAsia"/>
          <w:b/>
          <w:bCs/>
          <w:rtl/>
        </w:rPr>
        <w:t>ההוצאה</w:t>
      </w:r>
      <w:r w:rsidRPr="00DC3374">
        <w:rPr>
          <w:rFonts w:hint="cs"/>
          <w:b/>
          <w:bCs/>
          <w:rtl/>
        </w:rPr>
        <w:t xml:space="preserve"> וחלוקתם בין קבוצות האוכלוסייה השונות ואמצעי ההסברה השונים.</w:t>
      </w:r>
      <w:r w:rsidR="009A11FC">
        <w:rPr>
          <w:b/>
          <w:bCs/>
          <w:rtl/>
        </w:rPr>
        <w:t xml:space="preserve"> </w:t>
      </w:r>
    </w:p>
    <w:p w:rsidR="0092532A" w:rsidRPr="00DC3374" w:rsidP="00E81188" w14:paraId="57B44D66" w14:textId="3BB157A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3B0A28EF" w14:textId="77777777">
      <w:pPr>
        <w:spacing w:line="269" w:lineRule="auto"/>
        <w:rPr>
          <w:rtl/>
        </w:rPr>
      </w:pPr>
      <w:r w:rsidRPr="00DC3374">
        <w:rPr>
          <w:rFonts w:hint="cs"/>
          <w:rtl/>
        </w:rPr>
        <w:t>עוד יצוין כי אומנם חלק מאוכלוסיות היעד הייחודיות נחשפות גם לאמצעי הסברה המיועדים לכלל האוכלוסייה, כגון שידורי טלוויזיה. עם זאת, היקף החשיפה מוגבל יחסית, שכן כ-44% מהאוכלוסייה הערבית אינם דוברים עברית ברמה טובה, ועל פי נתוני למ"ס, כ-8% בלבד ממשקי הבית באוכלוסייה החרדית מחזיקים בבעלותם מכשיר טלוויזיה. כמו כן התכנים המיועדים לכלל האוכלוסייה אינם מותאמים לקבוצות אלו בהיבטי שפה ותרבות, ולרוב אינם מועברים על ידי מציגים המשתייכים לקבוצות אלו באופן היוצר הזדהות.</w:t>
      </w:r>
    </w:p>
    <w:p w:rsidR="004475B8" w:rsidRPr="00DC3374" w:rsidP="00E81188" w14:paraId="0FD11B5D" w14:textId="77777777">
      <w:pPr>
        <w:pStyle w:val="Heading4"/>
        <w:spacing w:before="0" w:line="269" w:lineRule="auto"/>
        <w:rPr>
          <w:rtl/>
        </w:rPr>
      </w:pPr>
    </w:p>
    <w:p w:rsidR="0092532A" w:rsidRPr="00DC3374" w:rsidP="00E81188" w14:paraId="64137DA6" w14:textId="77777777">
      <w:pPr>
        <w:pStyle w:val="Heading4"/>
        <w:spacing w:before="0" w:line="269" w:lineRule="auto"/>
        <w:rPr>
          <w:rtl/>
        </w:rPr>
      </w:pPr>
      <w:r w:rsidRPr="00DC3374">
        <w:rPr>
          <w:rFonts w:hint="cs"/>
          <w:rtl/>
        </w:rPr>
        <w:t>התפלגות אמצעי ההסברה לפי קבוצות יעד</w:t>
      </w:r>
    </w:p>
    <w:p w:rsidR="0092532A" w:rsidRPr="00DC3374" w:rsidP="00E81188" w14:paraId="5AC8325A" w14:textId="182F80B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094DD9" w:rsidP="00E81188" w14:paraId="4D4099DC" w14:textId="40697C6B">
      <w:pPr>
        <w:spacing w:line="269" w:lineRule="auto"/>
        <w:rPr>
          <w:rtl/>
        </w:rPr>
      </w:pPr>
      <w:r w:rsidRPr="00DC3374">
        <w:rPr>
          <w:rFonts w:hint="cs"/>
          <w:rtl/>
        </w:rPr>
        <w:t xml:space="preserve">כאמור, גיוון אמצעי ההסברה הוא אמצעי לשמירה על ערנות הציבור להנחיות עם התמשכות המשבר, וכן הוא מאפשר העברת מסרים בכלים מותאמים לקהלי יעד שונים, אשר חלקם אינם חשופים לאמצעי התקשורת הנפוצים בקרב כלל הציבור. להלן תרשים המתאר את התפלגות ההוצאה על אמצעי ההסברה בין קבוצות האוכלוסייה השונות. </w:t>
      </w:r>
      <w:r w:rsidRPr="00DC3374">
        <w:rPr>
          <w:rFonts w:hint="eastAsia"/>
          <w:rtl/>
        </w:rPr>
        <w:t>יצוין</w:t>
      </w:r>
      <w:r w:rsidRPr="00DC3374">
        <w:rPr>
          <w:rtl/>
        </w:rPr>
        <w:t xml:space="preserve"> </w:t>
      </w:r>
      <w:r w:rsidRPr="00DC3374">
        <w:rPr>
          <w:rFonts w:hint="eastAsia"/>
          <w:rtl/>
        </w:rPr>
        <w:t>כי</w:t>
      </w:r>
      <w:r w:rsidRPr="00DC3374">
        <w:rPr>
          <w:rtl/>
        </w:rPr>
        <w:t xml:space="preserve"> התרשים כולל רק נתונים על חלק מ</w:t>
      </w:r>
      <w:r w:rsidRPr="00DC3374">
        <w:rPr>
          <w:rFonts w:hint="cs"/>
          <w:rtl/>
        </w:rPr>
        <w:t>מסעות הפרסום</w:t>
      </w:r>
      <w:r w:rsidRPr="00DC3374">
        <w:rPr>
          <w:rtl/>
        </w:rPr>
        <w:t xml:space="preserve"> - אלה שביצע </w:t>
      </w:r>
      <w:r w:rsidRPr="00DC3374">
        <w:rPr>
          <w:rFonts w:hint="eastAsia"/>
          <w:rtl/>
        </w:rPr>
        <w:t>משרד</w:t>
      </w:r>
      <w:r w:rsidRPr="00DC3374">
        <w:rPr>
          <w:rtl/>
        </w:rPr>
        <w:t xml:space="preserve"> הבריאות </w:t>
      </w:r>
      <w:r w:rsidRPr="00DC3374">
        <w:rPr>
          <w:rFonts w:hint="eastAsia"/>
          <w:rtl/>
        </w:rPr>
        <w:t>באמצעות</w:t>
      </w:r>
      <w:r w:rsidRPr="00DC3374">
        <w:rPr>
          <w:rtl/>
        </w:rPr>
        <w:t xml:space="preserve"> </w:t>
      </w:r>
      <w:r w:rsidRPr="00DC3374">
        <w:rPr>
          <w:rFonts w:hint="eastAsia"/>
          <w:rtl/>
        </w:rPr>
        <w:t>לפ</w:t>
      </w:r>
      <w:r w:rsidRPr="00DC3374">
        <w:rPr>
          <w:rtl/>
        </w:rPr>
        <w:t>"ם.</w:t>
      </w:r>
    </w:p>
    <w:p w:rsidR="00094DD9" w14:paraId="29D6EF03" w14:textId="77777777">
      <w:pPr>
        <w:spacing w:line="240" w:lineRule="auto"/>
        <w:ind w:left="720" w:hanging="720"/>
        <w:rPr>
          <w:rtl/>
        </w:rPr>
      </w:pPr>
      <w:r>
        <w:rPr>
          <w:rtl/>
        </w:rPr>
        <w:br w:type="page"/>
      </w:r>
    </w:p>
    <w:p w:rsidR="0092532A" w:rsidRPr="00DC3374" w:rsidP="00E81188" w14:paraId="7C6EC431" w14:textId="77777777">
      <w:pPr>
        <w:spacing w:line="269" w:lineRule="auto"/>
        <w:rPr>
          <w:rtl/>
        </w:rPr>
      </w:pPr>
    </w:p>
    <w:p w:rsidR="0092532A" w:rsidRPr="00DC3374" w:rsidP="00E81188" w14:paraId="425B6DBB" w14:textId="0D941B7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488D6C7C" w14:textId="77777777">
      <w:pPr>
        <w:spacing w:line="269" w:lineRule="auto"/>
        <w:jc w:val="center"/>
        <w:rPr>
          <w:rtl/>
        </w:rPr>
      </w:pPr>
      <w:r w:rsidRPr="00DC3374">
        <w:rPr>
          <w:rFonts w:hint="cs"/>
          <w:b/>
          <w:bCs/>
          <w:rtl/>
        </w:rPr>
        <w:t xml:space="preserve">תרשים 50: ההוצאה של משרד הבריאות על אמצעי הסברה, בפילוח לפי קבוצות אוכלוסייה </w:t>
      </w:r>
      <w:r w:rsidRPr="00DC3374">
        <w:rPr>
          <w:b/>
          <w:bCs/>
          <w:rtl/>
        </w:rPr>
        <w:t>(ב</w:t>
      </w:r>
      <w:r w:rsidRPr="00DC3374">
        <w:rPr>
          <w:rFonts w:hint="cs"/>
          <w:b/>
          <w:bCs/>
          <w:rtl/>
        </w:rPr>
        <w:t>שיעורים</w:t>
      </w:r>
      <w:r w:rsidRPr="00DC3374">
        <w:rPr>
          <w:b/>
          <w:bCs/>
          <w:rtl/>
        </w:rPr>
        <w:t xml:space="preserve"> </w:t>
      </w:r>
      <w:r w:rsidRPr="00DC3374">
        <w:rPr>
          <w:rFonts w:hint="eastAsia"/>
          <w:b/>
          <w:bCs/>
          <w:rtl/>
        </w:rPr>
        <w:t>מכלל</w:t>
      </w:r>
      <w:r w:rsidRPr="00DC3374">
        <w:rPr>
          <w:b/>
          <w:bCs/>
          <w:rtl/>
        </w:rPr>
        <w:t xml:space="preserve"> </w:t>
      </w:r>
      <w:r w:rsidRPr="00DC3374">
        <w:rPr>
          <w:rFonts w:hint="eastAsia"/>
          <w:b/>
          <w:bCs/>
          <w:rtl/>
        </w:rPr>
        <w:t>התקציב</w:t>
      </w:r>
      <w:r w:rsidRPr="00DC3374">
        <w:rPr>
          <w:b/>
          <w:bCs/>
          <w:rtl/>
        </w:rPr>
        <w:t xml:space="preserve"> </w:t>
      </w:r>
      <w:r w:rsidRPr="00DC3374">
        <w:rPr>
          <w:rFonts w:hint="eastAsia"/>
          <w:b/>
          <w:bCs/>
          <w:rtl/>
        </w:rPr>
        <w:t>לכל</w:t>
      </w:r>
      <w:r w:rsidRPr="00DC3374">
        <w:rPr>
          <w:b/>
          <w:bCs/>
          <w:rtl/>
        </w:rPr>
        <w:t xml:space="preserve"> </w:t>
      </w:r>
      <w:r w:rsidRPr="00DC3374">
        <w:rPr>
          <w:rFonts w:hint="eastAsia"/>
          <w:b/>
          <w:bCs/>
          <w:rtl/>
        </w:rPr>
        <w:t>קבוצת</w:t>
      </w:r>
      <w:r w:rsidRPr="00DC3374">
        <w:rPr>
          <w:b/>
          <w:bCs/>
          <w:rtl/>
        </w:rPr>
        <w:t xml:space="preserve"> </w:t>
      </w:r>
      <w:r w:rsidRPr="00DC3374">
        <w:rPr>
          <w:rFonts w:hint="eastAsia"/>
          <w:b/>
          <w:bCs/>
          <w:rtl/>
        </w:rPr>
        <w:t>אוכלוסייה</w:t>
      </w:r>
      <w:r w:rsidRPr="00DC3374">
        <w:rPr>
          <w:b/>
          <w:bCs/>
          <w:rtl/>
        </w:rPr>
        <w:t>)</w:t>
      </w:r>
      <w:r w:rsidRPr="00DC3374">
        <w:rPr>
          <w:rFonts w:hint="cs"/>
          <w:b/>
          <w:bCs/>
          <w:rtl/>
        </w:rPr>
        <w:t>, פברואר 2020 עד אוקטובר 2020</w:t>
      </w:r>
    </w:p>
    <w:p w:rsidR="0092532A" w:rsidRPr="00DC3374" w:rsidP="00E81188" w14:paraId="7487AACF" w14:textId="77777777">
      <w:pPr>
        <w:spacing w:line="269" w:lineRule="auto"/>
        <w:jc w:val="center"/>
        <w:rPr>
          <w:rtl/>
        </w:rPr>
      </w:pPr>
      <w:r w:rsidRPr="00DC3374">
        <w:rPr>
          <w:noProof/>
        </w:rPr>
        <w:drawing>
          <wp:inline distT="0" distB="0" distL="0" distR="0">
            <wp:extent cx="5980360" cy="4238625"/>
            <wp:effectExtent l="0" t="0" r="1905" b="0"/>
            <wp:docPr id="1743882404" name="תמונה 1743882404" descr="C:\Users\michal_re\AppData\Local\Microsoft\Windows\INetCache\Content.Word\MR-Tarshim-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2470" name="Picture 35" descr="C:\Users\michal_re\AppData\Local\Microsoft\Windows\INetCache\Content.Word\MR-Tarshim-50.jpg"/>
                    <pic:cNvPicPr>
                      <a:picLocks noChangeAspect="1"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11298" cy="4260552"/>
                    </a:xfrm>
                    <a:prstGeom prst="rect">
                      <a:avLst/>
                    </a:prstGeom>
                    <a:noFill/>
                    <a:ln>
                      <a:noFill/>
                    </a:ln>
                  </pic:spPr>
                </pic:pic>
              </a:graphicData>
            </a:graphic>
          </wp:inline>
        </w:drawing>
      </w:r>
    </w:p>
    <w:p w:rsidR="0092532A" w:rsidRPr="00DC3374" w:rsidP="00E81188" w14:paraId="13B0B845" w14:textId="41238713">
      <w:pPr>
        <w:spacing w:line="269" w:lineRule="auto"/>
        <w:rPr>
          <w:szCs w:val="20"/>
          <w:rtl/>
        </w:rPr>
      </w:pPr>
      <w:r w:rsidRPr="00DC3374">
        <w:rPr>
          <w:rFonts w:hint="cs"/>
          <w:szCs w:val="20"/>
          <w:rtl/>
        </w:rPr>
        <w:t>על פי נתוני לפ"ם, בעיבוד משרד מבקר המדינה.</w:t>
      </w:r>
      <w:r w:rsidR="00A95720">
        <w:rPr>
          <w:rFonts w:hint="cs"/>
          <w:szCs w:val="20"/>
          <w:rtl/>
        </w:rPr>
        <w:t xml:space="preserve"> יצוין כי הנתונים אינם כוללים עלויות הפקה בסך כ-5 מיליון ש"ח.</w:t>
      </w:r>
    </w:p>
    <w:p w:rsidR="0092532A" w:rsidRPr="00DC3374" w:rsidP="00E81188" w14:paraId="7D99E649" w14:textId="35F9DF3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094DD9" w14:paraId="142479B4" w14:textId="2C74937B">
      <w:pPr>
        <w:spacing w:line="269" w:lineRule="auto"/>
        <w:rPr>
          <w:b/>
          <w:bCs/>
          <w:rtl/>
        </w:rPr>
      </w:pPr>
      <w:r w:rsidRPr="00DC3374">
        <w:rPr>
          <w:rFonts w:hint="eastAsia"/>
          <w:b/>
          <w:bCs/>
          <w:rtl/>
        </w:rPr>
        <w:t>מן</w:t>
      </w:r>
      <w:r w:rsidRPr="00DC3374">
        <w:rPr>
          <w:b/>
          <w:bCs/>
          <w:rtl/>
        </w:rPr>
        <w:t xml:space="preserve"> התרשים עולה כי משרד הבריאות מימן </w:t>
      </w:r>
      <w:r w:rsidRPr="00DC3374">
        <w:rPr>
          <w:rFonts w:hint="cs"/>
          <w:b/>
          <w:bCs/>
          <w:rtl/>
        </w:rPr>
        <w:t xml:space="preserve">פעולות </w:t>
      </w:r>
      <w:r w:rsidRPr="00DC3374">
        <w:rPr>
          <w:rFonts w:hint="eastAsia"/>
          <w:b/>
          <w:bCs/>
          <w:rtl/>
        </w:rPr>
        <w:t>הסברה</w:t>
      </w:r>
      <w:r w:rsidRPr="00DC3374">
        <w:rPr>
          <w:b/>
          <w:bCs/>
          <w:rtl/>
        </w:rPr>
        <w:t xml:space="preserve"> </w:t>
      </w:r>
      <w:r w:rsidRPr="00DC3374">
        <w:rPr>
          <w:rFonts w:hint="cs"/>
          <w:b/>
          <w:bCs/>
          <w:rtl/>
        </w:rPr>
        <w:t>לחברה</w:t>
      </w:r>
      <w:r w:rsidRPr="00DC3374">
        <w:rPr>
          <w:b/>
          <w:bCs/>
          <w:rtl/>
        </w:rPr>
        <w:t xml:space="preserve"> היהודית הכללית בחמישה אמצעים שונים, </w:t>
      </w:r>
      <w:r w:rsidRPr="00DC3374">
        <w:rPr>
          <w:rFonts w:hint="cs"/>
          <w:b/>
          <w:bCs/>
          <w:rtl/>
        </w:rPr>
        <w:t>ו</w:t>
      </w:r>
      <w:r w:rsidRPr="00DC3374">
        <w:rPr>
          <w:b/>
          <w:bCs/>
          <w:rtl/>
        </w:rPr>
        <w:t xml:space="preserve">רוב ההוצאה הכספית (77%) היה </w:t>
      </w:r>
      <w:r w:rsidRPr="00DC3374">
        <w:rPr>
          <w:rFonts w:hint="cs"/>
          <w:b/>
          <w:bCs/>
          <w:rtl/>
        </w:rPr>
        <w:t>ע</w:t>
      </w:r>
      <w:r w:rsidRPr="00DC3374">
        <w:rPr>
          <w:b/>
          <w:bCs/>
          <w:rtl/>
        </w:rPr>
        <w:t>ל</w:t>
      </w:r>
      <w:r w:rsidRPr="00DC3374">
        <w:rPr>
          <w:rFonts w:hint="cs"/>
          <w:b/>
          <w:bCs/>
          <w:rtl/>
        </w:rPr>
        <w:t xml:space="preserve"> </w:t>
      </w:r>
      <w:r w:rsidRPr="00DC3374">
        <w:rPr>
          <w:b/>
          <w:bCs/>
          <w:rtl/>
        </w:rPr>
        <w:t>תשדירי טלוויזיה והשאר בעיקר לפרסומים באינטרנט וברשתות החברתיות. המשרד מימן פעולות הסברה לחברה החרדית באמצעות חמישה אמצעי הסברה, ו</w:t>
      </w:r>
      <w:r w:rsidRPr="00DC3374">
        <w:rPr>
          <w:rFonts w:hint="cs"/>
          <w:b/>
          <w:bCs/>
          <w:rtl/>
        </w:rPr>
        <w:t xml:space="preserve">אלה </w:t>
      </w:r>
      <w:r w:rsidRPr="00DC3374">
        <w:rPr>
          <w:b/>
          <w:bCs/>
          <w:rtl/>
        </w:rPr>
        <w:t>שלושת הבולטים בהם:</w:t>
      </w:r>
      <w:r w:rsidRPr="00DC3374">
        <w:rPr>
          <w:rFonts w:hint="cs"/>
          <w:b/>
          <w:bCs/>
          <w:rtl/>
        </w:rPr>
        <w:t xml:space="preserve"> ה</w:t>
      </w:r>
      <w:r w:rsidRPr="00DC3374">
        <w:rPr>
          <w:b/>
          <w:bCs/>
          <w:rtl/>
        </w:rPr>
        <w:t xml:space="preserve">פרסום </w:t>
      </w:r>
      <w:r w:rsidRPr="00DC3374">
        <w:rPr>
          <w:rFonts w:hint="eastAsia"/>
          <w:b/>
          <w:bCs/>
          <w:rtl/>
        </w:rPr>
        <w:t>בדיגיטל</w:t>
      </w:r>
      <w:r w:rsidRPr="00DC3374">
        <w:rPr>
          <w:rFonts w:hint="cs"/>
          <w:b/>
          <w:bCs/>
          <w:rtl/>
        </w:rPr>
        <w:t xml:space="preserve"> (33%), העיתונות הכתובה (28%)</w:t>
      </w:r>
      <w:r w:rsidRPr="00DC3374">
        <w:rPr>
          <w:b/>
          <w:bCs/>
          <w:rtl/>
        </w:rPr>
        <w:t xml:space="preserve"> ושלטי חוצות</w:t>
      </w:r>
      <w:r w:rsidRPr="00DC3374">
        <w:rPr>
          <w:rFonts w:hint="cs"/>
          <w:b/>
          <w:bCs/>
          <w:rtl/>
        </w:rPr>
        <w:t xml:space="preserve"> (24%)</w:t>
      </w:r>
      <w:r w:rsidRPr="00DC3374">
        <w:rPr>
          <w:b/>
          <w:bCs/>
          <w:rtl/>
        </w:rPr>
        <w:t xml:space="preserve">. כמו כן הפעיל משרד הבריאות בהיקף מצומצם אך באופן ממוקד אמצעי הסברה ייעודיים לחברה החרדית - כריזת רחוב והודעות </w:t>
      </w:r>
      <w:r w:rsidRPr="00DC3374">
        <w:rPr>
          <w:b/>
          <w:bCs/>
        </w:rPr>
        <w:t>IVR</w:t>
      </w:r>
      <w:r w:rsidRPr="00DC3374">
        <w:rPr>
          <w:b/>
          <w:bCs/>
          <w:rtl/>
        </w:rPr>
        <w:t xml:space="preserve">. רוב ההוצאה </w:t>
      </w:r>
      <w:r w:rsidRPr="00DC3374">
        <w:rPr>
          <w:rFonts w:hint="cs"/>
          <w:b/>
          <w:bCs/>
          <w:rtl/>
        </w:rPr>
        <w:t>ע</w:t>
      </w:r>
      <w:r w:rsidRPr="00DC3374">
        <w:rPr>
          <w:b/>
          <w:bCs/>
          <w:rtl/>
        </w:rPr>
        <w:t>ל</w:t>
      </w:r>
      <w:r w:rsidRPr="00DC3374">
        <w:rPr>
          <w:rFonts w:hint="cs"/>
          <w:b/>
          <w:bCs/>
          <w:rtl/>
        </w:rPr>
        <w:t xml:space="preserve"> ה</w:t>
      </w:r>
      <w:r w:rsidRPr="00DC3374">
        <w:rPr>
          <w:b/>
          <w:bCs/>
          <w:rtl/>
        </w:rPr>
        <w:t xml:space="preserve">הסברה לחברה הערבית הייתה לפרסום </w:t>
      </w:r>
      <w:r w:rsidRPr="00DC3374">
        <w:rPr>
          <w:rFonts w:hint="eastAsia"/>
          <w:b/>
          <w:bCs/>
          <w:rtl/>
        </w:rPr>
        <w:t>בדיגיטל</w:t>
      </w:r>
      <w:r w:rsidRPr="00DC3374">
        <w:rPr>
          <w:b/>
          <w:bCs/>
          <w:rtl/>
        </w:rPr>
        <w:t xml:space="preserve"> (5</w:t>
      </w:r>
      <w:r w:rsidRPr="00DC3374">
        <w:rPr>
          <w:rFonts w:hint="cs"/>
          <w:b/>
          <w:bCs/>
          <w:rtl/>
        </w:rPr>
        <w:t>7</w:t>
      </w:r>
      <w:r w:rsidRPr="00DC3374">
        <w:rPr>
          <w:b/>
          <w:bCs/>
          <w:rtl/>
        </w:rPr>
        <w:t>%) ובשלטי חוצות (2</w:t>
      </w:r>
      <w:r w:rsidRPr="00DC3374">
        <w:rPr>
          <w:rFonts w:hint="cs"/>
          <w:b/>
          <w:bCs/>
          <w:rtl/>
        </w:rPr>
        <w:t>5</w:t>
      </w:r>
      <w:r w:rsidRPr="00DC3374">
        <w:rPr>
          <w:b/>
          <w:bCs/>
          <w:rtl/>
        </w:rPr>
        <w:t>%), ובהיקף נמוך באופן ניכר גם בפרסום בטלוויזיה, ברדיו ובעיתונות.</w:t>
      </w:r>
    </w:p>
    <w:p w:rsidR="00822910" w:rsidRPr="00DC3374" w:rsidP="00E81188" w14:paraId="565DB98B" w14:textId="5C30A42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822910" w:rsidRPr="00DC3374" w:rsidP="00E81188" w14:paraId="64A3EA74" w14:textId="77777777">
      <w:pPr>
        <w:spacing w:line="269" w:lineRule="auto"/>
        <w:rPr>
          <w:rtl/>
        </w:rPr>
      </w:pPr>
      <w:r w:rsidRPr="00DC3374">
        <w:rPr>
          <w:rFonts w:hint="cs"/>
          <w:rtl/>
        </w:rPr>
        <w:t xml:space="preserve">משרד הבריאות מסר בתשובתו כי הוא נתן מענה הולם בפעילות הסברה מגוונת ומותאמת לחברה הערבית; דפוסי צריכת המידע בחברה הערבית כוללים חשיפה לדיגיטל כערוץ מרכזי; הציבור הערבי גולש בממוצע בין שלוש לחמש שעות ביום באתרי התוכן של החברה הערבית וברשתות החברתיות, ודפוס זה התעצם בתקופת משבר הקורונה; בחברה החרדית ערוצי המידע המקבילים לטלוויזיה הם ערוצי הרדיו והעיתונים. </w:t>
      </w:r>
    </w:p>
    <w:p w:rsidR="0092532A" w:rsidRPr="00DC3374" w:rsidP="00E81188" w14:paraId="7F663FA0" w14:textId="09EA613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094DD9" w:rsidP="00E81188" w14:paraId="10A3D503" w14:textId="50F940E0">
      <w:pPr>
        <w:spacing w:line="269" w:lineRule="auto"/>
        <w:rPr>
          <w:rtl/>
        </w:rPr>
      </w:pPr>
      <w:r w:rsidRPr="00DC3374">
        <w:rPr>
          <w:rFonts w:hint="cs"/>
          <w:rtl/>
        </w:rPr>
        <w:t xml:space="preserve">בסקר שערך משרד מבקר המדינה בדצמבר 2020 נבדקה מידת החשיפה בפועל של קבוצות האוכלוסייה לסוגים שונים של אמצעים ושיטות הסברה וכן רמת ההשפעה ויכולת השכנוע של אמצעי הסברה אלה. להלן תרשים המתאר את תוצאות הסקר, בפילוח לפי קבוצות אוכלוסייה: </w:t>
      </w:r>
    </w:p>
    <w:p w:rsidR="00094DD9" w14:paraId="053AB230" w14:textId="77777777">
      <w:pPr>
        <w:spacing w:line="240" w:lineRule="auto"/>
        <w:ind w:left="720" w:hanging="720"/>
        <w:rPr>
          <w:rtl/>
        </w:rPr>
      </w:pPr>
      <w:r>
        <w:rPr>
          <w:rtl/>
        </w:rPr>
        <w:br w:type="page"/>
      </w:r>
    </w:p>
    <w:p w:rsidR="0092532A" w:rsidRPr="00DC3374" w:rsidP="00E81188" w14:paraId="782F9F8A" w14:textId="7EF1AF9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56086DF6" w14:textId="77777777">
      <w:pPr>
        <w:spacing w:line="269" w:lineRule="auto"/>
        <w:ind w:left="312"/>
        <w:jc w:val="center"/>
        <w:rPr>
          <w:b/>
          <w:bCs/>
          <w:rtl/>
        </w:rPr>
      </w:pPr>
      <w:r w:rsidRPr="00DC3374">
        <w:rPr>
          <w:rFonts w:hint="cs"/>
          <w:b/>
          <w:bCs/>
          <w:rtl/>
        </w:rPr>
        <w:t>תרשים 51: אמצעי ההסברה - מידת החשיפה ורמת ההשפעה</w:t>
      </w:r>
    </w:p>
    <w:p w:rsidR="0092532A" w:rsidRPr="00DC3374" w:rsidP="00E81188" w14:paraId="1C6F67E3" w14:textId="77777777">
      <w:pPr>
        <w:spacing w:line="269" w:lineRule="auto"/>
        <w:ind w:left="312"/>
        <w:jc w:val="center"/>
        <w:rPr>
          <w:rtl/>
        </w:rPr>
      </w:pPr>
      <w:r w:rsidRPr="00DC3374">
        <w:rPr>
          <w:rFonts w:hint="eastAsia"/>
          <w:b/>
          <w:bCs/>
          <w:rtl/>
        </w:rPr>
        <w:t>בפילוח</w:t>
      </w:r>
      <w:r w:rsidRPr="00DC3374">
        <w:rPr>
          <w:b/>
          <w:bCs/>
          <w:rtl/>
        </w:rPr>
        <w:t xml:space="preserve"> </w:t>
      </w:r>
      <w:r w:rsidRPr="00DC3374">
        <w:rPr>
          <w:rFonts w:hint="eastAsia"/>
          <w:b/>
          <w:bCs/>
          <w:rtl/>
        </w:rPr>
        <w:t>לפי</w:t>
      </w:r>
      <w:r w:rsidRPr="00DC3374">
        <w:rPr>
          <w:b/>
          <w:bCs/>
          <w:rtl/>
        </w:rPr>
        <w:t xml:space="preserve"> </w:t>
      </w:r>
      <w:r w:rsidRPr="00DC3374">
        <w:rPr>
          <w:rFonts w:hint="eastAsia"/>
          <w:b/>
          <w:bCs/>
          <w:rtl/>
        </w:rPr>
        <w:t>קבוצות</w:t>
      </w:r>
      <w:r w:rsidRPr="00DC3374">
        <w:rPr>
          <w:b/>
          <w:bCs/>
          <w:rtl/>
        </w:rPr>
        <w:t xml:space="preserve"> </w:t>
      </w:r>
      <w:r w:rsidRPr="00DC3374">
        <w:rPr>
          <w:rFonts w:hint="eastAsia"/>
          <w:b/>
          <w:bCs/>
          <w:rtl/>
        </w:rPr>
        <w:t>אוכלוסייה</w:t>
      </w:r>
      <w:r w:rsidRPr="00DC3374">
        <w:rPr>
          <w:rtl/>
        </w:rPr>
        <w:t>*</w:t>
      </w:r>
    </w:p>
    <w:p w:rsidR="0092532A" w:rsidRPr="00DC3374" w:rsidP="00E81188" w14:paraId="78F12A0E" w14:textId="77777777">
      <w:pPr>
        <w:spacing w:line="269" w:lineRule="auto"/>
        <w:ind w:left="312"/>
        <w:jc w:val="center"/>
        <w:rPr>
          <w:rtl/>
        </w:rPr>
      </w:pPr>
      <w:r w:rsidRPr="00DC3374">
        <w:rPr>
          <w:noProof/>
        </w:rPr>
        <w:drawing>
          <wp:inline distT="0" distB="0" distL="0" distR="0">
            <wp:extent cx="5698141" cy="4038600"/>
            <wp:effectExtent l="0" t="0" r="0" b="0"/>
            <wp:docPr id="1743882418" name="תמונה 1743882418" descr="C:\Users\michal_re\AppData\Local\Microsoft\Windows\INetCache\Content.Word\MR-Tarshim-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11010" name="Picture 37" descr="C:\Users\michal_re\AppData\Local\Microsoft\Windows\INetCache\Content.Word\MR-Tarshim-51.jpg"/>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1901" cy="4041265"/>
                    </a:xfrm>
                    <a:prstGeom prst="rect">
                      <a:avLst/>
                    </a:prstGeom>
                    <a:noFill/>
                    <a:ln>
                      <a:noFill/>
                    </a:ln>
                  </pic:spPr>
                </pic:pic>
              </a:graphicData>
            </a:graphic>
          </wp:inline>
        </w:drawing>
      </w:r>
    </w:p>
    <w:p w:rsidR="0092532A" w:rsidRPr="00DC3374" w:rsidP="00E81188" w14:paraId="56E75CF0" w14:textId="77777777">
      <w:pPr>
        <w:spacing w:line="269" w:lineRule="auto"/>
        <w:rPr>
          <w:szCs w:val="20"/>
        </w:rPr>
      </w:pPr>
      <w:r w:rsidRPr="00DC3374">
        <w:rPr>
          <w:rFonts w:hint="cs"/>
          <w:szCs w:val="20"/>
          <w:rtl/>
        </w:rPr>
        <w:t>על פי נתוני הסקר מדצמבר 2020, בעיבוד משרד מבקר המדינה.</w:t>
      </w:r>
    </w:p>
    <w:p w:rsidR="0092532A" w:rsidRPr="00DC3374" w:rsidP="00E81188" w14:paraId="04E534CA" w14:textId="77777777">
      <w:pPr>
        <w:spacing w:line="269" w:lineRule="auto"/>
        <w:rPr>
          <w:szCs w:val="20"/>
          <w:rtl/>
        </w:rPr>
      </w:pPr>
      <w:r w:rsidRPr="00DC3374">
        <w:rPr>
          <w:rFonts w:hint="cs"/>
          <w:szCs w:val="20"/>
          <w:rtl/>
        </w:rPr>
        <w:t>* הנתונים מצטברים ליותר מ-100% בכל קבוצת אוכלוסייה. בנושא החשיפה לאמצעי הסברה - הנשאלים נחשפו ליותר מאמצעי הסברה אחד בממוצע; בנושא אמצעי ההסברה המשכנע ביותר - הנתונים כוללים שקלול של מידת החשיפה.</w:t>
      </w:r>
    </w:p>
    <w:p w:rsidR="0092532A" w:rsidRPr="00DC3374" w:rsidP="00E81188" w14:paraId="6826D570" w14:textId="71755CA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34D72266" w14:textId="77777777">
      <w:pPr>
        <w:spacing w:line="269" w:lineRule="auto"/>
        <w:rPr>
          <w:b/>
          <w:bCs/>
          <w:rtl/>
        </w:rPr>
      </w:pPr>
      <w:r w:rsidRPr="00DC3374">
        <w:rPr>
          <w:rFonts w:hint="eastAsia"/>
          <w:b/>
          <w:bCs/>
          <w:rtl/>
        </w:rPr>
        <w:t>מן</w:t>
      </w:r>
      <w:r w:rsidRPr="00DC3374">
        <w:rPr>
          <w:b/>
          <w:bCs/>
          <w:rtl/>
        </w:rPr>
        <w:t xml:space="preserve"> </w:t>
      </w:r>
      <w:r w:rsidRPr="00DC3374">
        <w:rPr>
          <w:rFonts w:hint="eastAsia"/>
          <w:b/>
          <w:bCs/>
          <w:rtl/>
        </w:rPr>
        <w:t>הסקר</w:t>
      </w:r>
      <w:r w:rsidRPr="00DC3374">
        <w:rPr>
          <w:b/>
          <w:bCs/>
          <w:rtl/>
        </w:rPr>
        <w:t xml:space="preserve"> </w:t>
      </w:r>
      <w:r w:rsidRPr="00DC3374">
        <w:rPr>
          <w:rFonts w:hint="eastAsia"/>
          <w:b/>
          <w:bCs/>
          <w:rtl/>
        </w:rPr>
        <w:t>עולה</w:t>
      </w:r>
      <w:r w:rsidRPr="00DC3374">
        <w:rPr>
          <w:b/>
          <w:bCs/>
          <w:rtl/>
        </w:rPr>
        <w:t xml:space="preserve"> </w:t>
      </w:r>
      <w:r w:rsidRPr="00DC3374">
        <w:rPr>
          <w:rFonts w:hint="eastAsia"/>
          <w:b/>
          <w:bCs/>
          <w:rtl/>
        </w:rPr>
        <w:t>כי</w:t>
      </w:r>
      <w:r w:rsidRPr="00DC3374">
        <w:rPr>
          <w:b/>
          <w:bCs/>
          <w:rtl/>
        </w:rPr>
        <w:t xml:space="preserve"> </w:t>
      </w:r>
      <w:r w:rsidRPr="00DC3374">
        <w:rPr>
          <w:rFonts w:hint="eastAsia"/>
          <w:b/>
          <w:bCs/>
          <w:rtl/>
        </w:rPr>
        <w:t>רוב</w:t>
      </w:r>
      <w:r w:rsidRPr="00DC3374">
        <w:rPr>
          <w:b/>
          <w:bCs/>
          <w:rtl/>
        </w:rPr>
        <w:t xml:space="preserve"> </w:t>
      </w:r>
      <w:r w:rsidRPr="00DC3374">
        <w:rPr>
          <w:rFonts w:hint="cs"/>
          <w:b/>
          <w:bCs/>
          <w:rtl/>
        </w:rPr>
        <w:t>החברה</w:t>
      </w:r>
      <w:r w:rsidRPr="00DC3374">
        <w:rPr>
          <w:b/>
          <w:bCs/>
          <w:rtl/>
        </w:rPr>
        <w:t xml:space="preserve"> </w:t>
      </w:r>
      <w:r w:rsidRPr="00DC3374">
        <w:rPr>
          <w:rFonts w:hint="eastAsia"/>
          <w:b/>
          <w:bCs/>
          <w:rtl/>
        </w:rPr>
        <w:t>היהודית</w:t>
      </w:r>
      <w:r w:rsidRPr="00DC3374">
        <w:rPr>
          <w:rFonts w:hint="cs"/>
          <w:b/>
          <w:bCs/>
          <w:rtl/>
        </w:rPr>
        <w:t xml:space="preserve"> </w:t>
      </w:r>
      <w:r w:rsidRPr="00DC3374">
        <w:rPr>
          <w:rFonts w:hint="eastAsia"/>
          <w:b/>
          <w:bCs/>
          <w:rtl/>
        </w:rPr>
        <w:t>הכללית</w:t>
      </w:r>
      <w:r w:rsidRPr="00DC3374">
        <w:rPr>
          <w:b/>
          <w:bCs/>
          <w:rtl/>
        </w:rPr>
        <w:t xml:space="preserve"> </w:t>
      </w:r>
      <w:r w:rsidRPr="00DC3374">
        <w:rPr>
          <w:rFonts w:hint="eastAsia"/>
          <w:b/>
          <w:bCs/>
          <w:rtl/>
        </w:rPr>
        <w:t>נחשפה</w:t>
      </w:r>
      <w:r w:rsidRPr="00DC3374">
        <w:rPr>
          <w:b/>
          <w:bCs/>
          <w:rtl/>
        </w:rPr>
        <w:t xml:space="preserve"> </w:t>
      </w:r>
      <w:r w:rsidRPr="00DC3374">
        <w:rPr>
          <w:rFonts w:hint="eastAsia"/>
          <w:b/>
          <w:bCs/>
          <w:rtl/>
        </w:rPr>
        <w:t>במידה</w:t>
      </w:r>
      <w:r w:rsidRPr="00DC3374">
        <w:rPr>
          <w:b/>
          <w:bCs/>
          <w:rtl/>
        </w:rPr>
        <w:t xml:space="preserve"> </w:t>
      </w:r>
      <w:r w:rsidRPr="00DC3374">
        <w:rPr>
          <w:rFonts w:hint="eastAsia"/>
          <w:b/>
          <w:bCs/>
          <w:rtl/>
        </w:rPr>
        <w:t>רבה</w:t>
      </w:r>
      <w:r w:rsidRPr="00DC3374">
        <w:rPr>
          <w:rFonts w:hint="cs"/>
          <w:b/>
          <w:bCs/>
          <w:rtl/>
        </w:rPr>
        <w:t xml:space="preserve"> </w:t>
      </w:r>
      <w:r w:rsidRPr="00DC3374">
        <w:rPr>
          <w:rFonts w:hint="eastAsia"/>
          <w:b/>
          <w:bCs/>
          <w:rtl/>
        </w:rPr>
        <w:t>למסיבות</w:t>
      </w:r>
      <w:r w:rsidRPr="00DC3374">
        <w:rPr>
          <w:b/>
          <w:bCs/>
          <w:rtl/>
        </w:rPr>
        <w:t xml:space="preserve"> </w:t>
      </w:r>
      <w:r w:rsidRPr="00DC3374">
        <w:rPr>
          <w:rFonts w:hint="eastAsia"/>
          <w:b/>
          <w:bCs/>
          <w:rtl/>
        </w:rPr>
        <w:t>עיתונאים</w:t>
      </w:r>
      <w:r w:rsidRPr="00DC3374">
        <w:rPr>
          <w:b/>
          <w:bCs/>
          <w:rtl/>
        </w:rPr>
        <w:t xml:space="preserve">, </w:t>
      </w:r>
      <w:r w:rsidRPr="00DC3374">
        <w:rPr>
          <w:rFonts w:hint="eastAsia"/>
          <w:b/>
          <w:bCs/>
          <w:rtl/>
        </w:rPr>
        <w:t>מודעות</w:t>
      </w:r>
      <w:r w:rsidRPr="00DC3374">
        <w:rPr>
          <w:b/>
          <w:bCs/>
          <w:rtl/>
        </w:rPr>
        <w:t xml:space="preserve"> </w:t>
      </w:r>
      <w:r w:rsidRPr="00DC3374">
        <w:rPr>
          <w:rFonts w:hint="eastAsia"/>
          <w:b/>
          <w:bCs/>
          <w:rtl/>
        </w:rPr>
        <w:t>ופרסומות</w:t>
      </w:r>
      <w:r w:rsidRPr="00DC3374">
        <w:rPr>
          <w:rFonts w:hint="cs"/>
          <w:b/>
          <w:bCs/>
          <w:rtl/>
        </w:rPr>
        <w:t xml:space="preserve"> ו</w:t>
      </w:r>
      <w:r w:rsidRPr="00DC3374">
        <w:rPr>
          <w:rFonts w:hint="eastAsia"/>
          <w:b/>
          <w:bCs/>
          <w:rtl/>
        </w:rPr>
        <w:t>הסברי</w:t>
      </w:r>
      <w:r w:rsidRPr="00DC3374">
        <w:rPr>
          <w:b/>
          <w:bCs/>
          <w:rtl/>
        </w:rPr>
        <w:t xml:space="preserve"> </w:t>
      </w:r>
      <w:r w:rsidRPr="00DC3374">
        <w:rPr>
          <w:rFonts w:hint="eastAsia"/>
          <w:b/>
          <w:bCs/>
          <w:rtl/>
        </w:rPr>
        <w:t>מומחים</w:t>
      </w:r>
      <w:r w:rsidRPr="00DC3374">
        <w:rPr>
          <w:b/>
          <w:bCs/>
          <w:rtl/>
        </w:rPr>
        <w:t xml:space="preserve"> </w:t>
      </w:r>
      <w:r w:rsidRPr="00DC3374">
        <w:rPr>
          <w:rFonts w:hint="eastAsia"/>
          <w:b/>
          <w:bCs/>
          <w:rtl/>
        </w:rPr>
        <w:t>ומאמרים</w:t>
      </w:r>
      <w:r w:rsidRPr="00DC3374">
        <w:rPr>
          <w:rFonts w:hint="cs"/>
          <w:b/>
          <w:bCs/>
          <w:rtl/>
        </w:rPr>
        <w:t xml:space="preserve"> (74%, 73% ו-65%, בהתאמה)</w:t>
      </w:r>
      <w:r w:rsidRPr="00DC3374">
        <w:rPr>
          <w:b/>
          <w:bCs/>
          <w:rtl/>
        </w:rPr>
        <w:t xml:space="preserve">, </w:t>
      </w:r>
      <w:r w:rsidRPr="00DC3374">
        <w:rPr>
          <w:rFonts w:hint="eastAsia"/>
          <w:b/>
          <w:bCs/>
          <w:rtl/>
        </w:rPr>
        <w:t>ומחציתה</w:t>
      </w:r>
      <w:r w:rsidRPr="00DC3374">
        <w:rPr>
          <w:b/>
          <w:bCs/>
          <w:rtl/>
        </w:rPr>
        <w:t xml:space="preserve"> </w:t>
      </w:r>
      <w:r w:rsidRPr="00DC3374">
        <w:rPr>
          <w:rFonts w:hint="eastAsia"/>
          <w:b/>
          <w:bCs/>
          <w:rtl/>
        </w:rPr>
        <w:t>נחשפה</w:t>
      </w:r>
      <w:r w:rsidRPr="00DC3374">
        <w:rPr>
          <w:b/>
          <w:bCs/>
          <w:rtl/>
        </w:rPr>
        <w:t xml:space="preserve"> </w:t>
      </w:r>
      <w:r w:rsidRPr="00DC3374">
        <w:rPr>
          <w:rFonts w:hint="eastAsia"/>
          <w:b/>
          <w:bCs/>
          <w:rtl/>
        </w:rPr>
        <w:t>גם</w:t>
      </w:r>
      <w:r w:rsidRPr="00DC3374">
        <w:rPr>
          <w:b/>
          <w:bCs/>
          <w:rtl/>
        </w:rPr>
        <w:t xml:space="preserve"> </w:t>
      </w:r>
      <w:r w:rsidRPr="00DC3374">
        <w:rPr>
          <w:rFonts w:hint="eastAsia"/>
          <w:b/>
          <w:bCs/>
          <w:rtl/>
        </w:rPr>
        <w:t>לסיפורים</w:t>
      </w:r>
      <w:r w:rsidRPr="00DC3374">
        <w:rPr>
          <w:b/>
          <w:bCs/>
          <w:rtl/>
        </w:rPr>
        <w:t xml:space="preserve"> </w:t>
      </w:r>
      <w:r w:rsidRPr="00DC3374">
        <w:rPr>
          <w:rFonts w:hint="eastAsia"/>
          <w:b/>
          <w:bCs/>
          <w:rtl/>
        </w:rPr>
        <w:t>של</w:t>
      </w:r>
      <w:r w:rsidRPr="00DC3374">
        <w:rPr>
          <w:b/>
          <w:bCs/>
          <w:rtl/>
        </w:rPr>
        <w:t xml:space="preserve"> </w:t>
      </w:r>
      <w:r w:rsidRPr="00DC3374">
        <w:rPr>
          <w:rFonts w:hint="eastAsia"/>
          <w:b/>
          <w:bCs/>
          <w:rtl/>
        </w:rPr>
        <w:t>מחלימים</w:t>
      </w:r>
      <w:r w:rsidRPr="00DC3374">
        <w:rPr>
          <w:b/>
          <w:bCs/>
          <w:rtl/>
        </w:rPr>
        <w:t xml:space="preserve"> </w:t>
      </w:r>
      <w:r w:rsidRPr="00DC3374">
        <w:rPr>
          <w:rFonts w:hint="eastAsia"/>
          <w:b/>
          <w:bCs/>
          <w:rtl/>
        </w:rPr>
        <w:t>ולהודעות</w:t>
      </w:r>
      <w:r w:rsidRPr="00DC3374">
        <w:rPr>
          <w:b/>
          <w:bCs/>
          <w:rtl/>
        </w:rPr>
        <w:t xml:space="preserve"> </w:t>
      </w:r>
      <w:r w:rsidRPr="00DC3374">
        <w:rPr>
          <w:rFonts w:hint="eastAsia"/>
          <w:b/>
          <w:bCs/>
          <w:rtl/>
        </w:rPr>
        <w:t>מטעם</w:t>
      </w:r>
      <w:r w:rsidRPr="00DC3374">
        <w:rPr>
          <w:b/>
          <w:bCs/>
          <w:rtl/>
        </w:rPr>
        <w:t xml:space="preserve"> </w:t>
      </w:r>
      <w:r w:rsidRPr="00DC3374">
        <w:rPr>
          <w:rFonts w:hint="eastAsia"/>
          <w:b/>
          <w:bCs/>
          <w:rtl/>
        </w:rPr>
        <w:t>נבחרי</w:t>
      </w:r>
      <w:r w:rsidRPr="00DC3374">
        <w:rPr>
          <w:b/>
          <w:bCs/>
          <w:rtl/>
        </w:rPr>
        <w:t xml:space="preserve"> </w:t>
      </w:r>
      <w:r w:rsidRPr="00DC3374">
        <w:rPr>
          <w:rFonts w:hint="eastAsia"/>
          <w:b/>
          <w:bCs/>
          <w:rtl/>
        </w:rPr>
        <w:t>ציבור</w:t>
      </w:r>
      <w:r w:rsidRPr="00DC3374">
        <w:rPr>
          <w:b/>
          <w:bCs/>
          <w:rtl/>
        </w:rPr>
        <w:t xml:space="preserve">; </w:t>
      </w:r>
      <w:r w:rsidRPr="00DC3374">
        <w:rPr>
          <w:rFonts w:hint="eastAsia"/>
          <w:b/>
          <w:bCs/>
          <w:rtl/>
        </w:rPr>
        <w:t>רוב</w:t>
      </w:r>
      <w:r w:rsidRPr="00DC3374">
        <w:rPr>
          <w:b/>
          <w:bCs/>
          <w:rtl/>
        </w:rPr>
        <w:t xml:space="preserve"> </w:t>
      </w:r>
      <w:r w:rsidRPr="00DC3374">
        <w:rPr>
          <w:rFonts w:hint="eastAsia"/>
          <w:b/>
          <w:bCs/>
          <w:rtl/>
        </w:rPr>
        <w:t>האוכלוסייה</w:t>
      </w:r>
      <w:r w:rsidRPr="00DC3374">
        <w:rPr>
          <w:b/>
          <w:bCs/>
          <w:rtl/>
        </w:rPr>
        <w:t xml:space="preserve"> </w:t>
      </w:r>
      <w:r w:rsidRPr="00DC3374">
        <w:rPr>
          <w:rFonts w:hint="eastAsia"/>
          <w:b/>
          <w:bCs/>
          <w:rtl/>
        </w:rPr>
        <w:t>החרדית</w:t>
      </w:r>
      <w:r w:rsidRPr="00DC3374">
        <w:rPr>
          <w:b/>
          <w:bCs/>
          <w:rtl/>
        </w:rPr>
        <w:t xml:space="preserve"> </w:t>
      </w:r>
      <w:r w:rsidRPr="00DC3374">
        <w:rPr>
          <w:rFonts w:hint="eastAsia"/>
          <w:b/>
          <w:bCs/>
          <w:rtl/>
        </w:rPr>
        <w:t>נחשפה</w:t>
      </w:r>
      <w:r w:rsidRPr="00DC3374">
        <w:rPr>
          <w:b/>
          <w:bCs/>
          <w:rtl/>
        </w:rPr>
        <w:t xml:space="preserve"> </w:t>
      </w:r>
      <w:r w:rsidRPr="00DC3374">
        <w:rPr>
          <w:rFonts w:hint="eastAsia"/>
          <w:b/>
          <w:bCs/>
          <w:rtl/>
        </w:rPr>
        <w:t>למודעות</w:t>
      </w:r>
      <w:r w:rsidRPr="00DC3374">
        <w:rPr>
          <w:b/>
          <w:bCs/>
          <w:rtl/>
        </w:rPr>
        <w:t xml:space="preserve"> </w:t>
      </w:r>
      <w:r w:rsidRPr="00DC3374">
        <w:rPr>
          <w:rFonts w:hint="eastAsia"/>
          <w:b/>
          <w:bCs/>
          <w:rtl/>
        </w:rPr>
        <w:t>ופרסומות</w:t>
      </w:r>
      <w:r w:rsidRPr="00DC3374">
        <w:rPr>
          <w:rFonts w:hint="cs"/>
          <w:b/>
          <w:bCs/>
          <w:rtl/>
        </w:rPr>
        <w:t xml:space="preserve"> ו</w:t>
      </w:r>
      <w:r w:rsidRPr="00DC3374">
        <w:rPr>
          <w:rFonts w:hint="eastAsia"/>
          <w:b/>
          <w:bCs/>
          <w:rtl/>
        </w:rPr>
        <w:t>להודעות</w:t>
      </w:r>
      <w:r w:rsidRPr="00DC3374">
        <w:rPr>
          <w:b/>
          <w:bCs/>
          <w:rtl/>
        </w:rPr>
        <w:t xml:space="preserve"> </w:t>
      </w:r>
      <w:r w:rsidRPr="00DC3374">
        <w:rPr>
          <w:rFonts w:hint="eastAsia"/>
          <w:b/>
          <w:bCs/>
          <w:rtl/>
        </w:rPr>
        <w:t>מטעם</w:t>
      </w:r>
      <w:r w:rsidRPr="00DC3374">
        <w:rPr>
          <w:b/>
          <w:bCs/>
          <w:rtl/>
        </w:rPr>
        <w:t xml:space="preserve"> </w:t>
      </w:r>
      <w:r w:rsidRPr="00DC3374">
        <w:rPr>
          <w:rFonts w:hint="eastAsia"/>
          <w:b/>
          <w:bCs/>
          <w:rtl/>
        </w:rPr>
        <w:t>רבנים</w:t>
      </w:r>
      <w:r w:rsidRPr="00DC3374">
        <w:rPr>
          <w:b/>
          <w:bCs/>
          <w:rtl/>
        </w:rPr>
        <w:t xml:space="preserve"> </w:t>
      </w:r>
      <w:r w:rsidRPr="00DC3374">
        <w:rPr>
          <w:rFonts w:hint="eastAsia"/>
          <w:b/>
          <w:bCs/>
          <w:rtl/>
        </w:rPr>
        <w:t>ונבחרי</w:t>
      </w:r>
      <w:r w:rsidRPr="00DC3374">
        <w:rPr>
          <w:b/>
          <w:bCs/>
          <w:rtl/>
        </w:rPr>
        <w:t xml:space="preserve"> </w:t>
      </w:r>
      <w:r w:rsidRPr="00DC3374">
        <w:rPr>
          <w:rFonts w:hint="eastAsia"/>
          <w:b/>
          <w:bCs/>
          <w:rtl/>
        </w:rPr>
        <w:t>ציבור</w:t>
      </w:r>
      <w:r w:rsidRPr="00DC3374">
        <w:rPr>
          <w:rFonts w:hint="cs"/>
          <w:b/>
          <w:bCs/>
          <w:rtl/>
        </w:rPr>
        <w:t xml:space="preserve"> (76% ו-75%, בהתאמה)</w:t>
      </w:r>
      <w:r w:rsidRPr="00DC3374">
        <w:rPr>
          <w:b/>
          <w:bCs/>
          <w:rtl/>
        </w:rPr>
        <w:t xml:space="preserve">, </w:t>
      </w:r>
      <w:r w:rsidRPr="00DC3374">
        <w:rPr>
          <w:rFonts w:hint="cs"/>
          <w:b/>
          <w:bCs/>
          <w:rtl/>
        </w:rPr>
        <w:t xml:space="preserve">מחציתה נחשפה גם </w:t>
      </w:r>
      <w:r w:rsidRPr="00DC3374">
        <w:rPr>
          <w:rFonts w:hint="eastAsia"/>
          <w:b/>
          <w:bCs/>
          <w:rtl/>
        </w:rPr>
        <w:t>להסברי</w:t>
      </w:r>
      <w:r w:rsidRPr="00DC3374">
        <w:rPr>
          <w:b/>
          <w:bCs/>
          <w:rtl/>
        </w:rPr>
        <w:t xml:space="preserve"> </w:t>
      </w:r>
      <w:r w:rsidRPr="00DC3374">
        <w:rPr>
          <w:rFonts w:hint="eastAsia"/>
          <w:b/>
          <w:bCs/>
          <w:rtl/>
        </w:rPr>
        <w:t>מומחים</w:t>
      </w:r>
      <w:r w:rsidRPr="00DC3374">
        <w:rPr>
          <w:b/>
          <w:bCs/>
          <w:rtl/>
        </w:rPr>
        <w:t xml:space="preserve"> </w:t>
      </w:r>
      <w:r w:rsidRPr="00DC3374">
        <w:rPr>
          <w:rFonts w:hint="eastAsia"/>
          <w:b/>
          <w:bCs/>
          <w:rtl/>
        </w:rPr>
        <w:t>ומאמרים</w:t>
      </w:r>
      <w:r w:rsidRPr="00DC3374">
        <w:rPr>
          <w:b/>
          <w:bCs/>
          <w:rtl/>
        </w:rPr>
        <w:t xml:space="preserve"> </w:t>
      </w:r>
      <w:r w:rsidRPr="00DC3374">
        <w:rPr>
          <w:rFonts w:hint="eastAsia"/>
          <w:b/>
          <w:bCs/>
          <w:rtl/>
        </w:rPr>
        <w:t>ולסיפורים</w:t>
      </w:r>
      <w:r w:rsidRPr="00DC3374">
        <w:rPr>
          <w:b/>
          <w:bCs/>
          <w:rtl/>
        </w:rPr>
        <w:t xml:space="preserve"> </w:t>
      </w:r>
      <w:r w:rsidRPr="00DC3374">
        <w:rPr>
          <w:rFonts w:hint="eastAsia"/>
          <w:b/>
          <w:bCs/>
          <w:rtl/>
        </w:rPr>
        <w:t>של</w:t>
      </w:r>
      <w:r w:rsidRPr="00DC3374">
        <w:rPr>
          <w:b/>
          <w:bCs/>
          <w:rtl/>
        </w:rPr>
        <w:t xml:space="preserve"> </w:t>
      </w:r>
      <w:r w:rsidRPr="00DC3374">
        <w:rPr>
          <w:rFonts w:hint="eastAsia"/>
          <w:b/>
          <w:bCs/>
          <w:rtl/>
        </w:rPr>
        <w:t>מחלימים</w:t>
      </w:r>
      <w:r w:rsidRPr="00DC3374">
        <w:rPr>
          <w:rFonts w:hint="cs"/>
          <w:b/>
          <w:bCs/>
          <w:rtl/>
        </w:rPr>
        <w:t xml:space="preserve"> ולהודעות מטעם נבחרי ציבור בשלטון המקומי</w:t>
      </w:r>
      <w:r w:rsidRPr="00DC3374">
        <w:rPr>
          <w:b/>
          <w:bCs/>
          <w:rtl/>
        </w:rPr>
        <w:t xml:space="preserve">, </w:t>
      </w:r>
      <w:r w:rsidRPr="00DC3374">
        <w:rPr>
          <w:rFonts w:hint="eastAsia"/>
          <w:b/>
          <w:bCs/>
          <w:rtl/>
        </w:rPr>
        <w:t>וכשליש</w:t>
      </w:r>
      <w:r w:rsidRPr="00DC3374">
        <w:rPr>
          <w:b/>
          <w:bCs/>
          <w:rtl/>
        </w:rPr>
        <w:t xml:space="preserve"> </w:t>
      </w:r>
      <w:r w:rsidRPr="00DC3374">
        <w:rPr>
          <w:rFonts w:hint="eastAsia"/>
          <w:b/>
          <w:bCs/>
          <w:rtl/>
        </w:rPr>
        <w:t>ממנה</w:t>
      </w:r>
      <w:r w:rsidRPr="00DC3374">
        <w:rPr>
          <w:b/>
          <w:bCs/>
          <w:rtl/>
        </w:rPr>
        <w:t xml:space="preserve"> </w:t>
      </w:r>
      <w:r w:rsidRPr="00DC3374">
        <w:rPr>
          <w:rFonts w:hint="eastAsia"/>
          <w:b/>
          <w:bCs/>
          <w:rtl/>
        </w:rPr>
        <w:t>נחשף</w:t>
      </w:r>
      <w:r w:rsidRPr="00DC3374">
        <w:rPr>
          <w:b/>
          <w:bCs/>
          <w:rtl/>
        </w:rPr>
        <w:t xml:space="preserve"> </w:t>
      </w:r>
      <w:r w:rsidRPr="00DC3374">
        <w:rPr>
          <w:rFonts w:hint="eastAsia"/>
          <w:b/>
          <w:bCs/>
          <w:rtl/>
        </w:rPr>
        <w:t>גם</w:t>
      </w:r>
      <w:r w:rsidRPr="00DC3374">
        <w:rPr>
          <w:b/>
          <w:bCs/>
          <w:rtl/>
        </w:rPr>
        <w:t xml:space="preserve"> </w:t>
      </w:r>
      <w:r w:rsidRPr="00DC3374">
        <w:rPr>
          <w:rFonts w:hint="eastAsia"/>
          <w:b/>
          <w:bCs/>
          <w:rtl/>
        </w:rPr>
        <w:t>למסיבות</w:t>
      </w:r>
      <w:r w:rsidRPr="00DC3374">
        <w:rPr>
          <w:b/>
          <w:bCs/>
          <w:rtl/>
        </w:rPr>
        <w:t xml:space="preserve"> </w:t>
      </w:r>
      <w:r w:rsidRPr="00DC3374">
        <w:rPr>
          <w:rFonts w:hint="eastAsia"/>
          <w:b/>
          <w:bCs/>
          <w:rtl/>
        </w:rPr>
        <w:t>עיתונאים</w:t>
      </w:r>
      <w:r w:rsidRPr="00DC3374">
        <w:rPr>
          <w:b/>
          <w:bCs/>
          <w:rtl/>
        </w:rPr>
        <w:t xml:space="preserve">. </w:t>
      </w:r>
      <w:r w:rsidRPr="00DC3374">
        <w:rPr>
          <w:rFonts w:hint="eastAsia"/>
          <w:b/>
          <w:bCs/>
          <w:rtl/>
        </w:rPr>
        <w:t>החשיפה</w:t>
      </w:r>
      <w:r w:rsidRPr="00DC3374">
        <w:rPr>
          <w:b/>
          <w:bCs/>
          <w:rtl/>
        </w:rPr>
        <w:t xml:space="preserve"> </w:t>
      </w:r>
      <w:r w:rsidRPr="00DC3374">
        <w:rPr>
          <w:rFonts w:hint="eastAsia"/>
          <w:b/>
          <w:bCs/>
          <w:rtl/>
        </w:rPr>
        <w:t>של</w:t>
      </w:r>
      <w:r w:rsidRPr="00DC3374">
        <w:rPr>
          <w:b/>
          <w:bCs/>
          <w:rtl/>
        </w:rPr>
        <w:t xml:space="preserve"> </w:t>
      </w:r>
      <w:r w:rsidRPr="00DC3374">
        <w:rPr>
          <w:rFonts w:hint="eastAsia"/>
          <w:b/>
          <w:bCs/>
          <w:rtl/>
        </w:rPr>
        <w:t>האוכלוסייה</w:t>
      </w:r>
      <w:r w:rsidRPr="00DC3374">
        <w:rPr>
          <w:b/>
          <w:bCs/>
          <w:rtl/>
        </w:rPr>
        <w:t xml:space="preserve"> </w:t>
      </w:r>
      <w:r w:rsidRPr="00DC3374">
        <w:rPr>
          <w:rFonts w:hint="eastAsia"/>
          <w:b/>
          <w:bCs/>
          <w:rtl/>
        </w:rPr>
        <w:t>הערבית</w:t>
      </w:r>
      <w:r w:rsidRPr="00DC3374">
        <w:rPr>
          <w:b/>
          <w:bCs/>
          <w:rtl/>
        </w:rPr>
        <w:t xml:space="preserve"> </w:t>
      </w:r>
      <w:r w:rsidRPr="00DC3374">
        <w:rPr>
          <w:rFonts w:hint="eastAsia"/>
          <w:b/>
          <w:bCs/>
          <w:rtl/>
        </w:rPr>
        <w:t>לאמצעי</w:t>
      </w:r>
      <w:r w:rsidRPr="00DC3374">
        <w:rPr>
          <w:b/>
          <w:bCs/>
          <w:rtl/>
        </w:rPr>
        <w:t xml:space="preserve"> </w:t>
      </w:r>
      <w:r w:rsidRPr="00DC3374">
        <w:rPr>
          <w:rFonts w:hint="eastAsia"/>
          <w:b/>
          <w:bCs/>
          <w:rtl/>
        </w:rPr>
        <w:t>ה</w:t>
      </w:r>
      <w:r w:rsidRPr="00DC3374">
        <w:rPr>
          <w:rFonts w:hint="cs"/>
          <w:b/>
          <w:bCs/>
          <w:rtl/>
        </w:rPr>
        <w:t>ה</w:t>
      </w:r>
      <w:r w:rsidRPr="00DC3374">
        <w:rPr>
          <w:rFonts w:hint="eastAsia"/>
          <w:b/>
          <w:bCs/>
          <w:rtl/>
        </w:rPr>
        <w:t>סברה</w:t>
      </w:r>
      <w:r w:rsidRPr="00DC3374">
        <w:rPr>
          <w:b/>
          <w:bCs/>
          <w:rtl/>
        </w:rPr>
        <w:t xml:space="preserve"> </w:t>
      </w:r>
      <w:r w:rsidRPr="00DC3374">
        <w:rPr>
          <w:rFonts w:hint="eastAsia"/>
          <w:b/>
          <w:bCs/>
          <w:rtl/>
        </w:rPr>
        <w:t>הייתה</w:t>
      </w:r>
      <w:r w:rsidRPr="00DC3374">
        <w:rPr>
          <w:b/>
          <w:bCs/>
          <w:rtl/>
        </w:rPr>
        <w:t xml:space="preserve"> </w:t>
      </w:r>
      <w:r w:rsidRPr="00DC3374">
        <w:rPr>
          <w:rFonts w:hint="eastAsia"/>
          <w:b/>
          <w:bCs/>
          <w:rtl/>
        </w:rPr>
        <w:t>מגוונת</w:t>
      </w:r>
      <w:r w:rsidRPr="00DC3374">
        <w:rPr>
          <w:rFonts w:hint="cs"/>
          <w:b/>
          <w:bCs/>
          <w:rtl/>
        </w:rPr>
        <w:t xml:space="preserve"> פחות</w:t>
      </w:r>
      <w:r w:rsidRPr="00DC3374">
        <w:rPr>
          <w:b/>
          <w:bCs/>
          <w:rtl/>
        </w:rPr>
        <w:t xml:space="preserve">: </w:t>
      </w:r>
      <w:r w:rsidRPr="00DC3374">
        <w:rPr>
          <w:rFonts w:hint="eastAsia"/>
          <w:b/>
          <w:bCs/>
          <w:rtl/>
        </w:rPr>
        <w:t>רוב</w:t>
      </w:r>
      <w:r w:rsidRPr="00DC3374">
        <w:rPr>
          <w:b/>
          <w:bCs/>
          <w:rtl/>
        </w:rPr>
        <w:t xml:space="preserve"> </w:t>
      </w:r>
      <w:r w:rsidRPr="00DC3374">
        <w:rPr>
          <w:rFonts w:hint="eastAsia"/>
          <w:b/>
          <w:bCs/>
          <w:rtl/>
        </w:rPr>
        <w:t>האוכלוסייה</w:t>
      </w:r>
      <w:r w:rsidRPr="00DC3374">
        <w:rPr>
          <w:b/>
          <w:bCs/>
          <w:rtl/>
        </w:rPr>
        <w:t xml:space="preserve"> </w:t>
      </w:r>
      <w:r w:rsidRPr="00DC3374">
        <w:rPr>
          <w:rFonts w:hint="cs"/>
          <w:b/>
          <w:bCs/>
          <w:rtl/>
        </w:rPr>
        <w:t xml:space="preserve">(79%) </w:t>
      </w:r>
      <w:r w:rsidRPr="00DC3374">
        <w:rPr>
          <w:rFonts w:hint="eastAsia"/>
          <w:b/>
          <w:bCs/>
          <w:rtl/>
        </w:rPr>
        <w:t>נחשף</w:t>
      </w:r>
      <w:r w:rsidRPr="00DC3374">
        <w:rPr>
          <w:b/>
          <w:bCs/>
          <w:rtl/>
        </w:rPr>
        <w:t xml:space="preserve"> </w:t>
      </w:r>
      <w:r w:rsidRPr="00DC3374">
        <w:rPr>
          <w:rFonts w:hint="eastAsia"/>
          <w:b/>
          <w:bCs/>
          <w:rtl/>
        </w:rPr>
        <w:t>למודעות</w:t>
      </w:r>
      <w:r w:rsidRPr="00DC3374">
        <w:rPr>
          <w:b/>
          <w:bCs/>
          <w:rtl/>
        </w:rPr>
        <w:t xml:space="preserve"> </w:t>
      </w:r>
      <w:r w:rsidRPr="00DC3374">
        <w:rPr>
          <w:rFonts w:hint="eastAsia"/>
          <w:b/>
          <w:bCs/>
          <w:rtl/>
        </w:rPr>
        <w:t>ולפרסומות</w:t>
      </w:r>
      <w:r w:rsidRPr="00DC3374">
        <w:rPr>
          <w:b/>
          <w:bCs/>
          <w:rtl/>
        </w:rPr>
        <w:t xml:space="preserve">, </w:t>
      </w:r>
      <w:r w:rsidRPr="00DC3374">
        <w:rPr>
          <w:rFonts w:hint="eastAsia"/>
          <w:b/>
          <w:bCs/>
          <w:rtl/>
        </w:rPr>
        <w:t>כ</w:t>
      </w:r>
      <w:r w:rsidRPr="00DC3374">
        <w:rPr>
          <w:b/>
          <w:bCs/>
          <w:rtl/>
        </w:rPr>
        <w:t xml:space="preserve">-40% </w:t>
      </w:r>
      <w:r w:rsidRPr="00DC3374">
        <w:rPr>
          <w:rFonts w:hint="eastAsia"/>
          <w:b/>
          <w:bCs/>
          <w:rtl/>
        </w:rPr>
        <w:t>נחשפו</w:t>
      </w:r>
      <w:r w:rsidRPr="00DC3374">
        <w:rPr>
          <w:b/>
          <w:bCs/>
          <w:rtl/>
        </w:rPr>
        <w:t xml:space="preserve"> </w:t>
      </w:r>
      <w:r w:rsidRPr="00DC3374">
        <w:rPr>
          <w:rFonts w:hint="eastAsia"/>
          <w:b/>
          <w:bCs/>
          <w:rtl/>
        </w:rPr>
        <w:t>למסיבות</w:t>
      </w:r>
      <w:r w:rsidRPr="00DC3374">
        <w:rPr>
          <w:b/>
          <w:bCs/>
          <w:rtl/>
        </w:rPr>
        <w:t xml:space="preserve"> </w:t>
      </w:r>
      <w:r w:rsidRPr="00DC3374">
        <w:rPr>
          <w:rFonts w:hint="eastAsia"/>
          <w:b/>
          <w:bCs/>
          <w:rtl/>
        </w:rPr>
        <w:t>עיתונאים</w:t>
      </w:r>
      <w:r w:rsidRPr="00DC3374">
        <w:rPr>
          <w:b/>
          <w:bCs/>
          <w:rtl/>
        </w:rPr>
        <w:t xml:space="preserve"> </w:t>
      </w:r>
      <w:r w:rsidRPr="00DC3374">
        <w:rPr>
          <w:rFonts w:hint="eastAsia"/>
          <w:b/>
          <w:bCs/>
          <w:rtl/>
        </w:rPr>
        <w:t>וכשליש</w:t>
      </w:r>
      <w:r w:rsidRPr="00DC3374">
        <w:rPr>
          <w:b/>
          <w:bCs/>
          <w:rtl/>
        </w:rPr>
        <w:t xml:space="preserve"> - </w:t>
      </w:r>
      <w:r w:rsidRPr="00DC3374">
        <w:rPr>
          <w:rFonts w:hint="eastAsia"/>
          <w:b/>
          <w:bCs/>
          <w:rtl/>
        </w:rPr>
        <w:t>להודעות</w:t>
      </w:r>
      <w:r w:rsidRPr="00DC3374">
        <w:rPr>
          <w:b/>
          <w:bCs/>
          <w:rtl/>
        </w:rPr>
        <w:t xml:space="preserve"> </w:t>
      </w:r>
      <w:r w:rsidRPr="00DC3374">
        <w:rPr>
          <w:rFonts w:hint="eastAsia"/>
          <w:b/>
          <w:bCs/>
          <w:rtl/>
        </w:rPr>
        <w:t>מטעם</w:t>
      </w:r>
      <w:r w:rsidRPr="00DC3374">
        <w:rPr>
          <w:b/>
          <w:bCs/>
          <w:rtl/>
        </w:rPr>
        <w:t xml:space="preserve"> </w:t>
      </w:r>
      <w:r w:rsidRPr="00DC3374">
        <w:rPr>
          <w:rFonts w:hint="eastAsia"/>
          <w:b/>
          <w:bCs/>
          <w:rtl/>
        </w:rPr>
        <w:t>נבחרי</w:t>
      </w:r>
      <w:r w:rsidRPr="00DC3374">
        <w:rPr>
          <w:b/>
          <w:bCs/>
          <w:rtl/>
        </w:rPr>
        <w:t xml:space="preserve"> </w:t>
      </w:r>
      <w:r w:rsidRPr="00DC3374">
        <w:rPr>
          <w:rFonts w:hint="eastAsia"/>
          <w:b/>
          <w:bCs/>
          <w:rtl/>
        </w:rPr>
        <w:t>ציבור</w:t>
      </w:r>
      <w:r w:rsidRPr="00DC3374">
        <w:rPr>
          <w:rFonts w:hint="cs"/>
          <w:b/>
          <w:bCs/>
          <w:rtl/>
        </w:rPr>
        <w:t xml:space="preserve"> בשלטון המקומי</w:t>
      </w:r>
      <w:r w:rsidRPr="00DC3374">
        <w:rPr>
          <w:b/>
          <w:bCs/>
          <w:rtl/>
        </w:rPr>
        <w:t xml:space="preserve">. </w:t>
      </w:r>
      <w:r w:rsidRPr="00DC3374">
        <w:rPr>
          <w:rFonts w:hint="eastAsia"/>
          <w:b/>
          <w:bCs/>
          <w:rtl/>
        </w:rPr>
        <w:t>הציבור</w:t>
      </w:r>
      <w:r w:rsidRPr="00DC3374">
        <w:rPr>
          <w:b/>
          <w:bCs/>
          <w:rtl/>
        </w:rPr>
        <w:t xml:space="preserve"> </w:t>
      </w:r>
      <w:r w:rsidRPr="00DC3374">
        <w:rPr>
          <w:rFonts w:hint="eastAsia"/>
          <w:b/>
          <w:bCs/>
          <w:rtl/>
        </w:rPr>
        <w:t>היהודי</w:t>
      </w:r>
      <w:r w:rsidRPr="00DC3374">
        <w:rPr>
          <w:b/>
          <w:bCs/>
          <w:rtl/>
        </w:rPr>
        <w:t xml:space="preserve"> </w:t>
      </w:r>
      <w:r w:rsidRPr="00DC3374">
        <w:rPr>
          <w:rFonts w:hint="eastAsia"/>
          <w:b/>
          <w:bCs/>
          <w:rtl/>
        </w:rPr>
        <w:t>נחשף</w:t>
      </w:r>
      <w:r w:rsidRPr="00DC3374">
        <w:rPr>
          <w:b/>
          <w:bCs/>
          <w:rtl/>
        </w:rPr>
        <w:t xml:space="preserve"> </w:t>
      </w:r>
      <w:r w:rsidRPr="00DC3374">
        <w:rPr>
          <w:rFonts w:hint="eastAsia"/>
          <w:b/>
          <w:bCs/>
          <w:rtl/>
        </w:rPr>
        <w:t>אפוא</w:t>
      </w:r>
      <w:r w:rsidRPr="00DC3374">
        <w:rPr>
          <w:b/>
          <w:bCs/>
          <w:rtl/>
        </w:rPr>
        <w:t xml:space="preserve"> </w:t>
      </w:r>
      <w:r w:rsidRPr="00DC3374">
        <w:rPr>
          <w:rFonts w:hint="eastAsia"/>
          <w:b/>
          <w:bCs/>
          <w:rtl/>
        </w:rPr>
        <w:t>למגוון</w:t>
      </w:r>
      <w:r w:rsidRPr="00DC3374">
        <w:rPr>
          <w:b/>
          <w:bCs/>
          <w:rtl/>
        </w:rPr>
        <w:t xml:space="preserve"> </w:t>
      </w:r>
      <w:r w:rsidRPr="00DC3374">
        <w:rPr>
          <w:rFonts w:hint="eastAsia"/>
          <w:b/>
          <w:bCs/>
          <w:rtl/>
        </w:rPr>
        <w:t>אמצעי</w:t>
      </w:r>
      <w:r w:rsidRPr="00DC3374">
        <w:rPr>
          <w:b/>
          <w:bCs/>
          <w:rtl/>
        </w:rPr>
        <w:t xml:space="preserve"> </w:t>
      </w:r>
      <w:r w:rsidRPr="00DC3374">
        <w:rPr>
          <w:rFonts w:hint="eastAsia"/>
          <w:b/>
          <w:bCs/>
          <w:rtl/>
        </w:rPr>
        <w:t>הסברה</w:t>
      </w:r>
      <w:r w:rsidRPr="00DC3374">
        <w:rPr>
          <w:b/>
          <w:bCs/>
          <w:rtl/>
        </w:rPr>
        <w:t xml:space="preserve"> </w:t>
      </w:r>
      <w:r w:rsidRPr="00DC3374">
        <w:rPr>
          <w:rFonts w:hint="eastAsia"/>
          <w:b/>
          <w:bCs/>
          <w:rtl/>
        </w:rPr>
        <w:t>רחב</w:t>
      </w:r>
      <w:r w:rsidRPr="00DC3374">
        <w:rPr>
          <w:b/>
          <w:bCs/>
          <w:rtl/>
        </w:rPr>
        <w:t xml:space="preserve"> </w:t>
      </w:r>
      <w:r w:rsidRPr="00DC3374">
        <w:rPr>
          <w:rFonts w:hint="eastAsia"/>
          <w:b/>
          <w:bCs/>
          <w:rtl/>
        </w:rPr>
        <w:t>בהשוואה</w:t>
      </w:r>
      <w:r w:rsidRPr="00DC3374">
        <w:rPr>
          <w:b/>
          <w:bCs/>
          <w:rtl/>
        </w:rPr>
        <w:t xml:space="preserve"> </w:t>
      </w:r>
      <w:r w:rsidRPr="00DC3374">
        <w:rPr>
          <w:rFonts w:hint="eastAsia"/>
          <w:b/>
          <w:bCs/>
          <w:rtl/>
        </w:rPr>
        <w:t>לציבור</w:t>
      </w:r>
      <w:r w:rsidRPr="00DC3374">
        <w:rPr>
          <w:b/>
          <w:bCs/>
          <w:rtl/>
        </w:rPr>
        <w:t xml:space="preserve"> </w:t>
      </w:r>
      <w:r w:rsidRPr="00DC3374">
        <w:rPr>
          <w:rFonts w:hint="eastAsia"/>
          <w:b/>
          <w:bCs/>
          <w:rtl/>
        </w:rPr>
        <w:t>הערבי</w:t>
      </w:r>
      <w:r w:rsidRPr="00DC3374">
        <w:rPr>
          <w:b/>
          <w:bCs/>
          <w:rtl/>
        </w:rPr>
        <w:t>.</w:t>
      </w:r>
      <w:r w:rsidRPr="00DC3374">
        <w:rPr>
          <w:rFonts w:hint="cs"/>
          <w:b/>
          <w:bCs/>
          <w:rtl/>
        </w:rPr>
        <w:t xml:space="preserve"> </w:t>
      </w:r>
    </w:p>
    <w:p w:rsidR="0092532A" w:rsidRPr="00DC3374" w:rsidP="00E81188" w14:paraId="3C4F6E6F" w14:textId="7DCB7C37">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4E4C67D3" w14:textId="77777777">
      <w:pPr>
        <w:spacing w:line="269" w:lineRule="auto"/>
        <w:rPr>
          <w:b/>
          <w:bCs/>
          <w:rtl/>
        </w:rPr>
      </w:pPr>
      <w:r w:rsidRPr="00DC3374">
        <w:rPr>
          <w:rFonts w:hint="eastAsia"/>
          <w:b/>
          <w:bCs/>
          <w:rtl/>
        </w:rPr>
        <w:t>עוד</w:t>
      </w:r>
      <w:r w:rsidRPr="00DC3374">
        <w:rPr>
          <w:b/>
          <w:bCs/>
          <w:rtl/>
        </w:rPr>
        <w:t xml:space="preserve"> עולה כי אמצעי ההסברה שנתפס כמשכנע </w:t>
      </w:r>
      <w:r w:rsidRPr="00DC3374">
        <w:rPr>
          <w:rFonts w:hint="cs"/>
          <w:b/>
          <w:bCs/>
          <w:rtl/>
        </w:rPr>
        <w:t>במידה רבה</w:t>
      </w:r>
      <w:r w:rsidRPr="00DC3374">
        <w:rPr>
          <w:b/>
          <w:bCs/>
          <w:rtl/>
        </w:rPr>
        <w:t xml:space="preserve"> בקרב כלל קבוצות האוכלוסייה הוא סיפורים אנושיים של מחלימים. לכך מתווספת גם הסברה באמצעות מומחים ומאמרים, אשר נתפסת כמשכנעת במידה </w:t>
      </w:r>
      <w:r w:rsidRPr="00DC3374">
        <w:rPr>
          <w:rFonts w:hint="cs"/>
          <w:b/>
          <w:bCs/>
          <w:rtl/>
        </w:rPr>
        <w:t>רבה</w:t>
      </w:r>
      <w:r w:rsidRPr="00DC3374">
        <w:rPr>
          <w:b/>
          <w:bCs/>
          <w:rtl/>
        </w:rPr>
        <w:t xml:space="preserve"> בקרב </w:t>
      </w:r>
      <w:r w:rsidRPr="00DC3374">
        <w:rPr>
          <w:rFonts w:hint="cs"/>
          <w:b/>
          <w:bCs/>
          <w:rtl/>
        </w:rPr>
        <w:t>החברה</w:t>
      </w:r>
      <w:r w:rsidRPr="00DC3374">
        <w:rPr>
          <w:b/>
          <w:bCs/>
          <w:rtl/>
        </w:rPr>
        <w:t xml:space="preserve"> היהודית הכללית והחברה הערבית. כמו כן נשאלים מקרב החברה הערבית ציינו הודעות של אנשי דת כאמצעי ההסברה המשכנע ביותר, ונשאלים מקרב החברה החרדית ציינו מסיבות עיתונאים כאמצעי ההסברה המשכנע ביותר. </w:t>
      </w:r>
    </w:p>
    <w:p w:rsidR="0092532A" w:rsidRPr="00DC3374" w:rsidP="00E81188" w14:paraId="6437D8C6" w14:textId="1D3760D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4D841CF0" w14:textId="77777777">
      <w:pPr>
        <w:spacing w:line="269" w:lineRule="auto"/>
        <w:rPr>
          <w:b/>
          <w:bCs/>
          <w:rtl/>
        </w:rPr>
      </w:pPr>
      <w:r w:rsidRPr="00DC3374">
        <w:rPr>
          <w:rFonts w:hint="eastAsia"/>
          <w:b/>
          <w:bCs/>
          <w:rtl/>
        </w:rPr>
        <w:t>מבדיקת</w:t>
      </w:r>
      <w:r w:rsidRPr="00DC3374">
        <w:rPr>
          <w:b/>
          <w:bCs/>
          <w:rtl/>
        </w:rPr>
        <w:t xml:space="preserve"> נתוני החשיפה אל מול נתוני רמת השכנוע עולה כי </w:t>
      </w:r>
      <w:r w:rsidRPr="00DC3374">
        <w:rPr>
          <w:rFonts w:hint="eastAsia"/>
          <w:b/>
          <w:bCs/>
          <w:rtl/>
        </w:rPr>
        <w:t>נשאלים</w:t>
      </w:r>
      <w:r w:rsidRPr="00DC3374">
        <w:rPr>
          <w:b/>
          <w:bCs/>
          <w:rtl/>
        </w:rPr>
        <w:t xml:space="preserve"> </w:t>
      </w:r>
      <w:r w:rsidRPr="00DC3374">
        <w:rPr>
          <w:rFonts w:hint="eastAsia"/>
          <w:b/>
          <w:bCs/>
          <w:rtl/>
        </w:rPr>
        <w:t>מקרב</w:t>
      </w:r>
      <w:r w:rsidRPr="00DC3374">
        <w:rPr>
          <w:b/>
          <w:bCs/>
          <w:rtl/>
        </w:rPr>
        <w:t xml:space="preserve"> </w:t>
      </w:r>
      <w:r w:rsidRPr="00DC3374">
        <w:rPr>
          <w:rFonts w:hint="cs"/>
          <w:b/>
          <w:bCs/>
          <w:rtl/>
        </w:rPr>
        <w:t>החברה</w:t>
      </w:r>
      <w:r w:rsidRPr="00DC3374">
        <w:rPr>
          <w:b/>
          <w:bCs/>
          <w:rtl/>
        </w:rPr>
        <w:t xml:space="preserve"> </w:t>
      </w:r>
      <w:r w:rsidRPr="00DC3374">
        <w:rPr>
          <w:rFonts w:hint="eastAsia"/>
          <w:b/>
          <w:bCs/>
          <w:rtl/>
        </w:rPr>
        <w:t>היהודית</w:t>
      </w:r>
      <w:r w:rsidRPr="00DC3374">
        <w:rPr>
          <w:b/>
          <w:bCs/>
          <w:rtl/>
        </w:rPr>
        <w:t xml:space="preserve"> </w:t>
      </w:r>
      <w:r w:rsidRPr="00DC3374">
        <w:rPr>
          <w:rFonts w:hint="eastAsia"/>
          <w:b/>
          <w:bCs/>
          <w:rtl/>
        </w:rPr>
        <w:t>הכללית</w:t>
      </w:r>
      <w:r w:rsidRPr="00DC3374">
        <w:rPr>
          <w:b/>
          <w:bCs/>
          <w:rtl/>
        </w:rPr>
        <w:t xml:space="preserve"> </w:t>
      </w:r>
      <w:r w:rsidRPr="00DC3374">
        <w:rPr>
          <w:rFonts w:hint="eastAsia"/>
          <w:b/>
          <w:bCs/>
          <w:rtl/>
        </w:rPr>
        <w:t>נחשפו</w:t>
      </w:r>
      <w:r w:rsidRPr="00DC3374">
        <w:rPr>
          <w:b/>
          <w:bCs/>
          <w:rtl/>
        </w:rPr>
        <w:t xml:space="preserve"> במידה רבה יחסית </w:t>
      </w:r>
      <w:r w:rsidRPr="00DC3374">
        <w:rPr>
          <w:rFonts w:hint="eastAsia"/>
          <w:b/>
          <w:bCs/>
          <w:rtl/>
        </w:rPr>
        <w:t>לתכנים</w:t>
      </w:r>
      <w:r w:rsidRPr="00DC3374">
        <w:rPr>
          <w:b/>
          <w:bCs/>
          <w:rtl/>
        </w:rPr>
        <w:t xml:space="preserve"> </w:t>
      </w:r>
      <w:r w:rsidRPr="00DC3374">
        <w:rPr>
          <w:rFonts w:hint="eastAsia"/>
          <w:b/>
          <w:bCs/>
          <w:rtl/>
        </w:rPr>
        <w:t>שהם</w:t>
      </w:r>
      <w:r w:rsidRPr="00DC3374">
        <w:rPr>
          <w:b/>
          <w:bCs/>
          <w:rtl/>
        </w:rPr>
        <w:t xml:space="preserve"> </w:t>
      </w:r>
      <w:r w:rsidRPr="00DC3374">
        <w:rPr>
          <w:rFonts w:hint="eastAsia"/>
          <w:b/>
          <w:bCs/>
          <w:rtl/>
        </w:rPr>
        <w:t>תופסים</w:t>
      </w:r>
      <w:r w:rsidRPr="00DC3374">
        <w:rPr>
          <w:b/>
          <w:bCs/>
          <w:rtl/>
        </w:rPr>
        <w:t xml:space="preserve"> כמשכנעים ביותר: 65% נחשפו להסברים של מומחים ומאמרים, ו-50% נחשפו לסיפורים אנושיים של מחלימים. </w:t>
      </w:r>
      <w:r w:rsidRPr="00DC3374">
        <w:rPr>
          <w:rFonts w:hint="eastAsia"/>
          <w:b/>
          <w:bCs/>
          <w:rtl/>
        </w:rPr>
        <w:t>נשאלים</w:t>
      </w:r>
      <w:r w:rsidRPr="00DC3374">
        <w:rPr>
          <w:b/>
          <w:bCs/>
          <w:rtl/>
        </w:rPr>
        <w:t xml:space="preserve"> </w:t>
      </w:r>
      <w:r w:rsidRPr="00DC3374">
        <w:rPr>
          <w:rFonts w:hint="eastAsia"/>
          <w:b/>
          <w:bCs/>
          <w:rtl/>
        </w:rPr>
        <w:t>מקרב</w:t>
      </w:r>
      <w:r w:rsidRPr="00DC3374">
        <w:rPr>
          <w:b/>
          <w:bCs/>
          <w:rtl/>
        </w:rPr>
        <w:t xml:space="preserve"> </w:t>
      </w:r>
      <w:r w:rsidRPr="00DC3374">
        <w:rPr>
          <w:rFonts w:hint="eastAsia"/>
          <w:b/>
          <w:bCs/>
          <w:rtl/>
        </w:rPr>
        <w:t>החברה</w:t>
      </w:r>
      <w:r w:rsidRPr="00DC3374">
        <w:rPr>
          <w:b/>
          <w:bCs/>
          <w:rtl/>
        </w:rPr>
        <w:t xml:space="preserve"> </w:t>
      </w:r>
      <w:r w:rsidRPr="00DC3374">
        <w:rPr>
          <w:rFonts w:hint="eastAsia"/>
          <w:b/>
          <w:bCs/>
          <w:rtl/>
        </w:rPr>
        <w:t>החרדית</w:t>
      </w:r>
      <w:r w:rsidRPr="00DC3374">
        <w:rPr>
          <w:b/>
          <w:bCs/>
          <w:rtl/>
        </w:rPr>
        <w:t xml:space="preserve"> </w:t>
      </w:r>
      <w:r w:rsidRPr="00DC3374">
        <w:rPr>
          <w:rFonts w:hint="eastAsia"/>
          <w:b/>
          <w:bCs/>
          <w:rtl/>
        </w:rPr>
        <w:t>נחשפו</w:t>
      </w:r>
      <w:r w:rsidRPr="00DC3374">
        <w:rPr>
          <w:b/>
          <w:bCs/>
          <w:rtl/>
        </w:rPr>
        <w:t xml:space="preserve"> במידה בינונית לתכנים </w:t>
      </w:r>
      <w:r w:rsidRPr="00DC3374">
        <w:rPr>
          <w:rFonts w:hint="eastAsia"/>
          <w:b/>
          <w:bCs/>
          <w:rtl/>
        </w:rPr>
        <w:t>שהם</w:t>
      </w:r>
      <w:r w:rsidRPr="00DC3374">
        <w:rPr>
          <w:b/>
          <w:bCs/>
          <w:rtl/>
        </w:rPr>
        <w:t xml:space="preserve"> תופס</w:t>
      </w:r>
      <w:r w:rsidRPr="00DC3374">
        <w:rPr>
          <w:rFonts w:hint="cs"/>
          <w:b/>
          <w:bCs/>
          <w:rtl/>
        </w:rPr>
        <w:t>ים</w:t>
      </w:r>
      <w:r w:rsidRPr="00DC3374">
        <w:rPr>
          <w:b/>
          <w:bCs/>
          <w:rtl/>
        </w:rPr>
        <w:t xml:space="preserve"> כמשכנעים: 35% בלבד </w:t>
      </w:r>
      <w:r w:rsidRPr="00DC3374">
        <w:rPr>
          <w:b/>
          <w:bCs/>
          <w:rtl/>
        </w:rPr>
        <w:t xml:space="preserve">נחשפו למסיבות עיתונאים, הנתפסות בציבור החרדי כמשכנעות ביותר, </w:t>
      </w:r>
      <w:r w:rsidRPr="00DC3374">
        <w:rPr>
          <w:rFonts w:hint="eastAsia"/>
          <w:b/>
          <w:bCs/>
          <w:rtl/>
        </w:rPr>
        <w:t>ו</w:t>
      </w:r>
      <w:r w:rsidRPr="00DC3374">
        <w:rPr>
          <w:b/>
          <w:bCs/>
          <w:rtl/>
        </w:rPr>
        <w:t xml:space="preserve">-52% </w:t>
      </w:r>
      <w:r w:rsidRPr="00DC3374">
        <w:rPr>
          <w:rFonts w:hint="eastAsia"/>
          <w:b/>
          <w:bCs/>
          <w:rtl/>
        </w:rPr>
        <w:t>נחשפו</w:t>
      </w:r>
      <w:r w:rsidRPr="00DC3374">
        <w:rPr>
          <w:b/>
          <w:bCs/>
          <w:rtl/>
        </w:rPr>
        <w:t xml:space="preserve"> </w:t>
      </w:r>
      <w:r w:rsidRPr="00DC3374">
        <w:rPr>
          <w:rFonts w:hint="eastAsia"/>
          <w:b/>
          <w:bCs/>
          <w:rtl/>
        </w:rPr>
        <w:t>לסיפורים</w:t>
      </w:r>
      <w:r w:rsidRPr="00DC3374">
        <w:rPr>
          <w:b/>
          <w:bCs/>
          <w:rtl/>
        </w:rPr>
        <w:t xml:space="preserve"> </w:t>
      </w:r>
      <w:r w:rsidRPr="00DC3374">
        <w:rPr>
          <w:rFonts w:hint="eastAsia"/>
          <w:b/>
          <w:bCs/>
          <w:rtl/>
        </w:rPr>
        <w:t>אנושיים</w:t>
      </w:r>
      <w:r w:rsidRPr="00DC3374">
        <w:rPr>
          <w:b/>
          <w:bCs/>
          <w:rtl/>
        </w:rPr>
        <w:t xml:space="preserve"> שנתפסו כמשכנעים. לעומת זאת, </w:t>
      </w:r>
      <w:r w:rsidRPr="00DC3374">
        <w:rPr>
          <w:rFonts w:hint="eastAsia"/>
          <w:b/>
          <w:bCs/>
          <w:rtl/>
        </w:rPr>
        <w:t>נשאלים</w:t>
      </w:r>
      <w:r w:rsidRPr="00DC3374">
        <w:rPr>
          <w:b/>
          <w:bCs/>
          <w:rtl/>
        </w:rPr>
        <w:t xml:space="preserve"> </w:t>
      </w:r>
      <w:r w:rsidRPr="00DC3374">
        <w:rPr>
          <w:rFonts w:hint="eastAsia"/>
          <w:b/>
          <w:bCs/>
          <w:rtl/>
        </w:rPr>
        <w:t>מקרב</w:t>
      </w:r>
      <w:r w:rsidRPr="00DC3374">
        <w:rPr>
          <w:b/>
          <w:bCs/>
          <w:rtl/>
        </w:rPr>
        <w:t xml:space="preserve"> </w:t>
      </w:r>
      <w:r w:rsidRPr="00DC3374">
        <w:rPr>
          <w:rFonts w:hint="eastAsia"/>
          <w:b/>
          <w:bCs/>
          <w:rtl/>
        </w:rPr>
        <w:t>החברה</w:t>
      </w:r>
      <w:r w:rsidRPr="00DC3374">
        <w:rPr>
          <w:b/>
          <w:bCs/>
          <w:rtl/>
        </w:rPr>
        <w:t xml:space="preserve"> </w:t>
      </w:r>
      <w:r w:rsidRPr="00DC3374">
        <w:rPr>
          <w:rFonts w:hint="eastAsia"/>
          <w:b/>
          <w:bCs/>
          <w:rtl/>
        </w:rPr>
        <w:t>הערבית</w:t>
      </w:r>
      <w:r w:rsidRPr="00DC3374">
        <w:rPr>
          <w:b/>
          <w:bCs/>
          <w:rtl/>
        </w:rPr>
        <w:t xml:space="preserve"> </w:t>
      </w:r>
      <w:r w:rsidRPr="00DC3374">
        <w:rPr>
          <w:rFonts w:hint="eastAsia"/>
          <w:b/>
          <w:bCs/>
          <w:rtl/>
        </w:rPr>
        <w:t>נחשפו</w:t>
      </w:r>
      <w:r w:rsidRPr="00DC3374">
        <w:rPr>
          <w:b/>
          <w:bCs/>
          <w:rtl/>
        </w:rPr>
        <w:t xml:space="preserve"> במידה מעטה לתכנים </w:t>
      </w:r>
      <w:r w:rsidRPr="00DC3374">
        <w:rPr>
          <w:rFonts w:hint="eastAsia"/>
          <w:b/>
          <w:bCs/>
          <w:rtl/>
        </w:rPr>
        <w:t>שהם</w:t>
      </w:r>
      <w:r w:rsidRPr="00DC3374">
        <w:rPr>
          <w:b/>
          <w:bCs/>
          <w:rtl/>
        </w:rPr>
        <w:t xml:space="preserve"> תופס</w:t>
      </w:r>
      <w:r w:rsidRPr="00DC3374">
        <w:rPr>
          <w:rFonts w:hint="eastAsia"/>
          <w:b/>
          <w:bCs/>
          <w:rtl/>
        </w:rPr>
        <w:t>ים</w:t>
      </w:r>
      <w:r w:rsidRPr="00DC3374">
        <w:rPr>
          <w:b/>
          <w:bCs/>
          <w:rtl/>
        </w:rPr>
        <w:t xml:space="preserve"> כמשכנעים: </w:t>
      </w:r>
      <w:r w:rsidRPr="00DC3374">
        <w:rPr>
          <w:rFonts w:hint="cs"/>
          <w:b/>
          <w:bCs/>
          <w:rtl/>
        </w:rPr>
        <w:t>13</w:t>
      </w:r>
      <w:r w:rsidRPr="00DC3374">
        <w:rPr>
          <w:b/>
          <w:bCs/>
          <w:rtl/>
        </w:rPr>
        <w:t>% בלבד נחשפו להודעות של אנשי דת, 14% בלבד נחשפו לסיפורים א</w:t>
      </w:r>
      <w:r w:rsidRPr="00DC3374">
        <w:rPr>
          <w:rFonts w:hint="cs"/>
          <w:b/>
          <w:bCs/>
          <w:rtl/>
        </w:rPr>
        <w:t>י</w:t>
      </w:r>
      <w:r w:rsidRPr="00DC3374">
        <w:rPr>
          <w:b/>
          <w:bCs/>
          <w:rtl/>
        </w:rPr>
        <w:t xml:space="preserve">שיים ו-26% בלבד נחשפו להסברים של מומחים ומאמרים. </w:t>
      </w:r>
    </w:p>
    <w:p w:rsidR="0092532A" w:rsidRPr="00DC3374" w:rsidP="00E81188" w14:paraId="60570A70" w14:textId="031FC01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06385012" w14:textId="77777777">
      <w:pPr>
        <w:spacing w:line="269" w:lineRule="auto"/>
        <w:rPr>
          <w:b/>
          <w:bCs/>
          <w:rtl/>
        </w:rPr>
      </w:pPr>
      <w:r w:rsidRPr="00DC3374">
        <w:rPr>
          <w:rFonts w:hint="cs"/>
          <w:b/>
          <w:bCs/>
          <w:rtl/>
        </w:rPr>
        <w:t xml:space="preserve">קיימים אפוא פערים בין שיעורי החשיפה של קבוצות האוכלוסייה השונות לאמצעי ההסברה לבין רמת השכנוע שלהם. פערים אלה מלמדים שההתאמה של אמצעי הסברה לקבוצות אלה לא הייתה מיטבית, בייחוד בכל הנוגע לחברה הערבית ובמידה מעטה יותר - בנוגע לחברה החרדית. </w:t>
      </w:r>
    </w:p>
    <w:p w:rsidR="0092532A" w:rsidRPr="00DC3374" w:rsidP="00E81188" w14:paraId="39646CCD" w14:textId="4465FAF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5CAEB908" w14:textId="77777777">
      <w:pPr>
        <w:spacing w:line="269" w:lineRule="auto"/>
        <w:rPr>
          <w:rtl/>
        </w:rPr>
      </w:pPr>
      <w:r w:rsidRPr="00DC3374">
        <w:rPr>
          <w:rFonts w:hint="cs"/>
          <w:b/>
          <w:bCs/>
          <w:rtl/>
        </w:rPr>
        <w:t xml:space="preserve">מומלץ כי גורמי ההסברה הממשלתיים, ובראשם מטה ההסברה הלאומי, יפעלו לוודא כי ההסברה לאוכלוסיות ייחודיות באירועי חירום מתמשכים תיעשה תוך גיוון אמצעי ההסברה ככל הניתן ותוך התאמת אמצעי ההסברה לתפיסות האוכלוסייה בדבר אמצעי ההסברה המשכנעים ביותר. </w:t>
      </w:r>
    </w:p>
    <w:p w:rsidR="0092532A" w:rsidRPr="00DC3374" w:rsidP="00E81188" w14:paraId="35FD4977" w14:textId="77777777">
      <w:pPr>
        <w:spacing w:line="269" w:lineRule="auto"/>
        <w:rPr>
          <w:rtl/>
        </w:rPr>
      </w:pPr>
    </w:p>
    <w:p w:rsidR="0092532A" w:rsidRPr="00DC3374" w:rsidP="00E81188" w14:paraId="50F820BD" w14:textId="77777777">
      <w:pPr>
        <w:pStyle w:val="Heading3"/>
        <w:spacing w:before="0" w:line="269" w:lineRule="auto"/>
        <w:rPr>
          <w:rtl/>
        </w:rPr>
      </w:pPr>
      <w:r w:rsidRPr="00DC3374">
        <w:rPr>
          <w:rFonts w:hint="cs"/>
          <w:rtl/>
        </w:rPr>
        <w:t>התאמת תכני ההסברה למאפיינים הייחודיים של קהלי היעד</w:t>
      </w:r>
      <w:r w:rsidRPr="00DC3374">
        <w:t xml:space="preserve"> </w:t>
      </w:r>
    </w:p>
    <w:p w:rsidR="0092532A" w:rsidRPr="00DC3374" w:rsidP="00E81188" w14:paraId="5A0CC993" w14:textId="5372F39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379E0137" w14:textId="77777777">
      <w:pPr>
        <w:spacing w:line="269" w:lineRule="auto"/>
        <w:rPr>
          <w:rtl/>
        </w:rPr>
      </w:pPr>
      <w:r w:rsidRPr="00DC3374">
        <w:rPr>
          <w:rtl/>
        </w:rPr>
        <w:t>קבוצות אוכלוסייה שונות בחברה הישראלית מובחנות כאמור זו מזו בצרכים, בשפה, בתפיסות ובהרגלים, ולע</w:t>
      </w:r>
      <w:r w:rsidRPr="00DC3374">
        <w:rPr>
          <w:rFonts w:hint="cs"/>
          <w:rtl/>
        </w:rPr>
        <w:t>י</w:t>
      </w:r>
      <w:r w:rsidRPr="00DC3374">
        <w:rPr>
          <w:rtl/>
        </w:rPr>
        <w:t>תים מובחנות גם מהבחינה התרבותית ומהבחינה הדתית. להבחנות אלה יש חשיבות גם בתכנון תכני ההסברה ואמצעי ההסברה. משרד מבקר המדינה בדק באמצעות הסקר את עמדות הציבור, בהבחנה בין קבוצות שונות באוכלוסייה, בדבר המידה שבה ההנחיות לציבור והאופן שבו הוסברו נתפסו כהולמים את צורכי האוכלוסי</w:t>
      </w:r>
      <w:r w:rsidRPr="00DC3374">
        <w:rPr>
          <w:rFonts w:hint="cs"/>
          <w:rtl/>
        </w:rPr>
        <w:t>י</w:t>
      </w:r>
      <w:r w:rsidRPr="00DC3374">
        <w:rPr>
          <w:rtl/>
        </w:rPr>
        <w:t>ה.</w:t>
      </w:r>
    </w:p>
    <w:p w:rsidR="0092532A" w:rsidRPr="00DC3374" w:rsidP="00E81188" w14:paraId="43A17BA3" w14:textId="77777777">
      <w:pPr>
        <w:spacing w:line="269" w:lineRule="auto"/>
        <w:rPr>
          <w:rtl/>
        </w:rPr>
      </w:pPr>
    </w:p>
    <w:p w:rsidR="0092532A" w:rsidRPr="00DC3374" w:rsidP="00E81188" w14:paraId="25110232" w14:textId="77777777">
      <w:pPr>
        <w:pStyle w:val="Heading4"/>
        <w:spacing w:before="0" w:line="269" w:lineRule="auto"/>
        <w:rPr>
          <w:rtl/>
        </w:rPr>
      </w:pPr>
      <w:r w:rsidRPr="00DC3374">
        <w:rPr>
          <w:rFonts w:hint="cs"/>
          <w:rtl/>
        </w:rPr>
        <w:t>מענה ההסברה לקשיים הקשורים בתנאים חומריים ובמשאבים - צפיפות המגורים וזמינות אמצעי קצה</w:t>
      </w:r>
    </w:p>
    <w:p w:rsidR="0092532A" w:rsidRPr="00DC3374" w:rsidP="00E81188" w14:paraId="188DF3CF" w14:textId="0864D115">
      <w:pPr>
        <w:pStyle w:val="a"/>
        <w:spacing w:line="269" w:lineRule="auto"/>
        <w:rPr>
          <w:rStyle w:val="5"/>
          <w:rFonts w:eastAsiaTheme="minorHAnsi"/>
          <w:bCs w:val="0"/>
          <w:spacing w:val="0"/>
        </w:rPr>
      </w:pPr>
      <w:r w:rsidRPr="00DC3374">
        <w:rPr>
          <w:rStyle w:val="5"/>
          <w:rFonts w:eastAsiaTheme="minorHAnsi"/>
          <w:bCs w:val="0"/>
          <w:spacing w:val="0"/>
          <w:rtl/>
        </w:rPr>
        <w:fldChar w:fldCharType="begin"/>
      </w:r>
      <w:r w:rsidRPr="00DC3374">
        <w:rPr>
          <w:rStyle w:val="5"/>
          <w:rFonts w:eastAsiaTheme="minorHAnsi"/>
          <w:bCs w:val="0"/>
          <w:spacing w:val="0"/>
          <w:rtl/>
        </w:rPr>
        <w:instrText xml:space="preserve"> </w:instrText>
      </w:r>
      <w:r w:rsidRPr="00DC3374">
        <w:rPr>
          <w:rStyle w:val="5"/>
          <w:rFonts w:eastAsiaTheme="minorHAnsi"/>
          <w:bCs w:val="0"/>
          <w:spacing w:val="0"/>
        </w:rPr>
        <w:instrText>AUTONUMLGL \e  \* MERGEFORMAT</w:instrText>
      </w:r>
      <w:r w:rsidRPr="00DC3374">
        <w:rPr>
          <w:rStyle w:val="5"/>
          <w:rFonts w:eastAsiaTheme="minorHAnsi"/>
          <w:bCs w:val="0"/>
          <w:spacing w:val="0"/>
          <w:rtl/>
        </w:rPr>
        <w:instrText xml:space="preserve"> </w:instrText>
      </w:r>
      <w:r w:rsidRPr="00DC3374">
        <w:rPr>
          <w:rStyle w:val="5"/>
          <w:rFonts w:eastAsiaTheme="minorHAnsi"/>
          <w:bCs w:val="0"/>
          <w:spacing w:val="0"/>
          <w:rtl/>
        </w:rPr>
        <w:fldChar w:fldCharType="end"/>
      </w:r>
    </w:p>
    <w:p w:rsidR="0092532A" w:rsidRPr="00DC3374" w:rsidP="00E81188" w14:paraId="18CF1628" w14:textId="77777777">
      <w:pPr>
        <w:pStyle w:val="ListParagraph"/>
        <w:numPr>
          <w:ilvl w:val="0"/>
          <w:numId w:val="6"/>
        </w:numPr>
        <w:spacing w:line="269" w:lineRule="auto"/>
      </w:pPr>
      <w:r w:rsidRPr="00DC3374">
        <w:rPr>
          <w:rStyle w:val="7"/>
          <w:rFonts w:hint="eastAsia"/>
          <w:rtl/>
        </w:rPr>
        <w:t>צפיפות</w:t>
      </w:r>
      <w:r w:rsidRPr="00DC3374">
        <w:rPr>
          <w:rStyle w:val="7"/>
          <w:rtl/>
        </w:rPr>
        <w:t xml:space="preserve"> </w:t>
      </w:r>
      <w:r w:rsidRPr="00DC3374">
        <w:rPr>
          <w:rStyle w:val="7"/>
          <w:rFonts w:hint="eastAsia"/>
          <w:rtl/>
        </w:rPr>
        <w:t>המגורים</w:t>
      </w:r>
      <w:r w:rsidRPr="00DC3374">
        <w:rPr>
          <w:rStyle w:val="7"/>
          <w:rFonts w:hint="cs"/>
          <w:rtl/>
        </w:rPr>
        <w:t>:</w:t>
      </w:r>
      <w:r w:rsidRPr="00DC3374">
        <w:rPr>
          <w:rFonts w:hint="cs"/>
          <w:rtl/>
        </w:rPr>
        <w:t xml:space="preserve"> דוח הוועדה המייעצת למל"ל מאוקטובר 2020 מצא כי צפיפות הדיור היא גורם מרכזי לעלייה בתחלואה ומקשה על היכולת לקיים בידוד יעיל ולשמור על תנאי ריחוק חברתי, כמתחייב על פי ההנחיות. עוד עולה מן הדוח כי צפיפות הדיור בקרב החברה הערבית והחברה החרדית גבוהה פי 1.8 מן הצפיפות בקרב החברה היהודית הכללית</w:t>
      </w:r>
      <w:r>
        <w:rPr>
          <w:rStyle w:val="FootnoteReference1"/>
          <w:rtl/>
        </w:rPr>
        <w:footnoteReference w:id="71"/>
      </w:r>
      <w:r w:rsidRPr="00DC3374">
        <w:rPr>
          <w:rFonts w:hint="cs"/>
          <w:rtl/>
        </w:rPr>
        <w:t>. בדוח צוין עוד כי בקרב החברה החרדית קיימת צפיפות גבוהה גם במרחב הציבורי, בהשוואה לכלל האוכלוסייה, ויש בכך כדי להגביר את הקושי לעמוד בהנחיות.</w:t>
      </w:r>
    </w:p>
    <w:p w:rsidR="0092532A" w:rsidRPr="00DC3374" w:rsidP="00E81188" w14:paraId="5B91BAB8" w14:textId="50F61F02">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094DD9" w:rsidP="00E81188" w14:paraId="00B51BE9" w14:textId="31C0163B">
      <w:pPr>
        <w:spacing w:line="269" w:lineRule="auto"/>
        <w:ind w:left="312"/>
        <w:rPr>
          <w:rtl/>
        </w:rPr>
      </w:pPr>
      <w:r w:rsidRPr="00DC3374">
        <w:rPr>
          <w:rFonts w:hint="cs"/>
          <w:rtl/>
        </w:rPr>
        <w:t>במסגרת הסקר שערך משרד מבקר המדינה בדצמבר 2020 נבדקו עמדות הציבור בנוגע למידת הקושי של משפחות גדולות החיות בצפיפות לפעול בהתאם להנחיות. להלן תרשים המציג את ממצאי הסקר בנושא זה:</w:t>
      </w:r>
    </w:p>
    <w:p w:rsidR="00094DD9" w14:paraId="3121AFA6" w14:textId="77777777">
      <w:pPr>
        <w:spacing w:line="240" w:lineRule="auto"/>
        <w:ind w:left="720" w:hanging="720"/>
        <w:rPr>
          <w:rtl/>
        </w:rPr>
      </w:pPr>
      <w:r>
        <w:rPr>
          <w:rtl/>
        </w:rPr>
        <w:br w:type="page"/>
      </w:r>
    </w:p>
    <w:p w:rsidR="0092532A" w:rsidRPr="00DC3374" w:rsidP="00E81188" w14:paraId="3EFC5ECF" w14:textId="79D930B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72CE08A2" w14:textId="77777777">
      <w:pPr>
        <w:pStyle w:val="ListParagraph"/>
        <w:spacing w:line="269" w:lineRule="auto"/>
        <w:ind w:left="312"/>
        <w:jc w:val="center"/>
        <w:rPr>
          <w:b/>
          <w:bCs/>
          <w:rtl/>
        </w:rPr>
      </w:pPr>
      <w:r w:rsidRPr="00DC3374">
        <w:rPr>
          <w:rFonts w:hint="cs"/>
          <w:b/>
          <w:bCs/>
          <w:rtl/>
        </w:rPr>
        <w:t xml:space="preserve">תרשים 52: עמדות הציבור - האם ההנחיות מגלמות התחשבות בקשיי צפיפות, </w:t>
      </w:r>
    </w:p>
    <w:p w:rsidR="0092532A" w:rsidRPr="00DC3374" w:rsidP="00E81188" w14:paraId="652E278F" w14:textId="77777777">
      <w:pPr>
        <w:pStyle w:val="ListParagraph"/>
        <w:spacing w:line="269" w:lineRule="auto"/>
        <w:ind w:left="312"/>
        <w:jc w:val="center"/>
        <w:rPr>
          <w:b/>
          <w:bCs/>
          <w:rtl/>
        </w:rPr>
      </w:pPr>
      <w:r w:rsidRPr="00DC3374">
        <w:rPr>
          <w:rFonts w:hint="eastAsia"/>
          <w:b/>
          <w:bCs/>
          <w:rtl/>
        </w:rPr>
        <w:t>בפילוח</w:t>
      </w:r>
      <w:r w:rsidRPr="00DC3374">
        <w:rPr>
          <w:b/>
          <w:bCs/>
          <w:rtl/>
        </w:rPr>
        <w:t xml:space="preserve"> </w:t>
      </w:r>
      <w:r w:rsidRPr="00DC3374">
        <w:rPr>
          <w:rFonts w:hint="eastAsia"/>
          <w:b/>
          <w:bCs/>
          <w:rtl/>
        </w:rPr>
        <w:t>לפי</w:t>
      </w:r>
      <w:r w:rsidRPr="00DC3374">
        <w:rPr>
          <w:b/>
          <w:bCs/>
          <w:rtl/>
        </w:rPr>
        <w:t xml:space="preserve"> </w:t>
      </w:r>
      <w:r w:rsidRPr="00DC3374">
        <w:rPr>
          <w:rFonts w:hint="eastAsia"/>
          <w:b/>
          <w:bCs/>
          <w:rtl/>
        </w:rPr>
        <w:t>קבוצות</w:t>
      </w:r>
      <w:r w:rsidRPr="00DC3374">
        <w:rPr>
          <w:b/>
          <w:bCs/>
          <w:rtl/>
        </w:rPr>
        <w:t xml:space="preserve"> </w:t>
      </w:r>
      <w:r w:rsidRPr="00DC3374">
        <w:rPr>
          <w:rFonts w:hint="eastAsia"/>
          <w:b/>
          <w:bCs/>
          <w:rtl/>
        </w:rPr>
        <w:t>אוכלוסייה</w:t>
      </w:r>
      <w:r w:rsidRPr="00DC3374">
        <w:rPr>
          <w:b/>
          <w:bCs/>
          <w:rtl/>
        </w:rPr>
        <w:t>*</w:t>
      </w:r>
    </w:p>
    <w:p w:rsidR="0092532A" w:rsidRPr="00DC3374" w:rsidP="00E81188" w14:paraId="36B08AC4" w14:textId="77777777">
      <w:pPr>
        <w:pStyle w:val="ListParagraph"/>
        <w:spacing w:line="269" w:lineRule="auto"/>
        <w:ind w:left="312"/>
        <w:jc w:val="center"/>
        <w:rPr>
          <w:b/>
          <w:bCs/>
          <w:rtl/>
        </w:rPr>
      </w:pPr>
      <w:r w:rsidRPr="00DC3374">
        <w:rPr>
          <w:noProof/>
        </w:rPr>
        <w:drawing>
          <wp:inline distT="0" distB="0" distL="0" distR="0">
            <wp:extent cx="4217584" cy="3340477"/>
            <wp:effectExtent l="0" t="0" r="0" b="0"/>
            <wp:docPr id="1743882419" name="תמונה 1743882419" descr="C:\Users\michal_re\AppData\Local\Microsoft\Windows\INetCache\Content.Word\MR-Tarshi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7750" name="Picture 39" descr="C:\Users\michal_re\AppData\Local\Microsoft\Windows\INetCache\Content.Word\MR-Tarshim-52.jpg"/>
                    <pic:cNvPicPr>
                      <a:picLocks noChangeAspect="1" noChangeArrowheads="1"/>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8050" cy="3435890"/>
                    </a:xfrm>
                    <a:prstGeom prst="rect">
                      <a:avLst/>
                    </a:prstGeom>
                    <a:noFill/>
                    <a:ln>
                      <a:noFill/>
                    </a:ln>
                  </pic:spPr>
                </pic:pic>
              </a:graphicData>
            </a:graphic>
          </wp:inline>
        </w:drawing>
      </w:r>
    </w:p>
    <w:p w:rsidR="0092532A" w:rsidRPr="00DC3374" w:rsidP="00F26F18" w14:paraId="2DC857AC" w14:textId="77777777">
      <w:pPr>
        <w:spacing w:line="269" w:lineRule="auto"/>
        <w:ind w:left="312"/>
        <w:rPr>
          <w:szCs w:val="20"/>
        </w:rPr>
      </w:pPr>
      <w:r w:rsidRPr="00DC3374">
        <w:rPr>
          <w:rFonts w:hint="cs"/>
          <w:szCs w:val="20"/>
          <w:rtl/>
        </w:rPr>
        <w:t>על פי נתוני הסקר מדצמבר 2020, בעיבוד משרד מבקר המדינה.</w:t>
      </w:r>
    </w:p>
    <w:p w:rsidR="0092532A" w:rsidRPr="00DC3374" w:rsidP="00F26F18" w14:paraId="79D82C7C" w14:textId="77777777">
      <w:pPr>
        <w:spacing w:line="269" w:lineRule="auto"/>
        <w:ind w:left="312"/>
        <w:rPr>
          <w:szCs w:val="20"/>
          <w:rtl/>
        </w:rPr>
      </w:pPr>
      <w:r w:rsidRPr="00DC3374">
        <w:rPr>
          <w:rFonts w:hint="cs"/>
          <w:szCs w:val="20"/>
          <w:rtl/>
        </w:rPr>
        <w:t>* נוסח ההיגד שהוצג במסגרת הסקר: "בהנחיות גילו הבנה לקושי של משפחות גדולות שחיות בצפיפות".</w:t>
      </w:r>
    </w:p>
    <w:p w:rsidR="0092532A" w:rsidRPr="00DC3374" w:rsidP="00E81188" w14:paraId="752F8A6E" w14:textId="55C8F60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3BDE81B1" w14:textId="77777777">
      <w:pPr>
        <w:spacing w:line="269" w:lineRule="auto"/>
        <w:ind w:left="312"/>
        <w:rPr>
          <w:b/>
          <w:bCs/>
          <w:rtl/>
        </w:rPr>
      </w:pPr>
      <w:r w:rsidRPr="00DC3374">
        <w:rPr>
          <w:rFonts w:hint="eastAsia"/>
          <w:b/>
          <w:bCs/>
          <w:rtl/>
        </w:rPr>
        <w:t>מן</w:t>
      </w:r>
      <w:r w:rsidRPr="00DC3374">
        <w:rPr>
          <w:b/>
          <w:bCs/>
          <w:rtl/>
        </w:rPr>
        <w:t xml:space="preserve"> הסקר עולה כי רוב האוכלוסייה החרדית וקרוב למחצית </w:t>
      </w:r>
      <w:r w:rsidRPr="00DC3374">
        <w:rPr>
          <w:rFonts w:hint="cs"/>
          <w:b/>
          <w:bCs/>
          <w:rtl/>
        </w:rPr>
        <w:t>החברה</w:t>
      </w:r>
      <w:r w:rsidRPr="00DC3374">
        <w:rPr>
          <w:b/>
          <w:bCs/>
          <w:rtl/>
        </w:rPr>
        <w:t xml:space="preserve"> היהודית הכללית סבורים שההנחיות אינן מגלמות הבנה לקשיי הצפיפות. כמו כן כרבע מהאוכלוסייה הערבית סבור כך.</w:t>
      </w:r>
      <w:r w:rsidRPr="00DC3374">
        <w:rPr>
          <w:rFonts w:hint="cs"/>
          <w:b/>
          <w:bCs/>
          <w:rtl/>
        </w:rPr>
        <w:t xml:space="preserve"> </w:t>
      </w:r>
    </w:p>
    <w:p w:rsidR="0092532A" w:rsidRPr="00DC3374" w:rsidP="00E81188" w14:paraId="62223426" w14:textId="2F29889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55376F45" w14:textId="35319BB5">
      <w:pPr>
        <w:spacing w:line="269" w:lineRule="auto"/>
        <w:ind w:left="312"/>
        <w:rPr>
          <w:rtl/>
        </w:rPr>
      </w:pPr>
      <w:r w:rsidRPr="00DC3374">
        <w:rPr>
          <w:rFonts w:hint="cs"/>
          <w:rtl/>
        </w:rPr>
        <w:t xml:space="preserve">משרד הבריאות מסר בתשובתו כי ההנחיות המגבילות התקבלו על ידי קבינט הקורונה. הוא ציין כי ההסברה הביאה בחשבון את הקשיים האובייקטיביים האמורים, והדבר התבטא בעידוד קיום מנייני תפילה בחצרות ובמרחב הפתוח ובעידוד האוכלוסייה לצאת לבידוד במלוניות. </w:t>
      </w:r>
    </w:p>
    <w:p w:rsidR="0092532A" w:rsidRPr="00DC3374" w:rsidP="00E81188" w14:paraId="4AB47F42" w14:textId="73BB582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0982F4FA" w14:textId="77777777">
      <w:pPr>
        <w:spacing w:line="269" w:lineRule="auto"/>
        <w:ind w:left="312"/>
        <w:rPr>
          <w:b/>
          <w:bCs/>
          <w:rtl/>
        </w:rPr>
      </w:pPr>
      <w:r w:rsidRPr="00DC3374">
        <w:rPr>
          <w:rFonts w:hint="cs"/>
          <w:b/>
          <w:bCs/>
          <w:rtl/>
        </w:rPr>
        <w:t xml:space="preserve">עולה אפוא כי החברה החרדית נאלצה להתמודד במהלך משבר הקורונה עם ההשפעות של צפיפות הדיור על התפשטות הנגיף, הן במסגרת ביתית והן במרחב הציבורי, וקיימת בקרב אוכלוסייה זו תחושה כי ההנחיות בנושא בידוד ושמירה על כללי ריחוק חברתי לא גילמו הבנה לקשיים אלה. </w:t>
      </w:r>
    </w:p>
    <w:p w:rsidR="0092532A" w:rsidRPr="00DC3374" w:rsidP="00E81188" w14:paraId="7FFCC0CE" w14:textId="2598FCC8">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1E7DA290" w14:textId="77777777">
      <w:pPr>
        <w:pStyle w:val="ListParagraph"/>
        <w:numPr>
          <w:ilvl w:val="0"/>
          <w:numId w:val="6"/>
        </w:numPr>
        <w:spacing w:line="269" w:lineRule="auto"/>
      </w:pPr>
      <w:r w:rsidRPr="00DC3374">
        <w:rPr>
          <w:rStyle w:val="7"/>
          <w:rtl/>
        </w:rPr>
        <w:t>זמינות אמצעי קצה וחיבור לאינטרנט לצורך למידה מרחוק</w:t>
      </w:r>
      <w:r w:rsidRPr="00DC3374">
        <w:rPr>
          <w:rStyle w:val="7"/>
          <w:rFonts w:hint="cs"/>
          <w:rtl/>
        </w:rPr>
        <w:t>:</w:t>
      </w:r>
      <w:r w:rsidRPr="00DC3374">
        <w:rPr>
          <w:rFonts w:hint="cs"/>
          <w:rtl/>
        </w:rPr>
        <w:t xml:space="preserve"> ב-12 במרץ 2020 החליטה ממשלת ישראל על סגירת מוסדות החינוך בעקבות משבר הקורונה. סמוך למועד זה החל משרד החינוך להפעיל מערך מקוון ללמידה מרחוק בבתי הספר בישראל, הכולל מערכת שידורים לאומית בעברית ובערבית, לצד העברת תכנים ומשימות על ידי מורים באמצעות כלים דיגיטליים. ואולם חלק מתלמידי מוסדות החינוך בישראל חסרים אמצעים ללמידה מקוונת: כ-6% מהתלמידים בחברה היהודית הכללית מתגוררים בבית ללא מחשב, וכ-8% מתגוררים בבית ללא מינוי אינטרנט; בקרב התלמידים בחברה הערבית השיעורים גבוהים יותר: כ-26% ללא מחשב וכ-38% ללא מינוי אינטרנט; ובקרב התלמידים בחברה החרדית השיעורים גבוהים במידה ניכרת - כ-42% וכ-72%, בהתאמה. כמו כן כ-23% מן </w:t>
      </w:r>
      <w:r w:rsidRPr="00DC3374">
        <w:rPr>
          <w:rFonts w:hint="cs"/>
          <w:rtl/>
        </w:rPr>
        <w:t>התלמידים הערבים חיים במשקי בית שבהם אין מחשב וגם לא אינטרנט, לעומת כ-2% בלבד מן התלמידים המשתייכים לחברה היהודית הכללית</w:t>
      </w:r>
      <w:r>
        <w:rPr>
          <w:rStyle w:val="FootnoteReference1"/>
          <w:rtl/>
        </w:rPr>
        <w:footnoteReference w:id="72"/>
      </w:r>
      <w:r w:rsidRPr="00DC3374">
        <w:rPr>
          <w:rFonts w:hint="cs"/>
          <w:rtl/>
        </w:rPr>
        <w:t xml:space="preserve">. </w:t>
      </w:r>
    </w:p>
    <w:p w:rsidR="0092532A" w:rsidRPr="00DC3374" w:rsidP="00E81188" w14:paraId="54D22E60" w14:textId="557BA89D">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094DD9" w14:paraId="1E49FE55" w14:textId="0EABC74B">
      <w:pPr>
        <w:pStyle w:val="ListParagraph"/>
        <w:spacing w:line="269" w:lineRule="auto"/>
        <w:ind w:left="360"/>
        <w:rPr>
          <w:rtl/>
        </w:rPr>
      </w:pPr>
      <w:r w:rsidRPr="00DC3374">
        <w:rPr>
          <w:rFonts w:hint="cs"/>
          <w:rtl/>
        </w:rPr>
        <w:t>במסגרת הסקר שערך משרד מבקר המדינה נבדקו עמדות הציבור בנוגע למידה שבה ההנחיות ללמידה מרחוק מותאמות לתלמידים שבביתם אין ציוד מתאים ללמידה מרחוק. להלן תרשים המציג את ממצאי הסקר בנושא זה.</w:t>
      </w:r>
    </w:p>
    <w:p w:rsidR="0092532A" w:rsidRPr="00DC3374" w:rsidP="00E81188" w14:paraId="17AEB41C" w14:textId="597BF32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2440569D" w14:textId="77777777">
      <w:pPr>
        <w:pStyle w:val="ListParagraph"/>
        <w:spacing w:line="269" w:lineRule="auto"/>
        <w:ind w:left="312"/>
        <w:jc w:val="center"/>
        <w:rPr>
          <w:b/>
          <w:bCs/>
          <w:rtl/>
        </w:rPr>
      </w:pPr>
      <w:r w:rsidRPr="00DC3374">
        <w:rPr>
          <w:rFonts w:hint="cs"/>
          <w:b/>
          <w:bCs/>
          <w:rtl/>
        </w:rPr>
        <w:t>תרשים 53: עמדות הציבור - התאמת ההנחיות להיעדר אפשרות ללמידה מרחוק,</w:t>
      </w:r>
    </w:p>
    <w:p w:rsidR="0092532A" w:rsidRPr="00DC3374" w:rsidP="00E81188" w14:paraId="5347809A" w14:textId="77777777">
      <w:pPr>
        <w:pStyle w:val="ListParagraph"/>
        <w:spacing w:line="269" w:lineRule="auto"/>
        <w:ind w:left="680"/>
        <w:jc w:val="center"/>
        <w:rPr>
          <w:b/>
          <w:bCs/>
          <w:rtl/>
        </w:rPr>
      </w:pPr>
      <w:r w:rsidRPr="00DC3374">
        <w:rPr>
          <w:rFonts w:hint="eastAsia"/>
          <w:b/>
          <w:bCs/>
          <w:rtl/>
        </w:rPr>
        <w:t>בפילוח</w:t>
      </w:r>
      <w:r w:rsidRPr="00DC3374">
        <w:rPr>
          <w:b/>
          <w:bCs/>
          <w:rtl/>
        </w:rPr>
        <w:t xml:space="preserve"> </w:t>
      </w:r>
      <w:r w:rsidRPr="00DC3374">
        <w:rPr>
          <w:rFonts w:hint="eastAsia"/>
          <w:b/>
          <w:bCs/>
          <w:rtl/>
        </w:rPr>
        <w:t>לפי</w:t>
      </w:r>
      <w:r w:rsidRPr="00DC3374">
        <w:rPr>
          <w:b/>
          <w:bCs/>
          <w:rtl/>
        </w:rPr>
        <w:t xml:space="preserve"> </w:t>
      </w:r>
      <w:r w:rsidRPr="00DC3374">
        <w:rPr>
          <w:rFonts w:hint="eastAsia"/>
          <w:b/>
          <w:bCs/>
          <w:rtl/>
        </w:rPr>
        <w:t>קבוצות</w:t>
      </w:r>
      <w:r w:rsidRPr="00DC3374">
        <w:rPr>
          <w:b/>
          <w:bCs/>
          <w:rtl/>
        </w:rPr>
        <w:t xml:space="preserve"> </w:t>
      </w:r>
      <w:r w:rsidRPr="00DC3374">
        <w:rPr>
          <w:rFonts w:hint="eastAsia"/>
          <w:b/>
          <w:bCs/>
          <w:rtl/>
        </w:rPr>
        <w:t>אוכלוסייה</w:t>
      </w:r>
      <w:r w:rsidRPr="00DC3374">
        <w:rPr>
          <w:b/>
          <w:bCs/>
          <w:rtl/>
        </w:rPr>
        <w:t>*</w:t>
      </w:r>
    </w:p>
    <w:p w:rsidR="0092532A" w:rsidRPr="00DC3374" w:rsidP="00E81188" w14:paraId="791D7D4B" w14:textId="77777777">
      <w:pPr>
        <w:pStyle w:val="ListParagraph"/>
        <w:spacing w:line="269" w:lineRule="auto"/>
        <w:ind w:left="312"/>
        <w:jc w:val="center"/>
        <w:rPr>
          <w:b/>
          <w:bCs/>
          <w:rtl/>
        </w:rPr>
      </w:pPr>
      <w:r w:rsidRPr="00DC3374">
        <w:rPr>
          <w:noProof/>
        </w:rPr>
        <w:drawing>
          <wp:inline distT="0" distB="0" distL="0" distR="0">
            <wp:extent cx="4954270" cy="3923957"/>
            <wp:effectExtent l="0" t="0" r="0" b="635"/>
            <wp:docPr id="1743882420" name="תמונה 1743882420" descr="C:\Users\michal_re\AppData\Local\Microsoft\Windows\INetCache\Content.Word\MR-Tarshi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90465" name="Picture 41" descr="C:\Users\michal_re\AppData\Local\Microsoft\Windows\INetCache\Content.Word\MR-Tarshim-53.jpg"/>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75243" cy="3940568"/>
                    </a:xfrm>
                    <a:prstGeom prst="rect">
                      <a:avLst/>
                    </a:prstGeom>
                    <a:noFill/>
                    <a:ln>
                      <a:noFill/>
                    </a:ln>
                  </pic:spPr>
                </pic:pic>
              </a:graphicData>
            </a:graphic>
          </wp:inline>
        </w:drawing>
      </w:r>
    </w:p>
    <w:p w:rsidR="0092532A" w:rsidRPr="00DC3374" w:rsidP="00E81188" w14:paraId="7B5C8EEB" w14:textId="77777777">
      <w:pPr>
        <w:spacing w:line="269" w:lineRule="auto"/>
        <w:ind w:left="312"/>
        <w:rPr>
          <w:szCs w:val="20"/>
        </w:rPr>
      </w:pPr>
      <w:r w:rsidRPr="00DC3374">
        <w:rPr>
          <w:rFonts w:hint="cs"/>
          <w:szCs w:val="20"/>
          <w:rtl/>
        </w:rPr>
        <w:t xml:space="preserve">על פי נתוני הסקר מדצמבר 2020, בעיבוד משרד מבקר המדינה. </w:t>
      </w:r>
    </w:p>
    <w:p w:rsidR="0092532A" w:rsidRPr="00DC3374" w:rsidP="00E81188" w14:paraId="28E3C422" w14:textId="77777777">
      <w:pPr>
        <w:spacing w:line="269" w:lineRule="auto"/>
        <w:ind w:left="312"/>
        <w:rPr>
          <w:szCs w:val="20"/>
          <w:rtl/>
        </w:rPr>
      </w:pPr>
      <w:r w:rsidRPr="00DC3374">
        <w:rPr>
          <w:rFonts w:hint="cs"/>
          <w:szCs w:val="20"/>
          <w:rtl/>
        </w:rPr>
        <w:t>* נוסח ההיגד שהוצג לנשאלים במסגרת הסקר: "בהנחיות התחשבו בעובדה שלא לכולם יש אפשרות ללמוד מרחוק".</w:t>
      </w:r>
    </w:p>
    <w:p w:rsidR="0092532A" w:rsidRPr="00DC3374" w:rsidP="00E81188" w14:paraId="44E82272" w14:textId="72475BC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187E3DF1" w14:textId="77777777">
      <w:pPr>
        <w:spacing w:line="269" w:lineRule="auto"/>
        <w:ind w:left="312"/>
        <w:rPr>
          <w:szCs w:val="20"/>
          <w:rtl/>
        </w:rPr>
      </w:pPr>
      <w:r w:rsidRPr="00DC3374">
        <w:rPr>
          <w:rFonts w:hint="eastAsia"/>
          <w:b/>
          <w:bCs/>
          <w:rtl/>
        </w:rPr>
        <w:t>מן</w:t>
      </w:r>
      <w:r w:rsidRPr="00DC3374">
        <w:rPr>
          <w:b/>
          <w:bCs/>
          <w:rtl/>
        </w:rPr>
        <w:t xml:space="preserve"> </w:t>
      </w:r>
      <w:r w:rsidRPr="00DC3374">
        <w:rPr>
          <w:rFonts w:hint="eastAsia"/>
          <w:b/>
          <w:bCs/>
          <w:rtl/>
        </w:rPr>
        <w:t>הסקר</w:t>
      </w:r>
      <w:r w:rsidRPr="00DC3374">
        <w:rPr>
          <w:b/>
          <w:bCs/>
          <w:rtl/>
        </w:rPr>
        <w:t xml:space="preserve"> עולה כי </w:t>
      </w:r>
      <w:r w:rsidRPr="00DC3374">
        <w:rPr>
          <w:rFonts w:hint="cs"/>
          <w:b/>
          <w:bCs/>
          <w:rtl/>
        </w:rPr>
        <w:t xml:space="preserve">רוב הנשאלים מן החברה היהודית ו-29% מהנשאלים הערבים סבורים כי הנחיות הקורונה אינן מגלמות הבנה לקושי של תלמידים שאין בביתם ציוד מתאים ללמידה מרחוק. </w:t>
      </w:r>
    </w:p>
    <w:p w:rsidR="0092532A" w:rsidRPr="00DC3374" w:rsidP="00E81188" w14:paraId="3E1B07D0" w14:textId="077AB251">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92532A" w:rsidRPr="00DC3374" w:rsidP="00E81188" w14:paraId="2E07986C" w14:textId="77777777">
      <w:pPr>
        <w:spacing w:line="269" w:lineRule="auto"/>
        <w:rPr>
          <w:b/>
          <w:bCs/>
          <w:rtl/>
        </w:rPr>
      </w:pPr>
      <w:r w:rsidRPr="00DC3374">
        <w:rPr>
          <w:rFonts w:hint="cs"/>
          <w:b/>
          <w:bCs/>
          <w:rtl/>
        </w:rPr>
        <w:t xml:space="preserve">עולה אפוא כי לתחושת הציבור, המגבלות שהוטלו במסגרת הנחיות הקורונה הכבידו על אוכלוסיות המתגוררות בצפיפות ואשר אין להן אמצעים מספיקים ללמידה מרחוק. כאמור, קשיים אלה נפוצים במידה רבה בחברה הערבית ובחברה החרדית. </w:t>
      </w:r>
    </w:p>
    <w:p w:rsidR="0092532A" w:rsidRPr="00DC3374" w:rsidP="00E81188" w14:paraId="746F2340" w14:textId="4842D61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66A83B0B" w14:textId="77777777">
      <w:pPr>
        <w:spacing w:line="269" w:lineRule="auto"/>
        <w:rPr>
          <w:rtl/>
        </w:rPr>
      </w:pPr>
      <w:r w:rsidRPr="00DC3374">
        <w:rPr>
          <w:rFonts w:hint="cs"/>
          <w:rtl/>
        </w:rPr>
        <w:t xml:space="preserve">על רקע </w:t>
      </w:r>
      <w:r w:rsidRPr="00DC3374">
        <w:rPr>
          <w:rtl/>
        </w:rPr>
        <w:t xml:space="preserve">הקשיים </w:t>
      </w:r>
      <w:r w:rsidRPr="00DC3374">
        <w:rPr>
          <w:rFonts w:hint="cs"/>
          <w:rtl/>
        </w:rPr>
        <w:t xml:space="preserve">האמורים </w:t>
      </w:r>
      <w:r w:rsidRPr="00DC3374">
        <w:rPr>
          <w:rtl/>
        </w:rPr>
        <w:t xml:space="preserve">שיצרו הגבלות הקורונה, </w:t>
      </w:r>
      <w:r w:rsidRPr="00DC3374">
        <w:rPr>
          <w:rFonts w:hint="eastAsia"/>
          <w:rtl/>
        </w:rPr>
        <w:t>ובמסגרת</w:t>
      </w:r>
      <w:r w:rsidRPr="00DC3374">
        <w:rPr>
          <w:rtl/>
        </w:rPr>
        <w:t xml:space="preserve"> תפקידה של ההסברה בחיזוק החוסן החברתי, </w:t>
      </w:r>
      <w:r w:rsidRPr="00DC3374">
        <w:rPr>
          <w:rFonts w:hint="eastAsia"/>
          <w:rtl/>
        </w:rPr>
        <w:t>פעלו</w:t>
      </w:r>
      <w:r w:rsidRPr="00DC3374">
        <w:rPr>
          <w:rtl/>
        </w:rPr>
        <w:t xml:space="preserve"> משרד הבריאות ופקע"ר </w:t>
      </w:r>
      <w:r w:rsidRPr="00DC3374">
        <w:rPr>
          <w:rFonts w:hint="eastAsia"/>
          <w:rtl/>
        </w:rPr>
        <w:t>בתחום</w:t>
      </w:r>
      <w:r w:rsidRPr="00DC3374">
        <w:rPr>
          <w:rtl/>
        </w:rPr>
        <w:t xml:space="preserve"> ההסברה </w:t>
      </w:r>
      <w:r w:rsidRPr="00DC3374">
        <w:rPr>
          <w:rFonts w:hint="eastAsia"/>
          <w:rtl/>
        </w:rPr>
        <w:t>במטרה</w:t>
      </w:r>
      <w:r w:rsidRPr="00DC3374">
        <w:rPr>
          <w:rtl/>
        </w:rPr>
        <w:t xml:space="preserve"> לסייע </w:t>
      </w:r>
      <w:r w:rsidRPr="00DC3374">
        <w:rPr>
          <w:rFonts w:hint="eastAsia"/>
          <w:rtl/>
        </w:rPr>
        <w:t>לכלל</w:t>
      </w:r>
      <w:r w:rsidRPr="00DC3374">
        <w:rPr>
          <w:rtl/>
        </w:rPr>
        <w:t xml:space="preserve"> </w:t>
      </w:r>
      <w:r w:rsidRPr="00DC3374">
        <w:rPr>
          <w:rFonts w:hint="eastAsia"/>
          <w:rtl/>
        </w:rPr>
        <w:t>האוכלוסייה</w:t>
      </w:r>
      <w:r w:rsidRPr="00DC3374">
        <w:rPr>
          <w:rtl/>
        </w:rPr>
        <w:t xml:space="preserve"> ב</w:t>
      </w:r>
      <w:r w:rsidRPr="00DC3374">
        <w:rPr>
          <w:rFonts w:hint="eastAsia"/>
          <w:rtl/>
        </w:rPr>
        <w:t>הפגת</w:t>
      </w:r>
      <w:r w:rsidRPr="00DC3374">
        <w:rPr>
          <w:rtl/>
        </w:rPr>
        <w:t xml:space="preserve"> </w:t>
      </w:r>
      <w:r w:rsidRPr="00DC3374">
        <w:rPr>
          <w:rFonts w:hint="eastAsia"/>
          <w:rtl/>
        </w:rPr>
        <w:t>מתחים</w:t>
      </w:r>
      <w:r w:rsidRPr="00DC3374">
        <w:rPr>
          <w:rtl/>
        </w:rPr>
        <w:t xml:space="preserve">, </w:t>
      </w:r>
      <w:r w:rsidRPr="00DC3374">
        <w:rPr>
          <w:rFonts w:hint="eastAsia"/>
          <w:rtl/>
        </w:rPr>
        <w:t>תוך</w:t>
      </w:r>
      <w:r w:rsidRPr="00DC3374">
        <w:rPr>
          <w:rtl/>
        </w:rPr>
        <w:t xml:space="preserve"> </w:t>
      </w:r>
      <w:r w:rsidRPr="00DC3374">
        <w:rPr>
          <w:rFonts w:hint="eastAsia"/>
          <w:rtl/>
        </w:rPr>
        <w:t>התייחסות</w:t>
      </w:r>
      <w:r w:rsidRPr="00DC3374">
        <w:rPr>
          <w:rtl/>
        </w:rPr>
        <w:t xml:space="preserve"> מיוחדת לילדים. </w:t>
      </w:r>
      <w:r w:rsidRPr="00DC3374">
        <w:rPr>
          <w:rFonts w:hint="eastAsia"/>
          <w:rtl/>
        </w:rPr>
        <w:t>כך</w:t>
      </w:r>
      <w:r w:rsidRPr="00DC3374">
        <w:rPr>
          <w:rtl/>
        </w:rPr>
        <w:t xml:space="preserve"> </w:t>
      </w:r>
      <w:r w:rsidRPr="00DC3374">
        <w:rPr>
          <w:rFonts w:hint="eastAsia"/>
          <w:rtl/>
        </w:rPr>
        <w:t>לדוגמה</w:t>
      </w:r>
      <w:r w:rsidRPr="00DC3374">
        <w:rPr>
          <w:rtl/>
        </w:rPr>
        <w:t xml:space="preserve">, </w:t>
      </w:r>
      <w:r w:rsidRPr="00DC3374">
        <w:rPr>
          <w:rFonts w:hint="eastAsia"/>
          <w:rtl/>
        </w:rPr>
        <w:t>משרד</w:t>
      </w:r>
      <w:r w:rsidRPr="00DC3374">
        <w:rPr>
          <w:rtl/>
        </w:rPr>
        <w:t xml:space="preserve"> הבריאות </w:t>
      </w:r>
      <w:r w:rsidRPr="00DC3374">
        <w:rPr>
          <w:rFonts w:hint="eastAsia"/>
          <w:rtl/>
        </w:rPr>
        <w:t>יזם</w:t>
      </w:r>
      <w:r w:rsidRPr="00DC3374">
        <w:rPr>
          <w:rtl/>
        </w:rPr>
        <w:t xml:space="preserve"> </w:t>
      </w:r>
      <w:r w:rsidRPr="00DC3374">
        <w:rPr>
          <w:rFonts w:hint="cs"/>
          <w:rtl/>
        </w:rPr>
        <w:t>פרסום</w:t>
      </w:r>
      <w:r w:rsidRPr="00DC3374">
        <w:rPr>
          <w:rtl/>
        </w:rPr>
        <w:t xml:space="preserve"> </w:t>
      </w:r>
      <w:r w:rsidRPr="00DC3374">
        <w:rPr>
          <w:rFonts w:hint="eastAsia"/>
          <w:rtl/>
        </w:rPr>
        <w:t>לילדים</w:t>
      </w:r>
      <w:r w:rsidRPr="00DC3374">
        <w:rPr>
          <w:rtl/>
        </w:rPr>
        <w:t xml:space="preserve"> </w:t>
      </w:r>
      <w:r w:rsidRPr="00DC3374">
        <w:rPr>
          <w:rFonts w:hint="eastAsia"/>
          <w:rtl/>
        </w:rPr>
        <w:t>חרדים</w:t>
      </w:r>
      <w:r w:rsidRPr="00DC3374">
        <w:rPr>
          <w:rtl/>
        </w:rPr>
        <w:t xml:space="preserve"> </w:t>
      </w:r>
      <w:r w:rsidRPr="00DC3374">
        <w:rPr>
          <w:rFonts w:hint="eastAsia"/>
          <w:rtl/>
        </w:rPr>
        <w:t>בהשתתפות</w:t>
      </w:r>
      <w:r w:rsidRPr="00DC3374">
        <w:rPr>
          <w:rtl/>
        </w:rPr>
        <w:t xml:space="preserve"> </w:t>
      </w:r>
      <w:r w:rsidRPr="00DC3374">
        <w:rPr>
          <w:rFonts w:hint="eastAsia"/>
          <w:rtl/>
        </w:rPr>
        <w:t>סופרי</w:t>
      </w:r>
      <w:r w:rsidRPr="00DC3374">
        <w:rPr>
          <w:rtl/>
        </w:rPr>
        <w:t xml:space="preserve"> </w:t>
      </w:r>
      <w:r w:rsidRPr="00DC3374">
        <w:rPr>
          <w:rFonts w:hint="eastAsia"/>
          <w:rtl/>
        </w:rPr>
        <w:t>ילדים</w:t>
      </w:r>
      <w:r w:rsidRPr="00DC3374">
        <w:rPr>
          <w:rtl/>
        </w:rPr>
        <w:t xml:space="preserve"> מהחברה החרדית אשר יצרו </w:t>
      </w:r>
      <w:r w:rsidRPr="00DC3374">
        <w:rPr>
          <w:rFonts w:hint="eastAsia"/>
          <w:rtl/>
        </w:rPr>
        <w:t>תוכן</w:t>
      </w:r>
      <w:r w:rsidRPr="00DC3374">
        <w:rPr>
          <w:rtl/>
        </w:rPr>
        <w:t xml:space="preserve"> </w:t>
      </w:r>
      <w:r w:rsidRPr="00DC3374">
        <w:rPr>
          <w:rFonts w:hint="eastAsia"/>
          <w:rtl/>
        </w:rPr>
        <w:t>מקורי</w:t>
      </w:r>
      <w:r w:rsidRPr="00DC3374">
        <w:rPr>
          <w:rtl/>
        </w:rPr>
        <w:t xml:space="preserve"> </w:t>
      </w:r>
      <w:r w:rsidRPr="00DC3374">
        <w:rPr>
          <w:rFonts w:hint="eastAsia"/>
          <w:rtl/>
        </w:rPr>
        <w:t>לקראת</w:t>
      </w:r>
      <w:r w:rsidRPr="00DC3374">
        <w:rPr>
          <w:rtl/>
        </w:rPr>
        <w:t xml:space="preserve"> </w:t>
      </w:r>
      <w:r w:rsidRPr="00DC3374">
        <w:rPr>
          <w:rFonts w:hint="eastAsia"/>
          <w:rtl/>
        </w:rPr>
        <w:t>חג</w:t>
      </w:r>
      <w:r w:rsidRPr="00DC3374">
        <w:rPr>
          <w:rtl/>
        </w:rPr>
        <w:t xml:space="preserve"> </w:t>
      </w:r>
      <w:r w:rsidRPr="00DC3374">
        <w:rPr>
          <w:rFonts w:hint="eastAsia"/>
          <w:rtl/>
        </w:rPr>
        <w:t>הפסח</w:t>
      </w:r>
      <w:r w:rsidRPr="00DC3374">
        <w:rPr>
          <w:rtl/>
        </w:rPr>
        <w:t xml:space="preserve">, וכן </w:t>
      </w:r>
      <w:r w:rsidRPr="00DC3374">
        <w:rPr>
          <w:rFonts w:hint="eastAsia"/>
          <w:rtl/>
        </w:rPr>
        <w:t>הפיץ</w:t>
      </w:r>
      <w:r w:rsidRPr="00DC3374">
        <w:rPr>
          <w:rtl/>
        </w:rPr>
        <w:t xml:space="preserve"> </w:t>
      </w:r>
      <w:r w:rsidRPr="00DC3374">
        <w:rPr>
          <w:rFonts w:hint="eastAsia"/>
          <w:rtl/>
        </w:rPr>
        <w:t>חוברות</w:t>
      </w:r>
      <w:r w:rsidRPr="00DC3374">
        <w:rPr>
          <w:rtl/>
        </w:rPr>
        <w:t xml:space="preserve"> </w:t>
      </w:r>
      <w:r w:rsidRPr="00DC3374">
        <w:rPr>
          <w:rFonts w:hint="eastAsia"/>
          <w:rtl/>
        </w:rPr>
        <w:t>הפעלה</w:t>
      </w:r>
      <w:r w:rsidRPr="00DC3374">
        <w:rPr>
          <w:rtl/>
        </w:rPr>
        <w:t xml:space="preserve"> </w:t>
      </w:r>
      <w:r w:rsidRPr="00DC3374">
        <w:rPr>
          <w:rFonts w:hint="eastAsia"/>
          <w:rtl/>
        </w:rPr>
        <w:t>לילדים</w:t>
      </w:r>
      <w:r w:rsidRPr="00DC3374">
        <w:rPr>
          <w:rtl/>
        </w:rPr>
        <w:t xml:space="preserve"> בהשתתפות ידוענים חרדים</w:t>
      </w:r>
      <w:r w:rsidRPr="00DC3374">
        <w:rPr>
          <w:rFonts w:hint="cs"/>
          <w:rtl/>
        </w:rPr>
        <w:t xml:space="preserve">. </w:t>
      </w:r>
      <w:r w:rsidRPr="00DC3374">
        <w:rPr>
          <w:rFonts w:hint="eastAsia"/>
          <w:rtl/>
        </w:rPr>
        <w:t>פקע</w:t>
      </w:r>
      <w:r w:rsidRPr="00DC3374">
        <w:rPr>
          <w:rtl/>
        </w:rPr>
        <w:t xml:space="preserve">"ר הפיץ </w:t>
      </w:r>
      <w:r w:rsidRPr="00DC3374">
        <w:rPr>
          <w:rFonts w:hint="eastAsia"/>
          <w:rtl/>
        </w:rPr>
        <w:t>עלוני</w:t>
      </w:r>
      <w:r w:rsidRPr="00DC3374">
        <w:rPr>
          <w:rtl/>
        </w:rPr>
        <w:t xml:space="preserve"> הנחיות </w:t>
      </w:r>
      <w:r w:rsidRPr="00DC3374">
        <w:rPr>
          <w:rFonts w:hint="cs"/>
          <w:rtl/>
        </w:rPr>
        <w:t xml:space="preserve">בעברית </w:t>
      </w:r>
      <w:r w:rsidRPr="00DC3374">
        <w:rPr>
          <w:rFonts w:hint="eastAsia"/>
          <w:rtl/>
        </w:rPr>
        <w:t>בנושא</w:t>
      </w:r>
      <w:r w:rsidRPr="00DC3374">
        <w:rPr>
          <w:rtl/>
        </w:rPr>
        <w:t xml:space="preserve"> "תפקוד </w:t>
      </w:r>
      <w:r w:rsidRPr="00DC3374">
        <w:rPr>
          <w:rFonts w:hint="eastAsia"/>
          <w:rtl/>
        </w:rPr>
        <w:t>מסיר</w:t>
      </w:r>
      <w:r w:rsidRPr="00DC3374">
        <w:rPr>
          <w:rtl/>
        </w:rPr>
        <w:t xml:space="preserve"> </w:t>
      </w:r>
      <w:r w:rsidRPr="00DC3374">
        <w:rPr>
          <w:rFonts w:hint="eastAsia"/>
          <w:rtl/>
        </w:rPr>
        <w:t>לחץ</w:t>
      </w:r>
      <w:r w:rsidRPr="00DC3374">
        <w:rPr>
          <w:rtl/>
        </w:rPr>
        <w:t>"</w:t>
      </w:r>
      <w:r w:rsidRPr="00DC3374">
        <w:rPr>
          <w:rFonts w:hint="cs"/>
          <w:rtl/>
        </w:rPr>
        <w:t xml:space="preserve">, המיועדים לחברה היהודית הכללית, </w:t>
      </w:r>
      <w:r w:rsidRPr="00DC3374">
        <w:rPr>
          <w:rFonts w:hint="eastAsia"/>
          <w:rtl/>
        </w:rPr>
        <w:t>משחקי</w:t>
      </w:r>
      <w:r w:rsidRPr="00DC3374">
        <w:rPr>
          <w:rtl/>
        </w:rPr>
        <w:t xml:space="preserve"> קלפים, דפי צביעה, מדבקות, סיפורים וסרטונים לילדים, </w:t>
      </w:r>
      <w:r w:rsidRPr="00DC3374">
        <w:rPr>
          <w:rFonts w:hint="cs"/>
          <w:rtl/>
        </w:rPr>
        <w:t>ו</w:t>
      </w:r>
      <w:r w:rsidRPr="00DC3374">
        <w:rPr>
          <w:rFonts w:hint="eastAsia"/>
          <w:rtl/>
        </w:rPr>
        <w:t>חלקם</w:t>
      </w:r>
      <w:r w:rsidRPr="00DC3374">
        <w:rPr>
          <w:rtl/>
        </w:rPr>
        <w:t xml:space="preserve"> </w:t>
      </w:r>
      <w:r w:rsidRPr="00DC3374">
        <w:rPr>
          <w:rFonts w:hint="eastAsia"/>
          <w:rtl/>
        </w:rPr>
        <w:t>הותאמו</w:t>
      </w:r>
      <w:r w:rsidRPr="00DC3374">
        <w:rPr>
          <w:rtl/>
        </w:rPr>
        <w:t xml:space="preserve"> </w:t>
      </w:r>
      <w:r w:rsidRPr="00DC3374">
        <w:rPr>
          <w:rFonts w:hint="eastAsia"/>
          <w:rtl/>
        </w:rPr>
        <w:t>לחברה</w:t>
      </w:r>
      <w:r w:rsidRPr="00DC3374">
        <w:rPr>
          <w:rtl/>
        </w:rPr>
        <w:t xml:space="preserve"> </w:t>
      </w:r>
      <w:r w:rsidRPr="00DC3374">
        <w:rPr>
          <w:rFonts w:hint="eastAsia"/>
          <w:rtl/>
        </w:rPr>
        <w:t>הערבית</w:t>
      </w:r>
      <w:r w:rsidRPr="00DC3374">
        <w:rPr>
          <w:rtl/>
        </w:rPr>
        <w:t xml:space="preserve"> </w:t>
      </w:r>
      <w:r w:rsidRPr="00DC3374">
        <w:rPr>
          <w:rFonts w:hint="eastAsia"/>
          <w:rtl/>
        </w:rPr>
        <w:t>ולחברה</w:t>
      </w:r>
      <w:r w:rsidRPr="00DC3374">
        <w:rPr>
          <w:rtl/>
        </w:rPr>
        <w:t xml:space="preserve"> </w:t>
      </w:r>
      <w:r w:rsidRPr="00DC3374">
        <w:rPr>
          <w:rFonts w:hint="eastAsia"/>
          <w:rtl/>
        </w:rPr>
        <w:t>החרדית</w:t>
      </w:r>
      <w:r w:rsidRPr="00DC3374">
        <w:rPr>
          <w:rtl/>
        </w:rPr>
        <w:t>.</w:t>
      </w:r>
      <w:r w:rsidRPr="00DC3374">
        <w:rPr>
          <w:rFonts w:hint="cs"/>
          <w:rtl/>
        </w:rPr>
        <w:t xml:space="preserve"> </w:t>
      </w:r>
    </w:p>
    <w:p w:rsidR="0092532A" w:rsidRPr="00DC3374" w:rsidP="00E81188" w14:paraId="5EEE0B4E" w14:textId="66FC707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6D34A845" w14:textId="77777777">
      <w:pPr>
        <w:spacing w:line="269" w:lineRule="auto"/>
        <w:rPr>
          <w:rtl/>
        </w:rPr>
      </w:pPr>
      <w:r w:rsidRPr="00DC3374">
        <w:rPr>
          <w:rFonts w:hint="cs"/>
          <w:b/>
          <w:bCs/>
          <w:rtl/>
        </w:rPr>
        <w:t>משרד מבקר המדינה מציין לחיוב את היוזמות הנקודתיות של משרד הבריאות ופקע"ר לחיזוק החוסן החברתי</w:t>
      </w:r>
      <w:r w:rsidRPr="00DC3374">
        <w:rPr>
          <w:b/>
          <w:bCs/>
          <w:rtl/>
        </w:rPr>
        <w:t>.</w:t>
      </w:r>
      <w:r w:rsidRPr="00DC3374">
        <w:rPr>
          <w:rtl/>
        </w:rPr>
        <w:t xml:space="preserve"> </w:t>
      </w:r>
    </w:p>
    <w:p w:rsidR="0092532A" w:rsidRPr="00DC3374" w:rsidP="00E81188" w14:paraId="18283F5A" w14:textId="2F8195D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5B1322E8" w14:textId="77777777">
      <w:pPr>
        <w:spacing w:line="269" w:lineRule="auto"/>
        <w:rPr>
          <w:rtl/>
        </w:rPr>
      </w:pPr>
      <w:r w:rsidRPr="00DC3374">
        <w:rPr>
          <w:rFonts w:hint="cs"/>
          <w:b/>
          <w:bCs/>
          <w:rtl/>
        </w:rPr>
        <w:t>מומלץ כי מטה ההסברה במשרד רה"ם וגורמי ההסברה הפועלים בעת אירוע חירום ישלבו באופן מקיף ושיטתי את החברה הערבית והחברה החרדית בפעולותיהם ל</w:t>
      </w:r>
      <w:r w:rsidRPr="00DC3374">
        <w:rPr>
          <w:b/>
          <w:bCs/>
          <w:rtl/>
        </w:rPr>
        <w:t>חיזוק החוסן החברתי בהיקף דומה להסברה שניתנה לאוכלוסייה היהודית.</w:t>
      </w:r>
    </w:p>
    <w:p w:rsidR="0092532A" w:rsidRPr="00DC3374" w:rsidP="00E81188" w14:paraId="082EF580" w14:textId="77777777">
      <w:pPr>
        <w:spacing w:line="269" w:lineRule="auto"/>
        <w:rPr>
          <w:rtl/>
        </w:rPr>
      </w:pPr>
    </w:p>
    <w:p w:rsidR="0092532A" w:rsidRPr="00DC3374" w:rsidP="00E81188" w14:paraId="0C8CF377" w14:textId="77777777">
      <w:pPr>
        <w:pStyle w:val="Heading4"/>
        <w:spacing w:before="0" w:line="269" w:lineRule="auto"/>
        <w:rPr>
          <w:rtl/>
        </w:rPr>
      </w:pPr>
      <w:r w:rsidRPr="00DC3374">
        <w:rPr>
          <w:rFonts w:hint="cs"/>
          <w:rtl/>
        </w:rPr>
        <w:t xml:space="preserve">טקסים דתיים ואירועים קהילתיים </w:t>
      </w:r>
    </w:p>
    <w:p w:rsidR="0092532A" w:rsidRPr="00DC3374" w:rsidP="00E81188" w14:paraId="1664C60B" w14:textId="37A7F98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330E551C" w14:textId="77777777">
      <w:pPr>
        <w:spacing w:line="269" w:lineRule="auto"/>
      </w:pPr>
      <w:r w:rsidRPr="00DC3374">
        <w:rPr>
          <w:rFonts w:hint="cs"/>
          <w:rtl/>
        </w:rPr>
        <w:t xml:space="preserve">אחד הגורמים לתחלואה הגבוהה בקרב החברה הערבית והחברה החרדית הוא אורח החיים הקהילתי המאפיין את שתי קבוצות האוכלוסייה. המבנה הקהילתי החרדי מבוסס על התכנסויות רבות משתתפים במסגרת תפילה בימות השבוע ובשבתות, בחגים ובמועדים בהתאם ללוח השנה וכן באירועים משפחתיים וקהילתיים, והדבר בא לידי ביטוי באירועים שנחשבו "מקדמי הדבקה" במהלך הגל הראשון והגל השני של מגפת הקורונה. אורח החיים הקהילתי בא לידי ביטוי גם בלימודים במוסדות פנימייתיים. </w:t>
      </w:r>
    </w:p>
    <w:p w:rsidR="0092532A" w:rsidRPr="00DC3374" w:rsidP="00E81188" w14:paraId="47E3E717" w14:textId="221EB8C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0D2547FB" w14:textId="77777777">
      <w:pPr>
        <w:spacing w:line="269" w:lineRule="auto"/>
      </w:pPr>
      <w:r w:rsidRPr="00DC3374">
        <w:rPr>
          <w:rFonts w:hint="cs"/>
          <w:rtl/>
        </w:rPr>
        <w:t>החברה הערבית נחשפה במידה מעטה לאירועים "מקדמי הדבקה" במהלך הגל הראשון, אולם במהלך הגל השני חלה כאמור החמרה ניכרת בתחלואה בקרב אוכלוסייה זו, בין היתר על רקע עונת החתונות שהחלה לאחר תום חודש הרמדאן בסוף מאי 2020, וכללה התכנסויות בנות כמה ימים, בניגוד להנחיות. התכנסויות נוספות היו נפוצות בחג הקורבן, עיד אל-אדחא, בסוף יולי עד תחילת אוגוסט 2020.</w:t>
      </w:r>
    </w:p>
    <w:p w:rsidR="0092532A" w:rsidRPr="00DC3374" w:rsidP="00E81188" w14:paraId="6A472DDD" w14:textId="31E58983">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47B774A4" w14:textId="77777777">
      <w:pPr>
        <w:spacing w:line="269" w:lineRule="auto"/>
        <w:rPr>
          <w:rtl/>
        </w:rPr>
      </w:pPr>
      <w:r w:rsidRPr="00DC3374">
        <w:rPr>
          <w:rFonts w:hint="eastAsia"/>
          <w:rtl/>
        </w:rPr>
        <w:t>מנתוני</w:t>
      </w:r>
      <w:r w:rsidRPr="00DC3374">
        <w:rPr>
          <w:rFonts w:hint="cs"/>
          <w:rtl/>
        </w:rPr>
        <w:t xml:space="preserve"> מסעות הפרסום</w:t>
      </w:r>
      <w:r w:rsidRPr="00DC3374">
        <w:rPr>
          <w:rtl/>
        </w:rPr>
        <w:t xml:space="preserve"> שביצע משרד הבריאות באמצעות </w:t>
      </w:r>
      <w:r w:rsidRPr="00DC3374">
        <w:rPr>
          <w:rFonts w:hint="eastAsia"/>
          <w:rtl/>
        </w:rPr>
        <w:t>לפ</w:t>
      </w:r>
      <w:r w:rsidRPr="00DC3374">
        <w:rPr>
          <w:rtl/>
        </w:rPr>
        <w:t>"</w:t>
      </w:r>
      <w:r w:rsidRPr="00DC3374">
        <w:rPr>
          <w:rFonts w:hint="eastAsia"/>
          <w:rtl/>
        </w:rPr>
        <w:t>ם</w:t>
      </w:r>
      <w:r w:rsidRPr="00DC3374">
        <w:rPr>
          <w:rtl/>
        </w:rPr>
        <w:t xml:space="preserve"> </w:t>
      </w:r>
      <w:r w:rsidRPr="00DC3374">
        <w:rPr>
          <w:rFonts w:hint="eastAsia"/>
          <w:rtl/>
        </w:rPr>
        <w:t>בחודשים</w:t>
      </w:r>
      <w:r w:rsidRPr="00DC3374">
        <w:rPr>
          <w:rtl/>
        </w:rPr>
        <w:t xml:space="preserve"> </w:t>
      </w:r>
      <w:r w:rsidRPr="00DC3374">
        <w:rPr>
          <w:rFonts w:hint="eastAsia"/>
          <w:rtl/>
        </w:rPr>
        <w:t>פברואר</w:t>
      </w:r>
      <w:r w:rsidRPr="00DC3374">
        <w:rPr>
          <w:rFonts w:hint="cs"/>
          <w:rtl/>
        </w:rPr>
        <w:t xml:space="preserve"> </w:t>
      </w:r>
      <w:r w:rsidRPr="00DC3374">
        <w:rPr>
          <w:rFonts w:hint="eastAsia"/>
          <w:rtl/>
        </w:rPr>
        <w:t>עד</w:t>
      </w:r>
      <w:r w:rsidRPr="00DC3374">
        <w:rPr>
          <w:rtl/>
        </w:rPr>
        <w:t xml:space="preserve"> </w:t>
      </w:r>
      <w:r w:rsidRPr="00DC3374">
        <w:rPr>
          <w:rFonts w:hint="eastAsia"/>
          <w:rtl/>
        </w:rPr>
        <w:t>אוקטובר</w:t>
      </w:r>
      <w:r w:rsidRPr="00DC3374">
        <w:rPr>
          <w:rtl/>
        </w:rPr>
        <w:t xml:space="preserve"> 2020 עולה כי </w:t>
      </w:r>
      <w:r w:rsidRPr="00DC3374">
        <w:rPr>
          <w:rFonts w:hint="eastAsia"/>
          <w:rtl/>
        </w:rPr>
        <w:t>המשרד</w:t>
      </w:r>
      <w:r w:rsidRPr="00DC3374">
        <w:rPr>
          <w:rtl/>
        </w:rPr>
        <w:t xml:space="preserve"> </w:t>
      </w:r>
      <w:r w:rsidRPr="00DC3374">
        <w:rPr>
          <w:rFonts w:hint="eastAsia"/>
          <w:rtl/>
        </w:rPr>
        <w:t>הפיץ</w:t>
      </w:r>
      <w:r w:rsidRPr="00DC3374">
        <w:rPr>
          <w:rFonts w:hint="cs"/>
          <w:rtl/>
        </w:rPr>
        <w:t xml:space="preserve"> פרסומים</w:t>
      </w:r>
      <w:r w:rsidRPr="00DC3374">
        <w:rPr>
          <w:rtl/>
        </w:rPr>
        <w:t xml:space="preserve"> ייעודיים לציבור הערבי ולציבור החרדי, בדגש על חגים ומועדים בהתאם ללוח השנה, ותוך מתן תשומת לב </w:t>
      </w:r>
      <w:r w:rsidRPr="00DC3374">
        <w:rPr>
          <w:rFonts w:hint="eastAsia"/>
          <w:rtl/>
        </w:rPr>
        <w:t>להיבטים</w:t>
      </w:r>
      <w:r w:rsidRPr="00DC3374">
        <w:rPr>
          <w:rtl/>
        </w:rPr>
        <w:t xml:space="preserve"> </w:t>
      </w:r>
      <w:r w:rsidRPr="00DC3374">
        <w:rPr>
          <w:rFonts w:hint="eastAsia"/>
          <w:rtl/>
        </w:rPr>
        <w:t>תרבותיים</w:t>
      </w:r>
      <w:r w:rsidRPr="00DC3374">
        <w:rPr>
          <w:rtl/>
        </w:rPr>
        <w:t xml:space="preserve"> </w:t>
      </w:r>
      <w:r w:rsidRPr="00DC3374">
        <w:rPr>
          <w:rFonts w:hint="eastAsia"/>
          <w:rtl/>
        </w:rPr>
        <w:t>וחברתיים</w:t>
      </w:r>
      <w:r w:rsidRPr="00DC3374">
        <w:rPr>
          <w:rtl/>
        </w:rPr>
        <w:t xml:space="preserve">. </w:t>
      </w:r>
    </w:p>
    <w:p w:rsidR="0092532A" w:rsidRPr="00DC3374" w:rsidP="00E81188" w14:paraId="64028CFF" w14:textId="57ADC33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50E7EF2C" w14:textId="77777777">
      <w:pPr>
        <w:spacing w:line="269" w:lineRule="auto"/>
        <w:rPr>
          <w:rtl/>
        </w:rPr>
      </w:pPr>
      <w:r w:rsidRPr="00DC3374">
        <w:rPr>
          <w:rFonts w:hint="cs"/>
          <w:rtl/>
        </w:rPr>
        <w:t xml:space="preserve">כך למשל, במחצית השנייה של מרץ 2020 הופץ פרסום ייעודי לציבור הערבי בנושא יום האם, אף שלא מדובר בחג דתי, בשל מעמדו המיוחד בקרב ציבור זה. בדומה, הופץ פרסום ייעודי לחברה החרדית באוגוסט 2020, בתקופת "בין הזמנים" שבמהלכה חוזרים תלמידי הישיבות לבתיהם, וכן עם החזרה ללימודים במוסדות החינוך. כמו כן הופצו פרסומים ייעודיים לציבור הערבי לחודש הרמדאן; לעיד אל-פיטר, החג המסיים את צום הרמדאן; לקראת חג הקורבן; וכן לרגל חג הפסחא. לציבור החרדי הופצו פרסומים ייעודיים לחג הפסח; ל"ג בעומר; שבועות; וחגי תשרי. </w:t>
      </w:r>
    </w:p>
    <w:p w:rsidR="0092532A" w:rsidRPr="00DC3374" w:rsidP="00E81188" w14:paraId="6CCF5156" w14:textId="5382D9C6">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92532A" w:rsidRPr="00DC3374" w:rsidP="00E81188" w14:paraId="68702EBA" w14:textId="77777777">
      <w:pPr>
        <w:spacing w:line="269" w:lineRule="auto"/>
        <w:rPr>
          <w:b/>
          <w:bCs/>
          <w:rtl/>
        </w:rPr>
      </w:pPr>
      <w:r w:rsidRPr="00DC3374">
        <w:rPr>
          <w:rFonts w:hint="cs"/>
          <w:b/>
          <w:bCs/>
          <w:rtl/>
        </w:rPr>
        <w:t>עם זאת, חתונות ואירועים קהילתיים נחשבים, על פי דוח הוועדה המייעצת למל"ל, כ"אירועים מקדמי הדבקה". לאירועים אלה מקום מרכזי בקרב החברה הערבית והחברה החרדית בשל מאפייניהן הקהילתיים של אוכלוסיות אלו. "עונת החתונות" בחברה הערבית החלה עם סיום חודש הרמדאן בסוף חודש מאי 2020, ואולם משרד הבריאות הפיץ מסע פרסום ייעודי בנושא החתונות במחצית השנייה של ספטמבר 2020. פעולות ההסברה לציבור החרדי, על פי נתוני מסעות הפרסום שביצע משרד הבריאות, לא כללו התייחסות מיוחדת לנושא החתונות והאירועים הקהילתיים במהלך תקופת הביקורת, ומסע פרסום ראשון בנושא הופץ לראשונה בנובמבר 2020. כמו כן מנתוני מסעות הפרסום של פקע"ר עולה כי פקע"ר לא הפיץ מסעות פרסום בנושא זה, פרט להודעה אחת שפורסמה בעמוד הפייסבוק של פקע"ר בסוף אוגוסט 2020.</w:t>
      </w:r>
      <w:r w:rsidRPr="00DC3374">
        <w:rPr>
          <w:rFonts w:hint="cs"/>
          <w:rtl/>
        </w:rPr>
        <w:t xml:space="preserve"> </w:t>
      </w:r>
      <w:r w:rsidRPr="00DC3374">
        <w:rPr>
          <w:rFonts w:hint="eastAsia"/>
          <w:b/>
          <w:bCs/>
          <w:rtl/>
        </w:rPr>
        <w:t>המענה</w:t>
      </w:r>
      <w:r w:rsidRPr="00DC3374">
        <w:rPr>
          <w:b/>
          <w:bCs/>
          <w:rtl/>
        </w:rPr>
        <w:t xml:space="preserve"> ההסברתי בדבר אירועי</w:t>
      </w:r>
      <w:r w:rsidRPr="00DC3374">
        <w:rPr>
          <w:rFonts w:hint="cs"/>
          <w:b/>
          <w:bCs/>
          <w:rtl/>
        </w:rPr>
        <w:t xml:space="preserve"> החתונות</w:t>
      </w:r>
      <w:r w:rsidRPr="00DC3374">
        <w:rPr>
          <w:b/>
          <w:bCs/>
          <w:rtl/>
        </w:rPr>
        <w:t xml:space="preserve"> שנחשבים "מקדמי </w:t>
      </w:r>
      <w:r w:rsidRPr="00DC3374">
        <w:rPr>
          <w:rFonts w:hint="eastAsia"/>
          <w:b/>
          <w:bCs/>
          <w:rtl/>
        </w:rPr>
        <w:t>הדבקה</w:t>
      </w:r>
      <w:r w:rsidRPr="00DC3374">
        <w:rPr>
          <w:b/>
          <w:bCs/>
          <w:rtl/>
        </w:rPr>
        <w:t xml:space="preserve">" </w:t>
      </w:r>
      <w:r w:rsidRPr="00DC3374">
        <w:rPr>
          <w:rFonts w:hint="eastAsia"/>
          <w:b/>
          <w:bCs/>
          <w:rtl/>
        </w:rPr>
        <w:t>היה</w:t>
      </w:r>
      <w:r w:rsidRPr="00DC3374">
        <w:rPr>
          <w:b/>
          <w:bCs/>
          <w:rtl/>
        </w:rPr>
        <w:t xml:space="preserve"> </w:t>
      </w:r>
      <w:r w:rsidRPr="00DC3374">
        <w:rPr>
          <w:rFonts w:hint="eastAsia"/>
          <w:b/>
          <w:bCs/>
          <w:rtl/>
        </w:rPr>
        <w:t>אפוא</w:t>
      </w:r>
      <w:r w:rsidRPr="00DC3374">
        <w:rPr>
          <w:b/>
          <w:bCs/>
          <w:rtl/>
        </w:rPr>
        <w:t xml:space="preserve"> </w:t>
      </w:r>
      <w:r w:rsidRPr="00DC3374">
        <w:rPr>
          <w:rFonts w:hint="eastAsia"/>
          <w:b/>
          <w:bCs/>
          <w:rtl/>
        </w:rPr>
        <w:t>חסר</w:t>
      </w:r>
      <w:r w:rsidRPr="00DC3374">
        <w:rPr>
          <w:b/>
          <w:bCs/>
          <w:rtl/>
        </w:rPr>
        <w:t>.</w:t>
      </w:r>
    </w:p>
    <w:p w:rsidR="0092532A" w:rsidRPr="00DC3374" w:rsidP="00E81188" w14:paraId="32BD715C" w14:textId="3A9C86C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P="00E81188" w14:paraId="28B29D75" w14:textId="3D3F8FDC">
      <w:pPr>
        <w:spacing w:line="269" w:lineRule="auto"/>
        <w:rPr>
          <w:rtl/>
        </w:rPr>
      </w:pPr>
      <w:r w:rsidRPr="00DC3374">
        <w:rPr>
          <w:rFonts w:hint="cs"/>
          <w:rtl/>
        </w:rPr>
        <w:t xml:space="preserve">פקע"ר מסר בתשובתו כי בנושא החתונות בחברה הערבית הוא ביצע מאוגוסט 2020 גם הסברה בשטח באמצעות חלוקת "הזמנה לחתונה" ותיווך את ההנחיות למשפחה המחתנת. </w:t>
      </w:r>
    </w:p>
    <w:p w:rsidR="00094DD9" w:rsidRPr="00DC3374" w:rsidP="00E81188" w14:paraId="4A7EC369" w14:textId="77777777">
      <w:pPr>
        <w:spacing w:line="269" w:lineRule="auto"/>
        <w:rPr>
          <w:rtl/>
        </w:rPr>
      </w:pPr>
    </w:p>
    <w:p w:rsidR="0092532A" w:rsidRPr="00DC3374" w:rsidP="00E81188" w14:paraId="674F4C78" w14:textId="500BA22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683595EC" w14:textId="77777777">
      <w:pPr>
        <w:spacing w:line="269" w:lineRule="auto"/>
        <w:rPr>
          <w:rtl/>
        </w:rPr>
      </w:pPr>
      <w:r w:rsidRPr="00DC3374">
        <w:rPr>
          <w:rFonts w:hint="cs"/>
          <w:b/>
          <w:bCs/>
          <w:rtl/>
        </w:rPr>
        <w:t>מומלץ כי גורמי ההסברה הממשלתיים, ובראשם מטה ההסברה הלאומי, יפעלו לוודא כי ההסברה לאוכלוסיות ייחודיות בשעת חירום תכלול התייחסות למאפיינים קהילתיים וחברתיים אשר יש בהם כדי להשפיע על היענותן של אוכלוסיות אלו להנחיות ההתגוננות.</w:t>
      </w:r>
    </w:p>
    <w:p w:rsidR="0092532A" w:rsidRPr="00DC3374" w:rsidP="00E81188" w14:paraId="6AC56203" w14:textId="77777777">
      <w:pPr>
        <w:spacing w:line="269" w:lineRule="auto"/>
        <w:rPr>
          <w:rtl/>
        </w:rPr>
      </w:pPr>
    </w:p>
    <w:p w:rsidR="0092532A" w:rsidRPr="00DC3374" w:rsidP="00E81188" w14:paraId="314E00C8" w14:textId="77777777">
      <w:pPr>
        <w:pStyle w:val="Heading4"/>
        <w:spacing w:before="0" w:line="269" w:lineRule="auto"/>
        <w:rPr>
          <w:rtl/>
        </w:rPr>
      </w:pPr>
      <w:r w:rsidRPr="00DC3374">
        <w:rPr>
          <w:rFonts w:hint="cs"/>
          <w:rtl/>
        </w:rPr>
        <w:t xml:space="preserve">תפיסת האיום </w:t>
      </w:r>
    </w:p>
    <w:p w:rsidR="0092532A" w:rsidRPr="00DC3374" w:rsidP="00E81188" w14:paraId="1880BD85" w14:textId="2D29EDB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094DD9" w14:paraId="1DF34806" w14:textId="1D9844A3">
      <w:pPr>
        <w:spacing w:line="269" w:lineRule="auto"/>
        <w:rPr>
          <w:rtl/>
        </w:rPr>
      </w:pPr>
      <w:r w:rsidRPr="00DC3374">
        <w:rPr>
          <w:rFonts w:hint="cs"/>
          <w:rtl/>
        </w:rPr>
        <w:t>במסגרת הסקר שערך משרד מבקר המדינה נבדקו עמדות הציבור בנוגע למידת הסיכון הנשקף ממגפת הקורונה. להלן תרשים המציג את ממצאי הסקר בנושא זה:</w:t>
      </w:r>
    </w:p>
    <w:p w:rsidR="0092532A" w:rsidRPr="00DC3374" w:rsidP="00E81188" w14:paraId="191EC435" w14:textId="1EA196D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4C59D74E" w14:textId="77777777">
      <w:pPr>
        <w:spacing w:line="269" w:lineRule="auto"/>
        <w:jc w:val="center"/>
        <w:rPr>
          <w:b/>
          <w:bCs/>
          <w:rtl/>
        </w:rPr>
      </w:pPr>
      <w:r w:rsidRPr="00DC3374">
        <w:rPr>
          <w:rFonts w:hint="eastAsia"/>
          <w:b/>
          <w:bCs/>
          <w:rtl/>
        </w:rPr>
        <w:t>תרשים</w:t>
      </w:r>
      <w:r w:rsidRPr="00DC3374">
        <w:rPr>
          <w:b/>
          <w:bCs/>
          <w:rtl/>
        </w:rPr>
        <w:t xml:space="preserve"> </w:t>
      </w:r>
      <w:r w:rsidRPr="00DC3374">
        <w:rPr>
          <w:rFonts w:hint="cs"/>
          <w:b/>
          <w:bCs/>
          <w:rtl/>
        </w:rPr>
        <w:t>54</w:t>
      </w:r>
      <w:r w:rsidRPr="00DC3374">
        <w:rPr>
          <w:b/>
          <w:bCs/>
          <w:rtl/>
        </w:rPr>
        <w:t xml:space="preserve">: </w:t>
      </w:r>
      <w:r w:rsidRPr="00DC3374">
        <w:rPr>
          <w:rFonts w:hint="eastAsia"/>
          <w:b/>
          <w:bCs/>
          <w:rtl/>
        </w:rPr>
        <w:t>תפיסת</w:t>
      </w:r>
      <w:r w:rsidRPr="00DC3374">
        <w:rPr>
          <w:b/>
          <w:bCs/>
          <w:rtl/>
        </w:rPr>
        <w:t xml:space="preserve"> </w:t>
      </w:r>
      <w:r w:rsidRPr="00DC3374">
        <w:rPr>
          <w:rFonts w:hint="eastAsia"/>
          <w:b/>
          <w:bCs/>
          <w:rtl/>
        </w:rPr>
        <w:t>הציבור</w:t>
      </w:r>
      <w:r w:rsidRPr="00DC3374">
        <w:rPr>
          <w:b/>
          <w:bCs/>
          <w:rtl/>
        </w:rPr>
        <w:t xml:space="preserve"> בדבר הסכנה שבנגיף הקורונה*</w:t>
      </w:r>
    </w:p>
    <w:p w:rsidR="0092532A" w:rsidRPr="00DC3374" w:rsidP="00E81188" w14:paraId="2DA5B210" w14:textId="77777777">
      <w:pPr>
        <w:spacing w:line="269" w:lineRule="auto"/>
        <w:jc w:val="center"/>
        <w:rPr>
          <w:b/>
          <w:bCs/>
          <w:rtl/>
        </w:rPr>
      </w:pPr>
      <w:r w:rsidRPr="00DC3374">
        <w:rPr>
          <w:noProof/>
        </w:rPr>
        <w:drawing>
          <wp:inline distT="0" distB="0" distL="0" distR="0">
            <wp:extent cx="5162550" cy="4053055"/>
            <wp:effectExtent l="0" t="0" r="0" b="5080"/>
            <wp:docPr id="1743882421" name="תמונה 1743882421" descr="C:\Users\michal_re\AppData\Local\Microsoft\Windows\INetCache\Content.Word\MR-Tarshim-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93014" name="Picture 48" descr="C:\Users\michal_re\AppData\Local\Microsoft\Windows\INetCache\Content.Word\MR-Tarshim-54.jpg"/>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71089" cy="4059759"/>
                    </a:xfrm>
                    <a:prstGeom prst="rect">
                      <a:avLst/>
                    </a:prstGeom>
                    <a:noFill/>
                    <a:ln>
                      <a:noFill/>
                    </a:ln>
                  </pic:spPr>
                </pic:pic>
              </a:graphicData>
            </a:graphic>
          </wp:inline>
        </w:drawing>
      </w:r>
    </w:p>
    <w:p w:rsidR="0092532A" w:rsidRPr="00DC3374" w:rsidP="00E81188" w14:paraId="48ACEAC6" w14:textId="77777777">
      <w:pPr>
        <w:spacing w:line="269" w:lineRule="auto"/>
        <w:rPr>
          <w:szCs w:val="20"/>
        </w:rPr>
      </w:pPr>
      <w:r w:rsidRPr="00DC3374">
        <w:rPr>
          <w:rFonts w:hint="cs"/>
          <w:szCs w:val="20"/>
          <w:rtl/>
        </w:rPr>
        <w:t>על פי הסקר מדצמבר 2020, בעיבוד משרד מבקר המדינה.</w:t>
      </w:r>
    </w:p>
    <w:p w:rsidR="0092532A" w:rsidRPr="00DC3374" w:rsidP="00E81188" w14:paraId="2CB79B67" w14:textId="77777777">
      <w:pPr>
        <w:spacing w:line="269" w:lineRule="auto"/>
        <w:rPr>
          <w:szCs w:val="20"/>
          <w:rtl/>
        </w:rPr>
      </w:pPr>
      <w:r w:rsidRPr="00DC3374">
        <w:rPr>
          <w:rFonts w:hint="cs"/>
          <w:szCs w:val="20"/>
          <w:rtl/>
        </w:rPr>
        <w:t>* נוסח ההיגד שהוצג לנשאלים במסגרת הסקר: "משרד הבריאות מגזים, הקורונה לא כל-כך מסוכנת כמו שהם אומרים".</w:t>
      </w:r>
    </w:p>
    <w:p w:rsidR="0092532A" w:rsidRPr="00DC3374" w:rsidP="00E81188" w14:paraId="1AD1805C" w14:textId="2F3618B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7235F6E7" w14:textId="77777777">
      <w:pPr>
        <w:spacing w:line="269" w:lineRule="auto"/>
        <w:rPr>
          <w:b/>
          <w:bCs/>
          <w:rtl/>
        </w:rPr>
      </w:pPr>
      <w:r w:rsidRPr="00DC3374">
        <w:rPr>
          <w:rFonts w:hint="cs"/>
          <w:rtl/>
        </w:rPr>
        <w:t xml:space="preserve">מן הסקר עולה כי בהשוואה לחברה היהודית הכללית, החברה החרדית והחברה הערבית תופסות את הקורונה כמאיימת במידה פחותה: 11%, 22% ו-41% מהנשאלים בהתאמה, סברו כי משרד הבריאות מפריז במידת הסיכון שהוא מייחס למגפת הקורונה. </w:t>
      </w:r>
    </w:p>
    <w:p w:rsidR="0092532A" w:rsidRPr="00DC3374" w:rsidP="00E81188" w14:paraId="1B4DDF93" w14:textId="0650D57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F76146" w14:paraId="1586D45C" w14:textId="0AB129D0">
      <w:pPr>
        <w:spacing w:line="269" w:lineRule="auto"/>
        <w:rPr>
          <w:b/>
          <w:bCs/>
          <w:rtl/>
        </w:rPr>
      </w:pPr>
      <w:r w:rsidRPr="00DC3374">
        <w:rPr>
          <w:rFonts w:hint="cs"/>
          <w:b/>
          <w:bCs/>
          <w:rtl/>
        </w:rPr>
        <w:t xml:space="preserve">נמצא כי משרד הבריאות הקדיש חלק מפעולות ההסברה לצורך הבהרת האיום הנשקף ממגפת הקורונה: ביוני 2020 הפיץ המשרד פרסום ובו עדויות אישיות של מחלימים על נזקי הקורונה, אולם פרסום זה לא הופץ באמצעי ההסברה הנפוצים בחברה החרדית, והוא הופץ לחברה הערבית בהיקף תקציבי מצומצם בשיעור של כ-1% מהתקציב הכולל של מסע הפרסום; ביולי 2020 הפיץ משרד הבריאות עלון לחברה החרדית ובו טור אישי של מחלים, ובמחצית השנייה של אוגוסט 2020 הפיץ המשרד לחברה החרדית עיתון בנושא הקורונה שכלל עדויות של מחלימים; פרסום נוסף שהציג עדויות של חולי קורונה הופץ לכלל האוכלוסייה באוקטובר 2020, אולם הוא הופץ לחברה החרדית בהיקף תקציבי מצומצם בשיעור של כ-2% מהתקציב הכולל של מסע </w:t>
      </w:r>
      <w:r w:rsidRPr="00DC3374">
        <w:rPr>
          <w:rFonts w:hint="cs"/>
          <w:b/>
          <w:bCs/>
          <w:rtl/>
        </w:rPr>
        <w:t xml:space="preserve">הפרסום, ולחברה הערבית הוא הופץ במידה רבה יותר אך קטנה בהשוואה לחלקם של הערבים באוכלוסייה (בתקציב ששיעורו כ-8% מהתקציב הכולל של מסע הפרסום). </w:t>
      </w:r>
    </w:p>
    <w:p w:rsidR="0092532A" w:rsidRPr="00DC3374" w:rsidP="00E81188" w14:paraId="708D8B9C" w14:textId="46DA147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0131D6BD" w14:textId="77777777">
      <w:pPr>
        <w:spacing w:line="269" w:lineRule="auto"/>
        <w:rPr>
          <w:b/>
          <w:bCs/>
          <w:rtl/>
        </w:rPr>
      </w:pPr>
      <w:r w:rsidRPr="00DC3374">
        <w:rPr>
          <w:rFonts w:hint="cs"/>
          <w:b/>
          <w:bCs/>
          <w:rtl/>
        </w:rPr>
        <w:t>יוצא אפוא כי בקרב החברה החרדית והחברה הערבית רווחו תפיסות בדבר סיכון נמוך הנשקף ממגפת הקורונה, אולם משרד הבריאות הקצה לשתי האוכלוסיות האלה חלק קטן ממשאביו למימון מסעות פרסום שמטרתם הבהרת האיום.</w:t>
      </w:r>
    </w:p>
    <w:p w:rsidR="0092532A" w:rsidRPr="00DC3374" w:rsidP="00E81188" w14:paraId="7007B5E6" w14:textId="04A9D7E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72DA1CF5" w14:textId="77777777">
      <w:pPr>
        <w:spacing w:line="269" w:lineRule="auto"/>
        <w:rPr>
          <w:rtl/>
        </w:rPr>
      </w:pPr>
      <w:r w:rsidRPr="00DC3374">
        <w:rPr>
          <w:rFonts w:hint="cs"/>
          <w:rtl/>
        </w:rPr>
        <w:t xml:space="preserve">משרד הבריאות מסר בתשובתו כי החברה החרדית אינה מקשה אחת, וכי הציבור הליטאי וחלק מהציבור החסידי אימצו את עמדת משרד הבריאות וראו בקורונה נגיף מסוכן. עם זאת יצוין כי על </w:t>
      </w:r>
      <w:r w:rsidRPr="00DC3374">
        <w:rPr>
          <w:rtl/>
        </w:rPr>
        <w:t>פי ממצאי סקר משרד מבקר המדינה וממצאי סקר משרד הבריאות מסוף אוקטובר 2020, אין פער מהותי בין כלל הציבור החרדי ובין הציבור הליטאי בנושא זה</w:t>
      </w:r>
      <w:r>
        <w:rPr>
          <w:rStyle w:val="FootnoteReference1"/>
          <w:rtl/>
        </w:rPr>
        <w:footnoteReference w:id="73"/>
      </w:r>
      <w:r w:rsidRPr="00DC3374">
        <w:rPr>
          <w:rFonts w:hint="cs"/>
          <w:rtl/>
        </w:rPr>
        <w:t xml:space="preserve">. </w:t>
      </w:r>
    </w:p>
    <w:p w:rsidR="0092532A" w:rsidRPr="00DC3374" w:rsidP="00E81188" w14:paraId="3495D7AB" w14:textId="277C16A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737F8DEA" w14:textId="77777777">
      <w:pPr>
        <w:spacing w:line="269" w:lineRule="auto"/>
        <w:rPr>
          <w:b/>
          <w:bCs/>
          <w:rtl/>
        </w:rPr>
      </w:pPr>
      <w:r w:rsidRPr="00DC3374">
        <w:rPr>
          <w:rFonts w:hint="cs"/>
          <w:b/>
          <w:bCs/>
          <w:rtl/>
        </w:rPr>
        <w:t>מומלץ כי גורמי ההסברה הממשלתיים, ובראשם מטה ההסברה הלאומי, יפעלו לוודא כי ההסברה לאוכלוסיות ייחודיות בשעת חירום תכלול התייחסות לתפיסות הרווחות בקהילה ואשר יש בהן כדי להשפיע על היענותן של אוכלוסיות אלו להנחיות ההתגוננות.</w:t>
      </w:r>
    </w:p>
    <w:p w:rsidR="0092532A" w:rsidRPr="00DC3374" w:rsidP="00E81188" w14:paraId="7F743F31" w14:textId="77777777">
      <w:pPr>
        <w:spacing w:line="269" w:lineRule="auto"/>
        <w:rPr>
          <w:rtl/>
        </w:rPr>
      </w:pPr>
    </w:p>
    <w:p w:rsidR="0092532A" w:rsidRPr="00DC3374" w:rsidP="00E81188" w14:paraId="29A93E4D" w14:textId="77777777">
      <w:pPr>
        <w:pStyle w:val="Heading4"/>
        <w:spacing w:before="0" w:line="269" w:lineRule="auto"/>
        <w:rPr>
          <w:rtl/>
        </w:rPr>
      </w:pPr>
      <w:r w:rsidRPr="00DC3374">
        <w:rPr>
          <w:rFonts w:hint="cs"/>
          <w:rtl/>
        </w:rPr>
        <w:t xml:space="preserve">הקושי להתמיד בשמירה על הנחיות הקורונה לאורך זמן </w:t>
      </w:r>
    </w:p>
    <w:p w:rsidR="0092532A" w:rsidRPr="00DC3374" w:rsidP="00E81188" w14:paraId="5CC7E16B" w14:textId="0DFEF8D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7B1FB0B7" w14:textId="77777777">
      <w:pPr>
        <w:spacing w:line="269" w:lineRule="auto"/>
        <w:rPr>
          <w:rtl/>
        </w:rPr>
      </w:pPr>
      <w:r w:rsidRPr="00DC3374">
        <w:rPr>
          <w:rFonts w:hint="cs"/>
          <w:rtl/>
        </w:rPr>
        <w:t>במסגרת הסקר נבדקה מידת הקושי של הציבור בישראל להתמיד בשמירה על ההגבלות שהוטלו עליו במסגרת הנחיות ההתגוננות מפני נגיף הקורונה. להלן תרשים המציג את תוצאות הסקר בנושא זה, בפילוח לפי קבוצות אוכלוסייה:</w:t>
      </w:r>
      <w:r w:rsidRPr="00DC3374">
        <w:rPr>
          <w:rtl/>
        </w:rPr>
        <w:br w:type="page"/>
      </w:r>
    </w:p>
    <w:p w:rsidR="0092532A" w:rsidRPr="00DC3374" w:rsidP="00E81188" w14:paraId="09CB5D70" w14:textId="424813B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59CC3607" w14:textId="77777777">
      <w:pPr>
        <w:spacing w:line="269" w:lineRule="auto"/>
        <w:jc w:val="center"/>
        <w:rPr>
          <w:rtl/>
        </w:rPr>
      </w:pPr>
      <w:r w:rsidRPr="00DC3374">
        <w:rPr>
          <w:rFonts w:hint="cs"/>
          <w:b/>
          <w:bCs/>
          <w:rtl/>
        </w:rPr>
        <w:t>תרשים 55: הקושי להתמיד בשמירה על הנחיות הקורונה לאורך זמן</w:t>
      </w:r>
    </w:p>
    <w:p w:rsidR="0092532A" w:rsidRPr="00DC3374" w:rsidP="00E81188" w14:paraId="0A41880F" w14:textId="77777777">
      <w:pPr>
        <w:spacing w:line="269" w:lineRule="auto"/>
        <w:jc w:val="center"/>
        <w:rPr>
          <w:rtl/>
        </w:rPr>
      </w:pPr>
      <w:r w:rsidRPr="00DC3374">
        <w:rPr>
          <w:rFonts w:hint="eastAsia"/>
          <w:b/>
          <w:bCs/>
          <w:rtl/>
        </w:rPr>
        <w:t>בפילוח</w:t>
      </w:r>
      <w:r w:rsidRPr="00DC3374">
        <w:rPr>
          <w:b/>
          <w:bCs/>
          <w:rtl/>
        </w:rPr>
        <w:t xml:space="preserve"> </w:t>
      </w:r>
      <w:r w:rsidRPr="00DC3374">
        <w:rPr>
          <w:rFonts w:hint="eastAsia"/>
          <w:b/>
          <w:bCs/>
          <w:rtl/>
        </w:rPr>
        <w:t>לפי</w:t>
      </w:r>
      <w:r w:rsidRPr="00DC3374">
        <w:rPr>
          <w:b/>
          <w:bCs/>
          <w:rtl/>
        </w:rPr>
        <w:t xml:space="preserve"> </w:t>
      </w:r>
      <w:r w:rsidRPr="00DC3374">
        <w:rPr>
          <w:rFonts w:hint="eastAsia"/>
          <w:b/>
          <w:bCs/>
          <w:rtl/>
        </w:rPr>
        <w:t>קבוצות</w:t>
      </w:r>
      <w:r w:rsidRPr="00DC3374">
        <w:rPr>
          <w:b/>
          <w:bCs/>
          <w:rtl/>
        </w:rPr>
        <w:t xml:space="preserve"> </w:t>
      </w:r>
      <w:r w:rsidRPr="00DC3374">
        <w:rPr>
          <w:rFonts w:hint="eastAsia"/>
          <w:b/>
          <w:bCs/>
          <w:rtl/>
        </w:rPr>
        <w:t>אוכלוסייה</w:t>
      </w:r>
      <w:r w:rsidRPr="00DC3374">
        <w:rPr>
          <w:b/>
          <w:bCs/>
          <w:rtl/>
        </w:rPr>
        <w:t>*</w:t>
      </w:r>
    </w:p>
    <w:p w:rsidR="0092532A" w:rsidRPr="00DC3374" w:rsidP="00E81188" w14:paraId="0F0D4EF1" w14:textId="77777777">
      <w:pPr>
        <w:spacing w:line="269" w:lineRule="auto"/>
        <w:jc w:val="center"/>
        <w:rPr>
          <w:rtl/>
        </w:rPr>
      </w:pPr>
      <w:r w:rsidRPr="00DC3374">
        <w:rPr>
          <w:noProof/>
        </w:rPr>
        <w:drawing>
          <wp:inline distT="0" distB="0" distL="0" distR="0">
            <wp:extent cx="5057775" cy="3972368"/>
            <wp:effectExtent l="0" t="0" r="0" b="9525"/>
            <wp:docPr id="1743882422" name="תמונה 1743882422" descr="C:\Users\michal_re\AppData\Local\Microsoft\Windows\INetCache\Content.Word\MR-Tarshim-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7803" name="Picture 50" descr="C:\Users\michal_re\AppData\Local\Microsoft\Windows\INetCache\Content.Word\MR-Tarshim-55.jpg"/>
                    <pic:cNvPicPr>
                      <a:picLocks noChangeAspect="1" noChangeArrowheads="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63594" cy="3976939"/>
                    </a:xfrm>
                    <a:prstGeom prst="rect">
                      <a:avLst/>
                    </a:prstGeom>
                    <a:noFill/>
                    <a:ln>
                      <a:noFill/>
                    </a:ln>
                  </pic:spPr>
                </pic:pic>
              </a:graphicData>
            </a:graphic>
          </wp:inline>
        </w:drawing>
      </w:r>
    </w:p>
    <w:p w:rsidR="0092532A" w:rsidRPr="00DC3374" w:rsidP="00E81188" w14:paraId="0C9A1C77" w14:textId="77777777">
      <w:pPr>
        <w:spacing w:line="269" w:lineRule="auto"/>
        <w:rPr>
          <w:szCs w:val="20"/>
        </w:rPr>
      </w:pPr>
      <w:r w:rsidRPr="00DC3374">
        <w:rPr>
          <w:rFonts w:hint="cs"/>
          <w:szCs w:val="20"/>
          <w:rtl/>
        </w:rPr>
        <w:t>על פי נתוני הסקר מדצמבר 2020, בעיבוד משרד מבקר המדינה.</w:t>
      </w:r>
    </w:p>
    <w:p w:rsidR="0092532A" w:rsidRPr="00DC3374" w:rsidP="00E266F2" w14:paraId="0F42BB74" w14:textId="77777777">
      <w:pPr>
        <w:spacing w:line="269" w:lineRule="auto"/>
        <w:rPr>
          <w:szCs w:val="20"/>
          <w:rtl/>
        </w:rPr>
      </w:pPr>
      <w:r w:rsidRPr="00DC3374">
        <w:rPr>
          <w:rFonts w:hint="cs"/>
          <w:szCs w:val="20"/>
          <w:rtl/>
        </w:rPr>
        <w:t>* נוסח ההיגד שהוצג לנשאלים במסגרת הסקר: "קשה לך להתמיד ולשמור על ההנחיות לאורך זמן".</w:t>
      </w:r>
    </w:p>
    <w:p w:rsidR="0092532A" w:rsidRPr="00DC3374" w:rsidP="00E81188" w14:paraId="0E1E09CA" w14:textId="4338041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316A4A26" w14:textId="77777777">
      <w:pPr>
        <w:spacing w:line="269" w:lineRule="auto"/>
        <w:rPr>
          <w:rtl/>
        </w:rPr>
      </w:pPr>
      <w:r w:rsidRPr="00DC3374">
        <w:rPr>
          <w:rFonts w:hint="cs"/>
          <w:b/>
          <w:bCs/>
          <w:rtl/>
        </w:rPr>
        <w:t xml:space="preserve">מן התרשים עולה כי הנשאלים מקרב החברה הערבית ומקרב החברה החרדית </w:t>
      </w:r>
      <w:r w:rsidRPr="00DC3374">
        <w:rPr>
          <w:rFonts w:hint="eastAsia"/>
          <w:b/>
          <w:bCs/>
          <w:rtl/>
        </w:rPr>
        <w:t>התקשו</w:t>
      </w:r>
      <w:r w:rsidRPr="00DC3374">
        <w:rPr>
          <w:b/>
          <w:bCs/>
          <w:rtl/>
        </w:rPr>
        <w:t xml:space="preserve"> </w:t>
      </w:r>
      <w:r w:rsidRPr="00DC3374">
        <w:rPr>
          <w:rFonts w:hint="eastAsia"/>
          <w:b/>
          <w:bCs/>
          <w:rtl/>
        </w:rPr>
        <w:t>יותר</w:t>
      </w:r>
      <w:r w:rsidRPr="00DC3374">
        <w:rPr>
          <w:rFonts w:hint="cs"/>
          <w:b/>
          <w:bCs/>
          <w:rtl/>
        </w:rPr>
        <w:t xml:space="preserve"> להתמיד בשמירה על ההנחיות לאורך זמן, בהשוואה למשיבים מהחברה היהודית הכללית (44%, 35% ו-24%, בהתאמה). ממצאים אלה עולים בקנה אחד עם האמור לעיל בדבר הקשיים והמאפיינים הייחודיים של החברה הערבית והחברה החרדית, אשר באו לידי ביטוי באופן מוגבר במהלך משבר הקורונה.</w:t>
      </w:r>
      <w:r w:rsidRPr="00DC3374">
        <w:rPr>
          <w:rFonts w:hint="cs"/>
          <w:rtl/>
        </w:rPr>
        <w:t xml:space="preserve"> </w:t>
      </w:r>
    </w:p>
    <w:p w:rsidR="0092532A" w:rsidRPr="00DC3374" w:rsidP="00E81188" w14:paraId="55AB5D62" w14:textId="77777777">
      <w:pPr>
        <w:spacing w:line="269" w:lineRule="auto"/>
        <w:jc w:val="center"/>
        <w:rPr>
          <w:rFonts w:ascii="Arial" w:hAnsi="Arial" w:cs="Arial"/>
          <w:sz w:val="36"/>
          <w:rtl/>
        </w:rPr>
      </w:pPr>
      <w:r w:rsidRPr="00DC3374">
        <w:rPr>
          <w:rFonts w:ascii="Segoe UI Symbol" w:hAnsi="Segoe UI Symbol" w:cs="Segoe UI Symbol" w:hint="cs"/>
          <w:sz w:val="36"/>
          <w:rtl/>
        </w:rPr>
        <w:t>✰</w:t>
      </w:r>
    </w:p>
    <w:p w:rsidR="0092532A" w:rsidRPr="00DC3374" w:rsidP="00E81188" w14:paraId="2A2A60AE" w14:textId="63B16C1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36CBB227" w14:textId="6C4492EE">
      <w:pPr>
        <w:spacing w:line="269" w:lineRule="auto"/>
        <w:rPr>
          <w:rtl/>
        </w:rPr>
      </w:pPr>
      <w:r w:rsidRPr="00DC3374">
        <w:rPr>
          <w:rFonts w:hint="cs"/>
          <w:b/>
          <w:bCs/>
          <w:rtl/>
        </w:rPr>
        <w:t xml:space="preserve">מכל האמור עולה כי במהלך משבר הקורונה השקיע משרד הבריאות מאמץ כדי לספק לחברה הערבית ולחברה החרדית הסברה מקיפה המותאמת לדפוסי צריכת המידע של אוכלוסיות אלו וכן לשפה, לתרבות ולמנהגים המקובלים בהן. עם זאת, המשרד החל לתת את המענה ההסברתי הדרוש בקרב האוכלוסייה הערבית והחרדית במהלך המחצית השנייה של מרץ 2020, ולא מייד לאחר פרוץ המגפה בעולם, בינואר 2020. על רקע זה, </w:t>
      </w:r>
      <w:r w:rsidRPr="00DC3374" w:rsidR="00F300C3">
        <w:rPr>
          <w:rFonts w:hint="cs"/>
          <w:b/>
          <w:bCs/>
          <w:rtl/>
        </w:rPr>
        <w:t xml:space="preserve">בחודשים האמורים </w:t>
      </w:r>
      <w:r w:rsidR="00F300C3">
        <w:rPr>
          <w:rFonts w:hint="cs"/>
          <w:b/>
          <w:bCs/>
          <w:rtl/>
        </w:rPr>
        <w:t>ו</w:t>
      </w:r>
      <w:r w:rsidRPr="00DC3374">
        <w:rPr>
          <w:rFonts w:hint="cs"/>
          <w:b/>
          <w:bCs/>
          <w:rtl/>
        </w:rPr>
        <w:t>בפרט במהלך תקופת ההתרעה לקראת משבר הקורונה ובשלבי המשבר הראשונים</w:t>
      </w:r>
      <w:r w:rsidR="00F300C3">
        <w:rPr>
          <w:rFonts w:hint="cs"/>
          <w:b/>
          <w:bCs/>
          <w:rtl/>
        </w:rPr>
        <w:t>,</w:t>
      </w:r>
      <w:r w:rsidRPr="00DC3374">
        <w:rPr>
          <w:rFonts w:hint="cs"/>
          <w:b/>
          <w:bCs/>
          <w:rtl/>
        </w:rPr>
        <w:t xml:space="preserve"> נוצרו פערי מידע בקרב אוכלוסיות אלו. לצורך השלמת הפערים נעזר משרד הבריאות ביועצי הסברה חיצוניים, המומחים לחברה הערבית ולחברה החרדית, ובסיועם התאים את אמצעי ההסברה והמסרים. עם זאת, היקף ההסברה לשתי האוכלוסיות ומגוון אמצעי ההסברה לחברה הערבית היו מצומצמים יחסית, וחסרו פעולות הסברה המתייחסות למאפיינים ולקשיים הייחודיים של שתי האוכלוסיות. </w:t>
      </w:r>
    </w:p>
    <w:p w:rsidR="0092532A" w:rsidRPr="00DC3374" w:rsidP="00E81188" w14:paraId="3F7E4BD3" w14:textId="40B0A91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6B2FA655" w14:textId="77777777">
      <w:pPr>
        <w:spacing w:line="269" w:lineRule="auto"/>
        <w:rPr>
          <w:rtl/>
        </w:rPr>
      </w:pPr>
      <w:r w:rsidRPr="00DC3374">
        <w:rPr>
          <w:rFonts w:hint="cs"/>
          <w:rtl/>
        </w:rPr>
        <w:t xml:space="preserve">מטה ההסברה הלאומי מסר בתשובתו כי במחצית השנייה של שנת 2020 התקבלו שתי החלטות ממשלה שיש בהן כדי לקדם את ההסברה המותאמת לחברה החרדית: החלטת הממשלה מיולי </w:t>
      </w:r>
      <w:r w:rsidRPr="00DC3374">
        <w:rPr>
          <w:rFonts w:hint="cs"/>
          <w:rtl/>
        </w:rPr>
        <w:t>2020 בנושא "הקמת רשות לפיתוח כלכלי - חברתי של המגזר החרדי"</w:t>
      </w:r>
      <w:r>
        <w:rPr>
          <w:rStyle w:val="FootnoteReference1"/>
          <w:rtl/>
        </w:rPr>
        <w:footnoteReference w:id="74"/>
      </w:r>
      <w:r w:rsidRPr="00DC3374">
        <w:rPr>
          <w:rFonts w:hint="cs"/>
          <w:rtl/>
        </w:rPr>
        <w:t xml:space="preserve"> והחלטת הממשלה מדצמבר 2020 בנושא "הקמת מוקד לפניות ציבור ותשתיות ייעודיות להסברה עבור הרשות לפיתוח חברתי-כלכלי של המגזר החרדי"</w:t>
      </w:r>
      <w:r>
        <w:rPr>
          <w:rStyle w:val="FootnoteReference1"/>
          <w:rtl/>
        </w:rPr>
        <w:footnoteReference w:id="75"/>
      </w:r>
      <w:r w:rsidRPr="00DC3374">
        <w:rPr>
          <w:rFonts w:hint="cs"/>
          <w:rtl/>
        </w:rPr>
        <w:t>. עוד מסר מטה ההסברה כי ההחלטות נמצאות בשלבי יישום ראשוניים. כמו כן צוין כי לא התקבלו החלטות ממשלה דומות בנוגע להסברה לחברה הערבית.</w:t>
      </w:r>
    </w:p>
    <w:p w:rsidR="0092532A" w:rsidRPr="00DC3374" w:rsidP="00E81188" w14:paraId="1E0CEC10" w14:textId="1FE25FA0">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92532A" w:rsidRPr="00DC3374" w:rsidP="00E81188" w14:paraId="70C8EBEA" w14:textId="5078F09B">
      <w:pPr>
        <w:spacing w:line="269" w:lineRule="auto"/>
        <w:rPr>
          <w:rFonts w:eastAsiaTheme="majorEastAsia"/>
          <w:bCs/>
          <w:szCs w:val="32"/>
          <w:rtl/>
        </w:rPr>
      </w:pPr>
      <w:r w:rsidRPr="00DC3374">
        <w:rPr>
          <w:rFonts w:hint="cs"/>
          <w:b/>
          <w:bCs/>
          <w:rtl/>
        </w:rPr>
        <w:t xml:space="preserve">מומלץ כי מטה ההסברה הלאומי וגורמי ההסברה הממשלתיים יפעלו במסגרת גיבוש אסטרגיית ההסברה לחירום אזרחי, הכוללת ביצוע מחקר אוכלוסייה ובמסגרת גיבוש תוכנית פעולה מפורטת, לתיקון הליקויים שעלו בפרק זה בנוגע להסברה </w:t>
      </w:r>
      <w:r w:rsidRPr="00DC3374">
        <w:rPr>
          <w:b/>
          <w:bCs/>
          <w:rtl/>
        </w:rPr>
        <w:t xml:space="preserve">לחברה הערבית ולחברה החרדית, </w:t>
      </w:r>
      <w:r w:rsidRPr="00DC3374">
        <w:rPr>
          <w:rFonts w:hint="cs"/>
          <w:b/>
          <w:bCs/>
          <w:rtl/>
        </w:rPr>
        <w:t>שהן</w:t>
      </w:r>
      <w:r w:rsidRPr="00DC3374">
        <w:rPr>
          <w:b/>
          <w:bCs/>
          <w:rtl/>
        </w:rPr>
        <w:t xml:space="preserve"> כשליש מהאוכלוסייה בישראל</w:t>
      </w:r>
      <w:r w:rsidRPr="00DC3374">
        <w:rPr>
          <w:rFonts w:hint="cs"/>
          <w:b/>
          <w:bCs/>
          <w:rtl/>
        </w:rPr>
        <w:t>. זאת, לרבות הסברה בשלבי המשבר הראשונים; היקף ההסברה; מגוון אמצעי ההסברה ו</w:t>
      </w:r>
      <w:r w:rsidRPr="00DC3374" w:rsidR="002C13EF">
        <w:rPr>
          <w:rFonts w:hint="cs"/>
          <w:b/>
          <w:bCs/>
          <w:rtl/>
        </w:rPr>
        <w:t>התאמתם ל</w:t>
      </w:r>
      <w:r w:rsidRPr="00DC3374">
        <w:rPr>
          <w:rFonts w:hint="cs"/>
          <w:b/>
          <w:bCs/>
          <w:rtl/>
        </w:rPr>
        <w:t xml:space="preserve">הרגלי צריכת המידע; וקשיים הקשורים במאפיינים הייחודיים של אוכלוסיות אלו. </w:t>
      </w:r>
    </w:p>
    <w:p w:rsidR="0092532A" w:rsidRPr="00DC3374" w:rsidP="00E81188" w14:paraId="670F627F" w14:textId="12CA2AF7">
      <w:pPr>
        <w:spacing w:line="269" w:lineRule="auto"/>
        <w:ind w:left="720" w:hanging="720"/>
        <w:rPr>
          <w:rFonts w:eastAsiaTheme="majorEastAsia"/>
          <w:bCs/>
          <w:szCs w:val="32"/>
          <w:rtl/>
        </w:rPr>
      </w:pPr>
    </w:p>
    <w:p w:rsidR="00663CC2" w:rsidRPr="00DC3374" w:rsidP="00E81188" w14:paraId="544290F4" w14:textId="77777777">
      <w:pPr>
        <w:pStyle w:val="Heading2"/>
        <w:spacing w:before="0" w:line="269" w:lineRule="auto"/>
        <w:rPr>
          <w:rtl/>
        </w:rPr>
      </w:pPr>
      <w:r w:rsidRPr="00DC3374">
        <w:rPr>
          <w:rFonts w:hint="cs"/>
          <w:rtl/>
        </w:rPr>
        <w:t>הפרכת מידע כוזב והתמודדות עם עמדות הסותרות את המדיניות הממשלתית</w:t>
      </w:r>
    </w:p>
    <w:p w:rsidR="00663CC2" w:rsidRPr="00DC3374" w:rsidP="00E81188" w14:paraId="18BFD349" w14:textId="1B5BBED9">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663CC2" w:rsidRPr="00DC3374" w:rsidP="00E81188" w14:paraId="1219478D" w14:textId="77777777">
      <w:pPr>
        <w:spacing w:line="269" w:lineRule="auto"/>
        <w:rPr>
          <w:rtl/>
        </w:rPr>
      </w:pPr>
      <w:r w:rsidRPr="00DC3374">
        <w:rPr>
          <w:rFonts w:hint="cs"/>
          <w:rtl/>
        </w:rPr>
        <w:t>מגפת הקורונה מתקיימת בעידן של ריבוי ערוצי תקשורת זמינים ומקורות מידע מגוונים, בפרישה נרחבת, פעמים רבות אף ברמה בין-לאומית. ארגון הבריאות העולמי טבע את המונח "א</w:t>
      </w:r>
      <w:r w:rsidRPr="00DC3374">
        <w:rPr>
          <w:rtl/>
        </w:rPr>
        <w:t>ינפודמיה</w:t>
      </w:r>
      <w:r w:rsidRPr="00DC3374">
        <w:rPr>
          <w:rFonts w:hint="cs"/>
          <w:rtl/>
        </w:rPr>
        <w:t>" - מגפת המידע -</w:t>
      </w:r>
      <w:r w:rsidRPr="00DC3374">
        <w:rPr>
          <w:rtl/>
        </w:rPr>
        <w:t xml:space="preserve"> </w:t>
      </w:r>
      <w:r w:rsidRPr="00DC3374">
        <w:rPr>
          <w:rFonts w:hint="cs"/>
          <w:rtl/>
        </w:rPr>
        <w:t xml:space="preserve">המתאר הצפת </w:t>
      </w:r>
      <w:r w:rsidRPr="00DC3374">
        <w:rPr>
          <w:rtl/>
        </w:rPr>
        <w:t>יתר של מידע</w:t>
      </w:r>
      <w:r w:rsidRPr="00DC3374">
        <w:rPr>
          <w:rFonts w:hint="cs"/>
          <w:rtl/>
        </w:rPr>
        <w:t xml:space="preserve"> בזמן מגפה</w:t>
      </w:r>
      <w:r w:rsidRPr="00DC3374">
        <w:rPr>
          <w:rtl/>
        </w:rPr>
        <w:t>, חלק</w:t>
      </w:r>
      <w:r w:rsidRPr="00DC3374">
        <w:rPr>
          <w:rFonts w:hint="cs"/>
          <w:rtl/>
        </w:rPr>
        <w:t>ו</w:t>
      </w:r>
      <w:r w:rsidRPr="00DC3374">
        <w:rPr>
          <w:rtl/>
        </w:rPr>
        <w:t xml:space="preserve"> מדויק וחלק</w:t>
      </w:r>
      <w:r w:rsidRPr="00DC3374">
        <w:rPr>
          <w:rFonts w:hint="cs"/>
          <w:rtl/>
        </w:rPr>
        <w:t>ו</w:t>
      </w:r>
      <w:r w:rsidRPr="00DC3374">
        <w:rPr>
          <w:rtl/>
        </w:rPr>
        <w:t xml:space="preserve"> לא </w:t>
      </w:r>
      <w:r w:rsidRPr="00DC3374">
        <w:rPr>
          <w:rFonts w:hint="cs"/>
          <w:rtl/>
        </w:rPr>
        <w:t xml:space="preserve">מדויק. הצפת מידע </w:t>
      </w:r>
      <w:r w:rsidRPr="00DC3374">
        <w:rPr>
          <w:rtl/>
        </w:rPr>
        <w:t xml:space="preserve">מקשה על אנשים </w:t>
      </w:r>
      <w:r w:rsidRPr="00DC3374">
        <w:rPr>
          <w:rFonts w:hint="cs"/>
          <w:rtl/>
        </w:rPr>
        <w:t>לאתר</w:t>
      </w:r>
      <w:r w:rsidRPr="00DC3374">
        <w:rPr>
          <w:rtl/>
        </w:rPr>
        <w:t xml:space="preserve"> </w:t>
      </w:r>
      <w:r w:rsidRPr="00DC3374">
        <w:rPr>
          <w:rFonts w:hint="cs"/>
          <w:rtl/>
        </w:rPr>
        <w:t xml:space="preserve">מידע אמין </w:t>
      </w:r>
      <w:r w:rsidRPr="00DC3374">
        <w:rPr>
          <w:rtl/>
        </w:rPr>
        <w:t xml:space="preserve">והכוונה </w:t>
      </w:r>
      <w:r w:rsidRPr="00DC3374">
        <w:rPr>
          <w:rFonts w:hint="cs"/>
          <w:rtl/>
        </w:rPr>
        <w:t>לפעולה המתבקשת על פיו,</w:t>
      </w:r>
      <w:r w:rsidRPr="00DC3374">
        <w:rPr>
          <w:rtl/>
        </w:rPr>
        <w:t xml:space="preserve"> כאשר הם זקוקים </w:t>
      </w:r>
      <w:r w:rsidRPr="00DC3374">
        <w:rPr>
          <w:rFonts w:hint="cs"/>
          <w:rtl/>
        </w:rPr>
        <w:t>לכך, כדי</w:t>
      </w:r>
      <w:r w:rsidRPr="00DC3374">
        <w:rPr>
          <w:rtl/>
        </w:rPr>
        <w:t xml:space="preserve"> לדעת </w:t>
      </w:r>
      <w:r w:rsidRPr="00DC3374">
        <w:rPr>
          <w:rFonts w:hint="cs"/>
          <w:rtl/>
        </w:rPr>
        <w:t>כיצד</w:t>
      </w:r>
      <w:r w:rsidRPr="00DC3374">
        <w:rPr>
          <w:rtl/>
        </w:rPr>
        <w:t xml:space="preserve"> להגן על עצמם ועל אחרים ו</w:t>
      </w:r>
      <w:r w:rsidRPr="00DC3374">
        <w:rPr>
          <w:rFonts w:hint="cs"/>
          <w:rtl/>
        </w:rPr>
        <w:t xml:space="preserve">כיצד </w:t>
      </w:r>
      <w:r w:rsidRPr="00DC3374">
        <w:rPr>
          <w:rtl/>
        </w:rPr>
        <w:t xml:space="preserve">לסייע במיתון ההשפעה של </w:t>
      </w:r>
      <w:r w:rsidRPr="00DC3374">
        <w:rPr>
          <w:rFonts w:hint="cs"/>
          <w:rtl/>
        </w:rPr>
        <w:t>המגפה</w:t>
      </w:r>
      <w:r w:rsidRPr="00DC3374">
        <w:rPr>
          <w:rtl/>
        </w:rPr>
        <w:t>.</w:t>
      </w:r>
      <w:r w:rsidRPr="00DC3374">
        <w:rPr>
          <w:rFonts w:hint="cs"/>
          <w:rtl/>
        </w:rPr>
        <w:t xml:space="preserve"> בהקשר של מגפת הקורונה יש ארבעה </w:t>
      </w:r>
      <w:r w:rsidRPr="00DC3374">
        <w:rPr>
          <w:rtl/>
        </w:rPr>
        <w:t xml:space="preserve">נושאים עיקריים </w:t>
      </w:r>
      <w:r w:rsidRPr="00DC3374">
        <w:rPr>
          <w:rFonts w:hint="cs"/>
          <w:rtl/>
        </w:rPr>
        <w:t>ש</w:t>
      </w:r>
      <w:r w:rsidRPr="00DC3374">
        <w:rPr>
          <w:rtl/>
        </w:rPr>
        <w:t>בהם אנשים מחפשים מידע מהימן</w:t>
      </w:r>
      <w:r w:rsidRPr="00DC3374">
        <w:rPr>
          <w:rFonts w:hint="cs"/>
          <w:rtl/>
        </w:rPr>
        <w:t>, ולגביהם קיים</w:t>
      </w:r>
      <w:r w:rsidRPr="00DC3374">
        <w:rPr>
          <w:rtl/>
        </w:rPr>
        <w:t xml:space="preserve"> </w:t>
      </w:r>
      <w:r w:rsidRPr="00DC3374">
        <w:rPr>
          <w:rFonts w:hint="cs"/>
          <w:rtl/>
        </w:rPr>
        <w:t xml:space="preserve">גם </w:t>
      </w:r>
      <w:r w:rsidRPr="00DC3374">
        <w:rPr>
          <w:rtl/>
        </w:rPr>
        <w:t xml:space="preserve">מידע </w:t>
      </w:r>
      <w:r w:rsidRPr="00DC3374">
        <w:rPr>
          <w:rFonts w:hint="cs"/>
          <w:rtl/>
        </w:rPr>
        <w:t>כוזב וזמין במקורות מידע פומביים נפוצים</w:t>
      </w:r>
      <w:r w:rsidRPr="00DC3374">
        <w:rPr>
          <w:rtl/>
        </w:rPr>
        <w:t>: הגורם והמקור לנגיף ולמחלה; תסמיני</w:t>
      </w:r>
      <w:r w:rsidRPr="00DC3374">
        <w:rPr>
          <w:rFonts w:hint="cs"/>
          <w:rtl/>
        </w:rPr>
        <w:t xml:space="preserve"> הנגיף</w:t>
      </w:r>
      <w:r w:rsidRPr="00DC3374">
        <w:rPr>
          <w:rtl/>
        </w:rPr>
        <w:t xml:space="preserve"> ודפוסי ההעברה שלו; טיפולים זמינים, מניעה ותרופות; והיעילות וההשפעה של רשויות הבריאות או מוסדות </w:t>
      </w:r>
      <w:r w:rsidRPr="00DC3374">
        <w:rPr>
          <w:rFonts w:hint="cs"/>
          <w:rtl/>
        </w:rPr>
        <w:t xml:space="preserve">ממשל </w:t>
      </w:r>
      <w:r w:rsidRPr="00DC3374">
        <w:rPr>
          <w:rtl/>
        </w:rPr>
        <w:t>אחרים</w:t>
      </w:r>
      <w:r w:rsidRPr="00DC3374">
        <w:rPr>
          <w:rFonts w:hint="cs"/>
          <w:rtl/>
        </w:rPr>
        <w:t xml:space="preserve"> על מהלך המגפה</w:t>
      </w:r>
      <w:r>
        <w:rPr>
          <w:rStyle w:val="FootnoteReference1"/>
          <w:rtl/>
        </w:rPr>
        <w:footnoteReference w:id="76"/>
      </w:r>
      <w:r w:rsidRPr="00DC3374">
        <w:rPr>
          <w:rFonts w:hint="cs"/>
          <w:rtl/>
        </w:rPr>
        <w:t xml:space="preserve">. </w:t>
      </w:r>
    </w:p>
    <w:p w:rsidR="00663CC2" w:rsidRPr="00DC3374" w:rsidP="00E81188" w14:paraId="6EDAB041" w14:textId="4B68805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56A8AB1E" w14:textId="77777777">
      <w:pPr>
        <w:spacing w:line="269" w:lineRule="auto"/>
        <w:rPr>
          <w:rFonts w:asciiTheme="minorHAnsi" w:hAnsiTheme="minorHAnsi"/>
        </w:rPr>
      </w:pPr>
      <w:r w:rsidRPr="00DC3374">
        <w:rPr>
          <w:rFonts w:asciiTheme="minorHAnsi" w:hAnsiTheme="minorHAnsi"/>
          <w:rtl/>
        </w:rPr>
        <w:t xml:space="preserve">הציבור פועל במידה רבה בהתאם למידע </w:t>
      </w:r>
      <w:r w:rsidRPr="00DC3374">
        <w:rPr>
          <w:rFonts w:asciiTheme="minorHAnsi" w:hAnsiTheme="minorHAnsi" w:hint="cs"/>
          <w:rtl/>
        </w:rPr>
        <w:t>מ</w:t>
      </w:r>
      <w:r w:rsidRPr="00DC3374">
        <w:rPr>
          <w:rFonts w:asciiTheme="minorHAnsi" w:hAnsiTheme="minorHAnsi"/>
          <w:rtl/>
        </w:rPr>
        <w:t>מקור המידע שבו הוא נותן אמון</w:t>
      </w:r>
      <w:r w:rsidRPr="00DC3374">
        <w:rPr>
          <w:rFonts w:asciiTheme="minorHAnsi" w:hAnsiTheme="minorHAnsi" w:hint="cs"/>
          <w:rtl/>
        </w:rPr>
        <w:t xml:space="preserve">, זאת במציאות שבה אמצעי תקשורת רבים עומדים היום לרשותו. בהיעדר מקור מידע סמכותי ואמין הציבור ייטה להשלים את פערי המידע ממקורות אחרים, והוא ייחשף למידע מגוון, ובו גם מידע שאינו אמין ואף שגוי שמועבר בכוונת זדון. </w:t>
      </w:r>
      <w:r w:rsidRPr="00DC3374">
        <w:rPr>
          <w:rtl/>
        </w:rPr>
        <w:t>אמון הציבור ברשו</w:t>
      </w:r>
      <w:r w:rsidRPr="00DC3374">
        <w:rPr>
          <w:rFonts w:hint="cs"/>
          <w:rtl/>
        </w:rPr>
        <w:t>יו</w:t>
      </w:r>
      <w:r w:rsidRPr="00DC3374">
        <w:rPr>
          <w:rtl/>
        </w:rPr>
        <w:t xml:space="preserve">ת הבריאות וברשויות </w:t>
      </w:r>
      <w:r w:rsidRPr="00DC3374">
        <w:rPr>
          <w:rFonts w:hint="cs"/>
          <w:rtl/>
        </w:rPr>
        <w:t xml:space="preserve">ממשל </w:t>
      </w:r>
      <w:r w:rsidRPr="00DC3374">
        <w:rPr>
          <w:rtl/>
        </w:rPr>
        <w:t xml:space="preserve">אחרות חיוני </w:t>
      </w:r>
      <w:r w:rsidRPr="00DC3374">
        <w:rPr>
          <w:rFonts w:hint="cs"/>
          <w:rtl/>
        </w:rPr>
        <w:t xml:space="preserve">אפוא </w:t>
      </w:r>
      <w:r w:rsidRPr="00DC3374">
        <w:rPr>
          <w:rtl/>
        </w:rPr>
        <w:t xml:space="preserve">כדי להפחית את </w:t>
      </w:r>
      <w:r w:rsidRPr="00DC3374">
        <w:rPr>
          <w:rFonts w:hint="cs"/>
          <w:rtl/>
        </w:rPr>
        <w:t xml:space="preserve">ההשפעה השלילית </w:t>
      </w:r>
      <w:r w:rsidRPr="00DC3374">
        <w:rPr>
          <w:rtl/>
        </w:rPr>
        <w:t xml:space="preserve">של </w:t>
      </w:r>
      <w:r w:rsidRPr="00DC3374">
        <w:rPr>
          <w:rFonts w:hint="cs"/>
          <w:rtl/>
        </w:rPr>
        <w:t>ה"</w:t>
      </w:r>
      <w:r w:rsidRPr="00DC3374">
        <w:rPr>
          <w:rtl/>
        </w:rPr>
        <w:t>אינפודמיה</w:t>
      </w:r>
      <w:r w:rsidRPr="00DC3374">
        <w:rPr>
          <w:rFonts w:hint="cs"/>
          <w:rtl/>
        </w:rPr>
        <w:t>" ולהגדיל את הסיכוי שהציבור יפעל בדרך הרצויה לגורמי הממשל, כיוון שהוא מגדיל את הסיכוי שהציבור יחפש את המידע הנחוץ לו במקורות מידע ממשלתיים</w:t>
      </w:r>
      <w:r w:rsidRPr="00DC3374">
        <w:rPr>
          <w:rtl/>
        </w:rPr>
        <w:t>.</w:t>
      </w:r>
      <w:r w:rsidRPr="00DC3374">
        <w:rPr>
          <w:rFonts w:asciiTheme="minorHAnsi" w:hAnsiTheme="minorHAnsi" w:hint="cs"/>
          <w:rtl/>
        </w:rPr>
        <w:t xml:space="preserve"> </w:t>
      </w:r>
      <w:r w:rsidRPr="00DC3374">
        <w:rPr>
          <w:rFonts w:asciiTheme="minorHAnsi" w:hAnsiTheme="minorHAnsi"/>
          <w:rtl/>
        </w:rPr>
        <w:t>הגורמים המשפיעים על התנהגות הפרט והסתגלותו לאירועי חירום מורכבים ותלויים ב</w:t>
      </w:r>
      <w:r w:rsidRPr="00DC3374">
        <w:rPr>
          <w:rFonts w:asciiTheme="minorHAnsi" w:hAnsiTheme="minorHAnsi" w:hint="cs"/>
          <w:rtl/>
        </w:rPr>
        <w:t>כמה</w:t>
      </w:r>
      <w:r w:rsidRPr="00DC3374">
        <w:rPr>
          <w:rFonts w:asciiTheme="minorHAnsi" w:hAnsiTheme="minorHAnsi"/>
          <w:rtl/>
        </w:rPr>
        <w:t xml:space="preserve"> גורמים, ובהם: מקור המידע, תוכן המסרים, אמצעי התקשורת </w:t>
      </w:r>
      <w:r w:rsidRPr="00DC3374">
        <w:rPr>
          <w:rFonts w:asciiTheme="minorHAnsi" w:hAnsiTheme="minorHAnsi" w:hint="cs"/>
          <w:rtl/>
        </w:rPr>
        <w:t>ש</w:t>
      </w:r>
      <w:r w:rsidRPr="00DC3374">
        <w:rPr>
          <w:rFonts w:asciiTheme="minorHAnsi" w:hAnsiTheme="minorHAnsi"/>
          <w:rtl/>
        </w:rPr>
        <w:t xml:space="preserve">בהם משתמשים, אופי אוכלוסיית היעד </w:t>
      </w:r>
      <w:r w:rsidRPr="00DC3374">
        <w:rPr>
          <w:rFonts w:asciiTheme="minorHAnsi" w:hAnsiTheme="minorHAnsi" w:hint="cs"/>
          <w:rtl/>
        </w:rPr>
        <w:t>ש</w:t>
      </w:r>
      <w:r w:rsidRPr="00DC3374">
        <w:rPr>
          <w:rFonts w:asciiTheme="minorHAnsi" w:hAnsiTheme="minorHAnsi"/>
          <w:rtl/>
        </w:rPr>
        <w:t xml:space="preserve">עליה מנסים להשפיע ומטרות התקשורת. </w:t>
      </w:r>
      <w:r w:rsidRPr="00DC3374">
        <w:rPr>
          <w:rFonts w:asciiTheme="minorHAnsi" w:hAnsiTheme="minorHAnsi" w:hint="cs"/>
          <w:rtl/>
        </w:rPr>
        <w:t xml:space="preserve">הקושי בהשפעה על התנהגות נובע באופן בולט מהנטייה של אדם להמשיך ולהחזיק בדעותיו ולסנן כל מידע נוסף שאליו הוא נחשף. על כן יש חשיבות רבה לקביעת שיטות ההסברה, לרבות העברתה בערוצים לא פורמליים. </w:t>
      </w:r>
    </w:p>
    <w:p w:rsidR="00663CC2" w:rsidRPr="00DC3374" w:rsidP="00E81188" w14:paraId="1FB98155" w14:textId="77777777">
      <w:pPr>
        <w:spacing w:line="269" w:lineRule="auto"/>
        <w:rPr>
          <w:rtl/>
        </w:rPr>
      </w:pPr>
    </w:p>
    <w:p w:rsidR="00663CC2" w:rsidRPr="00DC3374" w:rsidP="00E81188" w14:paraId="2AA34EC8" w14:textId="77777777">
      <w:pPr>
        <w:pStyle w:val="Heading3"/>
        <w:spacing w:before="0" w:line="269" w:lineRule="auto"/>
        <w:rPr>
          <w:rtl/>
        </w:rPr>
      </w:pPr>
      <w:r w:rsidRPr="00DC3374">
        <w:rPr>
          <w:rFonts w:hint="cs"/>
          <w:rtl/>
        </w:rPr>
        <w:t>מידע כוזב ("פייק ניוז")</w:t>
      </w:r>
    </w:p>
    <w:p w:rsidR="00663CC2" w:rsidRPr="00DC3374" w:rsidP="00E81188" w14:paraId="56120B46" w14:textId="520083B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0D475440" w14:textId="77777777">
      <w:pPr>
        <w:pStyle w:val="ListParagraph"/>
        <w:numPr>
          <w:ilvl w:val="0"/>
          <w:numId w:val="4"/>
        </w:numPr>
        <w:spacing w:line="269" w:lineRule="auto"/>
        <w:rPr>
          <w:rFonts w:asciiTheme="minorHAnsi" w:hAnsiTheme="minorHAnsi"/>
          <w:rtl/>
        </w:rPr>
      </w:pPr>
      <w:r w:rsidRPr="00DC3374">
        <w:rPr>
          <w:rFonts w:asciiTheme="minorHAnsi" w:hAnsiTheme="minorHAnsi" w:hint="cs"/>
          <w:rtl/>
        </w:rPr>
        <w:t>נ</w:t>
      </w:r>
      <w:r w:rsidRPr="00DC3374">
        <w:rPr>
          <w:rFonts w:asciiTheme="minorHAnsi" w:hAnsiTheme="minorHAnsi"/>
          <w:rtl/>
        </w:rPr>
        <w:t xml:space="preserve">יתן לחלק את תופעת </w:t>
      </w:r>
      <w:r w:rsidRPr="00DC3374">
        <w:rPr>
          <w:rFonts w:asciiTheme="minorHAnsi" w:hAnsiTheme="minorHAnsi" w:hint="cs"/>
          <w:rtl/>
        </w:rPr>
        <w:t>המידע הכוזב ("</w:t>
      </w:r>
      <w:r w:rsidRPr="00DC3374">
        <w:rPr>
          <w:rFonts w:asciiTheme="minorHAnsi" w:hAnsiTheme="minorHAnsi"/>
          <w:rtl/>
        </w:rPr>
        <w:t>פייק ניוז</w:t>
      </w:r>
      <w:r w:rsidRPr="00DC3374">
        <w:rPr>
          <w:rFonts w:asciiTheme="minorHAnsi" w:hAnsiTheme="minorHAnsi" w:hint="cs"/>
          <w:rtl/>
        </w:rPr>
        <w:t>")</w:t>
      </w:r>
      <w:r w:rsidRPr="00DC3374">
        <w:rPr>
          <w:rFonts w:asciiTheme="minorHAnsi" w:hAnsiTheme="minorHAnsi"/>
          <w:rtl/>
        </w:rPr>
        <w:t xml:space="preserve"> סביב הקורונה לשני סוגים. הראשון הוא מיס-אינפורמציה</w:t>
      </w:r>
      <w:r w:rsidRPr="00DC3374">
        <w:rPr>
          <w:rFonts w:asciiTheme="minorHAnsi" w:hAnsiTheme="minorHAnsi" w:hint="cs"/>
          <w:rtl/>
        </w:rPr>
        <w:t xml:space="preserve"> (</w:t>
      </w:r>
      <w:r w:rsidRPr="00DC3374">
        <w:rPr>
          <w:rFonts w:asciiTheme="minorHAnsi" w:hAnsiTheme="minorHAnsi"/>
        </w:rPr>
        <w:t>(misinformation</w:t>
      </w:r>
      <w:r w:rsidRPr="00DC3374">
        <w:rPr>
          <w:rFonts w:asciiTheme="minorHAnsi" w:hAnsiTheme="minorHAnsi" w:hint="cs"/>
          <w:rtl/>
        </w:rPr>
        <w:t xml:space="preserve"> - </w:t>
      </w:r>
      <w:r w:rsidRPr="00DC3374">
        <w:rPr>
          <w:rFonts w:asciiTheme="minorHAnsi" w:hAnsiTheme="minorHAnsi"/>
          <w:rtl/>
        </w:rPr>
        <w:t xml:space="preserve">הפצת מידע שקרי </w:t>
      </w:r>
      <w:r w:rsidRPr="00DC3374">
        <w:rPr>
          <w:rFonts w:asciiTheme="minorHAnsi" w:hAnsiTheme="minorHAnsi" w:hint="cs"/>
          <w:rtl/>
        </w:rPr>
        <w:t>ללא</w:t>
      </w:r>
      <w:r w:rsidRPr="00DC3374">
        <w:rPr>
          <w:rFonts w:asciiTheme="minorHAnsi" w:hAnsiTheme="minorHAnsi"/>
          <w:rtl/>
        </w:rPr>
        <w:t xml:space="preserve"> יד מכוונת וכוונת זדון, על בסיס </w:t>
      </w:r>
      <w:r w:rsidRPr="00DC3374">
        <w:rPr>
          <w:rFonts w:asciiTheme="minorHAnsi" w:hAnsiTheme="minorHAnsi"/>
          <w:rtl/>
        </w:rPr>
        <w:t>השערות לא מבוססות</w:t>
      </w:r>
      <w:r w:rsidRPr="00DC3374">
        <w:rPr>
          <w:rFonts w:asciiTheme="minorHAnsi" w:hAnsiTheme="minorHAnsi" w:hint="cs"/>
          <w:rtl/>
        </w:rPr>
        <w:t xml:space="preserve"> </w:t>
      </w:r>
      <w:r w:rsidRPr="00DC3374">
        <w:rPr>
          <w:rFonts w:asciiTheme="minorHAnsi" w:hAnsiTheme="minorHAnsi"/>
          <w:rtl/>
        </w:rPr>
        <w:t>ושיקולים שונים.</w:t>
      </w:r>
      <w:r w:rsidRPr="00DC3374">
        <w:rPr>
          <w:rFonts w:asciiTheme="minorHAnsi" w:hAnsiTheme="minorHAnsi" w:hint="cs"/>
          <w:rtl/>
        </w:rPr>
        <w:t xml:space="preserve"> לדוגמה:</w:t>
      </w:r>
      <w:r w:rsidRPr="00DC3374">
        <w:rPr>
          <w:rFonts w:asciiTheme="minorHAnsi" w:hAnsiTheme="minorHAnsi"/>
          <w:rtl/>
        </w:rPr>
        <w:t xml:space="preserve"> דיווח על התפשטות המחלה גם במקומות שבהם לא נמצאו מקרי</w:t>
      </w:r>
      <w:r w:rsidRPr="00DC3374">
        <w:rPr>
          <w:rFonts w:asciiTheme="minorHAnsi" w:hAnsiTheme="minorHAnsi" w:hint="cs"/>
          <w:rtl/>
        </w:rPr>
        <w:t xml:space="preserve"> </w:t>
      </w:r>
      <w:r w:rsidRPr="00DC3374">
        <w:rPr>
          <w:rFonts w:asciiTheme="minorHAnsi" w:hAnsiTheme="minorHAnsi"/>
          <w:rtl/>
        </w:rPr>
        <w:t>הדבקה</w:t>
      </w:r>
      <w:r w:rsidRPr="00DC3374">
        <w:rPr>
          <w:rFonts w:asciiTheme="minorHAnsi" w:hAnsiTheme="minorHAnsi" w:hint="cs"/>
          <w:rtl/>
        </w:rPr>
        <w:t xml:space="preserve"> ו</w:t>
      </w:r>
      <w:r w:rsidRPr="00DC3374">
        <w:rPr>
          <w:rFonts w:asciiTheme="minorHAnsi" w:hAnsiTheme="minorHAnsi"/>
          <w:rtl/>
        </w:rPr>
        <w:t>שמועות שווא על אודות טיפולים ל</w:t>
      </w:r>
      <w:r w:rsidRPr="00DC3374">
        <w:rPr>
          <w:rFonts w:asciiTheme="minorHAnsi" w:hAnsiTheme="minorHAnsi" w:hint="cs"/>
          <w:rtl/>
        </w:rPr>
        <w:t>ריפוי חולים בקורונה.</w:t>
      </w:r>
      <w:r w:rsidRPr="00DC3374">
        <w:rPr>
          <w:rtl/>
        </w:rPr>
        <w:t xml:space="preserve"> </w:t>
      </w:r>
      <w:r w:rsidRPr="00DC3374">
        <w:rPr>
          <w:rFonts w:hint="cs"/>
          <w:rtl/>
        </w:rPr>
        <w:t>הסו</w:t>
      </w:r>
      <w:r w:rsidRPr="00DC3374">
        <w:rPr>
          <w:rFonts w:asciiTheme="minorHAnsi" w:hAnsiTheme="minorHAnsi"/>
          <w:rtl/>
        </w:rPr>
        <w:t xml:space="preserve">ג </w:t>
      </w:r>
      <w:r w:rsidRPr="00DC3374">
        <w:rPr>
          <w:rFonts w:asciiTheme="minorHAnsi" w:hAnsiTheme="minorHAnsi" w:hint="cs"/>
          <w:rtl/>
        </w:rPr>
        <w:t>ה</w:t>
      </w:r>
      <w:r w:rsidRPr="00DC3374">
        <w:rPr>
          <w:rFonts w:asciiTheme="minorHAnsi" w:hAnsiTheme="minorHAnsi"/>
          <w:rtl/>
        </w:rPr>
        <w:t>שני הוא דיס-אינפורמציה</w:t>
      </w:r>
      <w:r w:rsidRPr="00DC3374">
        <w:rPr>
          <w:rFonts w:asciiTheme="minorHAnsi" w:hAnsiTheme="minorHAnsi" w:hint="cs"/>
          <w:rtl/>
        </w:rPr>
        <w:t xml:space="preserve"> (</w:t>
      </w:r>
      <w:r w:rsidRPr="00DC3374">
        <w:rPr>
          <w:rFonts w:asciiTheme="minorHAnsi" w:hAnsiTheme="minorHAnsi"/>
        </w:rPr>
        <w:t>disinformation</w:t>
      </w:r>
      <w:r w:rsidRPr="00DC3374">
        <w:rPr>
          <w:rFonts w:asciiTheme="minorHAnsi" w:hAnsiTheme="minorHAnsi" w:hint="cs"/>
          <w:rtl/>
        </w:rPr>
        <w:t>)</w:t>
      </w:r>
      <w:r w:rsidRPr="00DC3374">
        <w:rPr>
          <w:rFonts w:asciiTheme="minorHAnsi" w:hAnsiTheme="minorHAnsi"/>
          <w:rtl/>
        </w:rPr>
        <w:t xml:space="preserve"> </w:t>
      </w:r>
      <w:r w:rsidRPr="00DC3374">
        <w:rPr>
          <w:rFonts w:asciiTheme="minorHAnsi" w:hAnsiTheme="minorHAnsi" w:hint="cs"/>
          <w:rtl/>
        </w:rPr>
        <w:t xml:space="preserve">- העברת </w:t>
      </w:r>
      <w:r w:rsidRPr="00DC3374">
        <w:rPr>
          <w:rFonts w:asciiTheme="minorHAnsi" w:hAnsiTheme="minorHAnsi"/>
          <w:rtl/>
        </w:rPr>
        <w:t xml:space="preserve">מידע </w:t>
      </w:r>
      <w:r w:rsidRPr="00DC3374">
        <w:rPr>
          <w:rFonts w:asciiTheme="minorHAnsi" w:hAnsiTheme="minorHAnsi" w:hint="cs"/>
          <w:rtl/>
        </w:rPr>
        <w:t xml:space="preserve">שגוי </w:t>
      </w:r>
      <w:r w:rsidRPr="00DC3374">
        <w:rPr>
          <w:rFonts w:asciiTheme="minorHAnsi" w:hAnsiTheme="minorHAnsi"/>
          <w:rtl/>
        </w:rPr>
        <w:t>בכוונת זדון</w:t>
      </w:r>
      <w:r w:rsidRPr="00DC3374">
        <w:rPr>
          <w:rFonts w:asciiTheme="minorHAnsi" w:hAnsiTheme="minorHAnsi" w:hint="cs"/>
          <w:rtl/>
        </w:rPr>
        <w:t xml:space="preserve"> </w:t>
      </w:r>
      <w:r w:rsidRPr="00DC3374">
        <w:rPr>
          <w:rFonts w:asciiTheme="minorHAnsi" w:hAnsiTheme="minorHAnsi"/>
          <w:rtl/>
        </w:rPr>
        <w:t>בכוונה</w:t>
      </w:r>
      <w:r w:rsidRPr="00DC3374">
        <w:rPr>
          <w:rFonts w:asciiTheme="minorHAnsi" w:hAnsiTheme="minorHAnsi" w:hint="cs"/>
          <w:rtl/>
        </w:rPr>
        <w:t xml:space="preserve"> </w:t>
      </w:r>
      <w:r w:rsidRPr="00DC3374">
        <w:rPr>
          <w:rFonts w:asciiTheme="minorHAnsi" w:hAnsiTheme="minorHAnsi"/>
          <w:rtl/>
        </w:rPr>
        <w:t>ליצור</w:t>
      </w:r>
      <w:r w:rsidRPr="00DC3374">
        <w:rPr>
          <w:rFonts w:asciiTheme="minorHAnsi" w:hAnsiTheme="minorHAnsi" w:hint="cs"/>
          <w:rtl/>
        </w:rPr>
        <w:t xml:space="preserve"> </w:t>
      </w:r>
      <w:r w:rsidRPr="00DC3374">
        <w:rPr>
          <w:rFonts w:asciiTheme="minorHAnsi" w:hAnsiTheme="minorHAnsi"/>
          <w:rtl/>
        </w:rPr>
        <w:t xml:space="preserve">רווח עצמי או להסב נזק לגורם אחר. </w:t>
      </w:r>
      <w:r w:rsidRPr="00DC3374">
        <w:rPr>
          <w:rFonts w:asciiTheme="minorHAnsi" w:hAnsiTheme="minorHAnsi" w:hint="cs"/>
          <w:rtl/>
        </w:rPr>
        <w:t>ל</w:t>
      </w:r>
      <w:r w:rsidRPr="00DC3374">
        <w:rPr>
          <w:rFonts w:asciiTheme="minorHAnsi" w:hAnsiTheme="minorHAnsi"/>
          <w:rtl/>
        </w:rPr>
        <w:t xml:space="preserve">דוגמה: </w:t>
      </w:r>
      <w:r w:rsidRPr="00DC3374">
        <w:rPr>
          <w:rFonts w:asciiTheme="minorHAnsi" w:hAnsiTheme="minorHAnsi" w:hint="cs"/>
          <w:rtl/>
        </w:rPr>
        <w:t>קיום</w:t>
      </w:r>
      <w:r w:rsidRPr="00DC3374">
        <w:rPr>
          <w:rFonts w:asciiTheme="minorHAnsi" w:hAnsiTheme="minorHAnsi"/>
          <w:rtl/>
        </w:rPr>
        <w:t xml:space="preserve"> "תרופות פלא"</w:t>
      </w:r>
      <w:r w:rsidRPr="00DC3374">
        <w:rPr>
          <w:rFonts w:asciiTheme="minorHAnsi" w:hAnsiTheme="minorHAnsi" w:hint="cs"/>
          <w:rtl/>
        </w:rPr>
        <w:t xml:space="preserve"> לנגיף</w:t>
      </w:r>
      <w:r w:rsidRPr="00DC3374">
        <w:rPr>
          <w:rFonts w:asciiTheme="minorHAnsi" w:hAnsiTheme="minorHAnsi"/>
          <w:rtl/>
        </w:rPr>
        <w:t xml:space="preserve"> והאשמת </w:t>
      </w:r>
      <w:r w:rsidRPr="00DC3374">
        <w:rPr>
          <w:rFonts w:asciiTheme="minorHAnsi" w:hAnsiTheme="minorHAnsi" w:hint="cs"/>
          <w:rtl/>
        </w:rPr>
        <w:t xml:space="preserve">אוכלוסיות </w:t>
      </w:r>
      <w:r w:rsidRPr="00DC3374">
        <w:rPr>
          <w:rFonts w:asciiTheme="minorHAnsi" w:hAnsiTheme="minorHAnsi"/>
          <w:rtl/>
        </w:rPr>
        <w:t>מיעוט בהפצת הנגיף</w:t>
      </w:r>
      <w:r w:rsidRPr="00DC3374">
        <w:rPr>
          <w:rFonts w:asciiTheme="minorHAnsi" w:hAnsiTheme="minorHAnsi" w:hint="cs"/>
          <w:rtl/>
        </w:rPr>
        <w:t xml:space="preserve">. </w:t>
      </w:r>
      <w:r w:rsidRPr="00DC3374">
        <w:rPr>
          <w:rFonts w:asciiTheme="minorHAnsi" w:hAnsiTheme="minorHAnsi"/>
          <w:rtl/>
        </w:rPr>
        <w:t>בהפצת דיס-אינפורמציה</w:t>
      </w:r>
      <w:r w:rsidRPr="00DC3374">
        <w:rPr>
          <w:rFonts w:asciiTheme="minorHAnsi" w:hAnsiTheme="minorHAnsi" w:hint="cs"/>
          <w:rtl/>
        </w:rPr>
        <w:t xml:space="preserve"> מעורבות גם </w:t>
      </w:r>
      <w:r w:rsidRPr="00DC3374">
        <w:rPr>
          <w:rFonts w:asciiTheme="minorHAnsi" w:hAnsiTheme="minorHAnsi"/>
          <w:rtl/>
        </w:rPr>
        <w:t>קבוצות לא-ממסדיות</w:t>
      </w:r>
      <w:r w:rsidRPr="00DC3374">
        <w:rPr>
          <w:rFonts w:asciiTheme="minorHAnsi" w:hAnsiTheme="minorHAnsi" w:hint="cs"/>
          <w:rtl/>
        </w:rPr>
        <w:t xml:space="preserve">, כגון </w:t>
      </w:r>
      <w:r w:rsidRPr="00DC3374">
        <w:rPr>
          <w:rFonts w:asciiTheme="minorHAnsi" w:hAnsiTheme="minorHAnsi"/>
          <w:rtl/>
        </w:rPr>
        <w:t>ארגוני פשיעה כלכלית</w:t>
      </w:r>
      <w:r w:rsidRPr="00DC3374">
        <w:rPr>
          <w:rFonts w:asciiTheme="minorHAnsi" w:hAnsiTheme="minorHAnsi" w:hint="cs"/>
          <w:rtl/>
        </w:rPr>
        <w:t xml:space="preserve"> ואנשים </w:t>
      </w:r>
      <w:r w:rsidRPr="00DC3374">
        <w:rPr>
          <w:rFonts w:asciiTheme="minorHAnsi" w:hAnsiTheme="minorHAnsi"/>
          <w:rtl/>
        </w:rPr>
        <w:t xml:space="preserve">חובבי קונספירציות. לקבוצות אלו </w:t>
      </w:r>
      <w:r w:rsidRPr="00DC3374">
        <w:rPr>
          <w:rFonts w:asciiTheme="minorHAnsi" w:hAnsiTheme="minorHAnsi" w:hint="cs"/>
          <w:rtl/>
        </w:rPr>
        <w:t xml:space="preserve">יש </w:t>
      </w:r>
      <w:r w:rsidRPr="00DC3374">
        <w:rPr>
          <w:rFonts w:asciiTheme="minorHAnsi" w:hAnsiTheme="minorHAnsi"/>
          <w:rtl/>
        </w:rPr>
        <w:t>אינטרס לערער את האמון ב</w:t>
      </w:r>
      <w:r w:rsidRPr="00DC3374">
        <w:rPr>
          <w:rFonts w:asciiTheme="minorHAnsi" w:hAnsiTheme="minorHAnsi" w:hint="cs"/>
          <w:rtl/>
        </w:rPr>
        <w:t>גורמי הממשל וב</w:t>
      </w:r>
      <w:r w:rsidRPr="00DC3374">
        <w:rPr>
          <w:rFonts w:asciiTheme="minorHAnsi" w:hAnsiTheme="minorHAnsi"/>
          <w:rtl/>
        </w:rPr>
        <w:t>ממסד הרפואי</w:t>
      </w:r>
      <w:r>
        <w:rPr>
          <w:rStyle w:val="FootnoteReference1"/>
          <w:rFonts w:asciiTheme="minorHAnsi" w:hAnsiTheme="minorHAnsi"/>
          <w:rtl/>
        </w:rPr>
        <w:footnoteReference w:id="77"/>
      </w:r>
      <w:r w:rsidRPr="00DC3374">
        <w:rPr>
          <w:rFonts w:asciiTheme="minorHAnsi" w:hAnsiTheme="minorHAnsi" w:hint="cs"/>
          <w:rtl/>
        </w:rPr>
        <w:t>.</w:t>
      </w:r>
    </w:p>
    <w:p w:rsidR="00663CC2" w:rsidRPr="00DC3374" w:rsidP="00E81188" w14:paraId="0477CA3C" w14:textId="1DC4D2A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02960F01" w14:textId="77777777">
      <w:pPr>
        <w:spacing w:line="269" w:lineRule="auto"/>
        <w:ind w:left="312"/>
        <w:rPr>
          <w:rFonts w:asciiTheme="minorHAnsi" w:hAnsiTheme="minorHAnsi"/>
          <w:rtl/>
        </w:rPr>
      </w:pPr>
      <w:r w:rsidRPr="00DC3374">
        <w:rPr>
          <w:rFonts w:asciiTheme="minorHAnsi" w:hAnsiTheme="minorHAnsi" w:hint="cs"/>
          <w:rtl/>
        </w:rPr>
        <w:t xml:space="preserve">מידע כוזב עלול </w:t>
      </w:r>
      <w:r w:rsidRPr="00DC3374">
        <w:rPr>
          <w:rFonts w:asciiTheme="minorHAnsi" w:hAnsiTheme="minorHAnsi"/>
          <w:rtl/>
        </w:rPr>
        <w:t>להעצים את נזקי</w:t>
      </w:r>
      <w:r w:rsidRPr="00DC3374">
        <w:rPr>
          <w:rFonts w:asciiTheme="minorHAnsi" w:hAnsiTheme="minorHAnsi" w:hint="cs"/>
          <w:rtl/>
        </w:rPr>
        <w:t xml:space="preserve"> המגפה </w:t>
      </w:r>
      <w:r w:rsidRPr="00DC3374">
        <w:rPr>
          <w:rFonts w:asciiTheme="minorHAnsi" w:hAnsiTheme="minorHAnsi"/>
          <w:rtl/>
        </w:rPr>
        <w:t xml:space="preserve">תוך </w:t>
      </w:r>
      <w:r w:rsidRPr="00DC3374">
        <w:rPr>
          <w:rFonts w:asciiTheme="minorHAnsi" w:hAnsiTheme="minorHAnsi" w:hint="cs"/>
          <w:rtl/>
        </w:rPr>
        <w:t>יצירת בהלה</w:t>
      </w:r>
      <w:r w:rsidRPr="00DC3374">
        <w:rPr>
          <w:rFonts w:asciiTheme="minorHAnsi" w:hAnsiTheme="minorHAnsi"/>
          <w:rtl/>
        </w:rPr>
        <w:t xml:space="preserve"> </w:t>
      </w:r>
      <w:r w:rsidRPr="00DC3374">
        <w:rPr>
          <w:rFonts w:asciiTheme="minorHAnsi" w:hAnsiTheme="minorHAnsi" w:hint="cs"/>
          <w:rtl/>
        </w:rPr>
        <w:t xml:space="preserve">בציבור </w:t>
      </w:r>
      <w:r w:rsidRPr="00DC3374">
        <w:rPr>
          <w:rFonts w:asciiTheme="minorHAnsi" w:hAnsiTheme="minorHAnsi"/>
          <w:rtl/>
        </w:rPr>
        <w:t xml:space="preserve">וזריית אשליות </w:t>
      </w:r>
      <w:r w:rsidRPr="00DC3374">
        <w:rPr>
          <w:rFonts w:asciiTheme="minorHAnsi" w:hAnsiTheme="minorHAnsi" w:hint="cs"/>
          <w:rtl/>
        </w:rPr>
        <w:t>בנוגע</w:t>
      </w:r>
      <w:r w:rsidRPr="00DC3374">
        <w:rPr>
          <w:rFonts w:asciiTheme="minorHAnsi" w:hAnsiTheme="minorHAnsi"/>
          <w:rtl/>
        </w:rPr>
        <w:t xml:space="preserve"> למענה אפשרי. </w:t>
      </w:r>
      <w:r w:rsidRPr="00DC3374">
        <w:rPr>
          <w:rFonts w:asciiTheme="minorHAnsi" w:hAnsiTheme="minorHAnsi" w:hint="cs"/>
          <w:rtl/>
        </w:rPr>
        <w:t>ה</w:t>
      </w:r>
      <w:r w:rsidRPr="00DC3374">
        <w:rPr>
          <w:rFonts w:asciiTheme="minorHAnsi" w:hAnsiTheme="minorHAnsi"/>
          <w:rtl/>
        </w:rPr>
        <w:t>הפחתה ממשמעות הסכנה ו</w:t>
      </w:r>
      <w:r w:rsidRPr="00DC3374">
        <w:rPr>
          <w:rFonts w:asciiTheme="minorHAnsi" w:hAnsiTheme="minorHAnsi" w:hint="cs"/>
          <w:rtl/>
        </w:rPr>
        <w:t xml:space="preserve">מידע לא מבוסס על אמצעי הריפוי </w:t>
      </w:r>
      <w:r w:rsidRPr="00DC3374">
        <w:rPr>
          <w:rFonts w:asciiTheme="minorHAnsi" w:hAnsiTheme="minorHAnsi"/>
          <w:rtl/>
        </w:rPr>
        <w:t>עלול</w:t>
      </w:r>
      <w:r w:rsidRPr="00DC3374">
        <w:rPr>
          <w:rFonts w:asciiTheme="minorHAnsi" w:hAnsiTheme="minorHAnsi" w:hint="cs"/>
          <w:rtl/>
        </w:rPr>
        <w:t>ים</w:t>
      </w:r>
      <w:r w:rsidRPr="00DC3374">
        <w:rPr>
          <w:rFonts w:asciiTheme="minorHAnsi" w:hAnsiTheme="minorHAnsi"/>
          <w:rtl/>
        </w:rPr>
        <w:t xml:space="preserve"> לגרום </w:t>
      </w:r>
      <w:r w:rsidRPr="00DC3374">
        <w:rPr>
          <w:rFonts w:asciiTheme="minorHAnsi" w:hAnsiTheme="minorHAnsi" w:hint="cs"/>
          <w:rtl/>
        </w:rPr>
        <w:t>ל</w:t>
      </w:r>
      <w:r w:rsidRPr="00DC3374">
        <w:rPr>
          <w:rFonts w:asciiTheme="minorHAnsi" w:hAnsiTheme="minorHAnsi"/>
          <w:rtl/>
        </w:rPr>
        <w:t>שאננות ציבורית, שתקשה על המדינה להתמודד עם המגפה</w:t>
      </w:r>
      <w:r w:rsidRPr="00DC3374">
        <w:rPr>
          <w:rFonts w:asciiTheme="minorHAnsi" w:hAnsiTheme="minorHAnsi" w:hint="cs"/>
          <w:rtl/>
        </w:rPr>
        <w:t xml:space="preserve"> ולשמור על ה</w:t>
      </w:r>
      <w:r w:rsidRPr="00DC3374">
        <w:rPr>
          <w:rFonts w:asciiTheme="minorHAnsi" w:hAnsiTheme="minorHAnsi"/>
          <w:rtl/>
        </w:rPr>
        <w:t>לכידות החברתית</w:t>
      </w:r>
      <w:r>
        <w:rPr>
          <w:rStyle w:val="FootnoteReference1"/>
          <w:rFonts w:asciiTheme="minorHAnsi" w:hAnsiTheme="minorHAnsi"/>
          <w:rtl/>
        </w:rPr>
        <w:footnoteReference w:id="78"/>
      </w:r>
      <w:r w:rsidRPr="00DC3374">
        <w:rPr>
          <w:rFonts w:asciiTheme="minorHAnsi" w:hAnsiTheme="minorHAnsi" w:hint="cs"/>
          <w:rtl/>
        </w:rPr>
        <w:t>.</w:t>
      </w:r>
    </w:p>
    <w:p w:rsidR="00663CC2" w:rsidRPr="00DC3374" w:rsidP="00E81188" w14:paraId="51CA5D79" w14:textId="7D74377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5B70C911" w14:textId="77777777">
      <w:pPr>
        <w:pStyle w:val="ListParagraph"/>
        <w:numPr>
          <w:ilvl w:val="0"/>
          <w:numId w:val="4"/>
        </w:numPr>
        <w:spacing w:line="269" w:lineRule="auto"/>
        <w:rPr>
          <w:rtl/>
        </w:rPr>
      </w:pPr>
      <w:r w:rsidRPr="00DC3374">
        <w:rPr>
          <w:rFonts w:hint="cs"/>
          <w:rtl/>
        </w:rPr>
        <w:t xml:space="preserve">אנשים </w:t>
      </w:r>
      <w:r w:rsidRPr="00DC3374">
        <w:rPr>
          <w:rtl/>
        </w:rPr>
        <w:t>זקוקים לכישורי אוריינות דיגיטלית ו</w:t>
      </w:r>
      <w:r w:rsidRPr="00DC3374">
        <w:rPr>
          <w:rFonts w:hint="cs"/>
          <w:rtl/>
        </w:rPr>
        <w:t>הבנה בתחום הבריאות</w:t>
      </w:r>
      <w:r w:rsidRPr="00DC3374">
        <w:rPr>
          <w:rtl/>
        </w:rPr>
        <w:t xml:space="preserve"> כדי להבין את התוכן </w:t>
      </w:r>
      <w:r w:rsidRPr="00DC3374">
        <w:rPr>
          <w:rFonts w:hint="cs"/>
          <w:rtl/>
        </w:rPr>
        <w:t>הזמין</w:t>
      </w:r>
      <w:r w:rsidRPr="00DC3374">
        <w:rPr>
          <w:rtl/>
        </w:rPr>
        <w:t xml:space="preserve"> באינטרנט </w:t>
      </w:r>
      <w:r w:rsidRPr="00DC3374">
        <w:rPr>
          <w:rFonts w:hint="cs"/>
          <w:rtl/>
        </w:rPr>
        <w:t xml:space="preserve">בנוגע לנגיף הקורונה, לנווט בין מקורות המידע השונים ולהצליח </w:t>
      </w:r>
      <w:r w:rsidRPr="00DC3374">
        <w:rPr>
          <w:rtl/>
        </w:rPr>
        <w:t>להבחין</w:t>
      </w:r>
      <w:r w:rsidRPr="00DC3374">
        <w:rPr>
          <w:rFonts w:hint="cs"/>
          <w:rtl/>
        </w:rPr>
        <w:t xml:space="preserve"> בין </w:t>
      </w:r>
      <w:r w:rsidRPr="00DC3374">
        <w:rPr>
          <w:rtl/>
        </w:rPr>
        <w:t xml:space="preserve">עובדות </w:t>
      </w:r>
      <w:r w:rsidRPr="00DC3374">
        <w:rPr>
          <w:rFonts w:hint="cs"/>
          <w:rtl/>
        </w:rPr>
        <w:t>מבוססות, לרבות מהבחינה המדעית</w:t>
      </w:r>
      <w:r w:rsidRPr="00DC3374">
        <w:rPr>
          <w:rtl/>
        </w:rPr>
        <w:t xml:space="preserve">, </w:t>
      </w:r>
      <w:r w:rsidRPr="00DC3374">
        <w:rPr>
          <w:rFonts w:hint="cs"/>
          <w:rtl/>
        </w:rPr>
        <w:t>לבין מידע שאינו מבוסס ולכן עלול להיות, בסבירות גבוהה, לא מדויק ואף שגוי</w:t>
      </w:r>
      <w:r>
        <w:rPr>
          <w:rStyle w:val="FootnoteReference1"/>
          <w:rtl/>
        </w:rPr>
        <w:footnoteReference w:id="79"/>
      </w:r>
      <w:r w:rsidRPr="00DC3374">
        <w:rPr>
          <w:rFonts w:hint="cs"/>
          <w:rtl/>
        </w:rPr>
        <w:t xml:space="preserve">. הדבר עלה מתוצאות סקר של חברת תקשורת ישראלית, ולפיהן כ-60% מהציבור אינו מבחין בין מידע כוזב ובין מידע מבוסס ואמין, שכן חלק ניכר מהציבור אינו מצליח להבחין </w:t>
      </w:r>
      <w:r w:rsidRPr="00DC3374" w:rsidR="00B223B7">
        <w:rPr>
          <w:rFonts w:hint="cs"/>
          <w:rtl/>
        </w:rPr>
        <w:t xml:space="preserve">בין </w:t>
      </w:r>
      <w:r w:rsidRPr="00DC3374">
        <w:rPr>
          <w:rFonts w:hint="cs"/>
          <w:rtl/>
        </w:rPr>
        <w:t>מידע אמין למידע כוזב גם לאחר ניסיון לבדוק את אמינות המידע ברשתות</w:t>
      </w:r>
      <w:r>
        <w:rPr>
          <w:rStyle w:val="FootnoteReference1"/>
          <w:rtl/>
        </w:rPr>
        <w:footnoteReference w:id="80"/>
      </w:r>
      <w:r w:rsidRPr="00DC3374">
        <w:rPr>
          <w:rFonts w:hint="cs"/>
          <w:rtl/>
        </w:rPr>
        <w:t>.</w:t>
      </w:r>
    </w:p>
    <w:p w:rsidR="00663CC2" w:rsidRPr="00DC3374" w:rsidP="00E81188" w14:paraId="10DE876A" w14:textId="39636D3A">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43FDB91C" w14:textId="77777777">
      <w:pPr>
        <w:pStyle w:val="ListParagraph"/>
        <w:spacing w:line="269" w:lineRule="auto"/>
        <w:ind w:left="340"/>
        <w:rPr>
          <w:rtl/>
        </w:rPr>
      </w:pPr>
      <w:r w:rsidRPr="00DC3374">
        <w:rPr>
          <w:rFonts w:asciiTheme="minorHAnsi" w:hAnsiTheme="minorHAnsi"/>
          <w:rtl/>
        </w:rPr>
        <w:t>במצב של פערי ידע עצומים ב</w:t>
      </w:r>
      <w:r w:rsidRPr="00DC3374">
        <w:rPr>
          <w:rFonts w:asciiTheme="minorHAnsi" w:hAnsiTheme="minorHAnsi" w:hint="cs"/>
          <w:rtl/>
        </w:rPr>
        <w:t>נוגע</w:t>
      </w:r>
      <w:r w:rsidRPr="00DC3374">
        <w:rPr>
          <w:rFonts w:asciiTheme="minorHAnsi" w:hAnsiTheme="minorHAnsi"/>
          <w:rtl/>
        </w:rPr>
        <w:t xml:space="preserve"> לתופעה חדשה וחסרת תקדים</w:t>
      </w:r>
      <w:r w:rsidRPr="00DC3374">
        <w:rPr>
          <w:rFonts w:asciiTheme="minorHAnsi" w:hAnsiTheme="minorHAnsi" w:hint="cs"/>
          <w:rtl/>
        </w:rPr>
        <w:t xml:space="preserve"> וקושי של חלק ניכר מהציבור להבחין בין מידע אמין למידע כוזב, גובר הסיכוי להפצת מידע כוזב. למעשה,</w:t>
      </w:r>
      <w:r w:rsidRPr="00DC3374">
        <w:rPr>
          <w:rFonts w:asciiTheme="minorHAnsi" w:hAnsiTheme="minorHAnsi"/>
          <w:rtl/>
        </w:rPr>
        <w:t xml:space="preserve"> כמעט לא קיימים חסמים בפני הפצת </w:t>
      </w:r>
      <w:r w:rsidRPr="00DC3374">
        <w:rPr>
          <w:rFonts w:asciiTheme="minorHAnsi" w:hAnsiTheme="minorHAnsi" w:hint="cs"/>
          <w:rtl/>
        </w:rPr>
        <w:t>מידע כוזב</w:t>
      </w:r>
      <w:r>
        <w:rPr>
          <w:rStyle w:val="FootnoteReference1"/>
          <w:rFonts w:asciiTheme="minorHAnsi" w:hAnsiTheme="minorHAnsi"/>
          <w:rtl/>
        </w:rPr>
        <w:footnoteReference w:id="81"/>
      </w:r>
      <w:r w:rsidRPr="00DC3374">
        <w:rPr>
          <w:rFonts w:asciiTheme="minorHAnsi" w:hAnsiTheme="minorHAnsi" w:hint="cs"/>
          <w:rtl/>
        </w:rPr>
        <w:t>, ובכלל זאת באמצעי התקשורת המסורתיים, באתרי האינטרנט וברשתות החברתיות.</w:t>
      </w:r>
    </w:p>
    <w:p w:rsidR="00663CC2" w:rsidRPr="00DC3374" w:rsidP="00E81188" w14:paraId="77B34B93" w14:textId="2275232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34672F87" w14:textId="7D5733D7">
      <w:pPr>
        <w:pStyle w:val="ListParagraph"/>
        <w:numPr>
          <w:ilvl w:val="0"/>
          <w:numId w:val="4"/>
        </w:numPr>
        <w:spacing w:line="269" w:lineRule="auto"/>
      </w:pPr>
      <w:r w:rsidRPr="00DC3374">
        <w:rPr>
          <w:rFonts w:hint="cs"/>
          <w:rtl/>
        </w:rPr>
        <w:t>במהלך משבר הקורונה הופצו ידיעות כוזבות בארץ ובעולם, בעיקר תוך שימוש ברשתות החברתיות, וניתן לחלקן לכמה סוגים: (א) מספר החולים שנפטרו מהמחלה, לרבות תמונות וסרטונים מזויפים בנושא;</w:t>
      </w:r>
      <w:r w:rsidR="009A11FC">
        <w:rPr>
          <w:rFonts w:hint="cs"/>
          <w:rtl/>
        </w:rPr>
        <w:t xml:space="preserve"> </w:t>
      </w:r>
      <w:r w:rsidRPr="00DC3374">
        <w:rPr>
          <w:rFonts w:hint="cs"/>
          <w:rtl/>
        </w:rPr>
        <w:t>(ב) יעילות המסכות והצורך להשתמש בהן;</w:t>
      </w:r>
      <w:r w:rsidR="009A11FC">
        <w:rPr>
          <w:rFonts w:hint="cs"/>
          <w:rtl/>
        </w:rPr>
        <w:t xml:space="preserve"> </w:t>
      </w:r>
      <w:r w:rsidRPr="00DC3374">
        <w:rPr>
          <w:rFonts w:hint="cs"/>
          <w:rtl/>
        </w:rPr>
        <w:t>(ג) "תרופות פלא" להתגוננות מפני המחלה ולריפוי; (ד) המלצות לכאורה מטעם הממשל בתחום הכלכלי (לדוגמה - המלצה "מזויפת" של משרד האוצר להפסיק מסחר בבורסה);</w:t>
      </w:r>
      <w:r w:rsidR="009A11FC">
        <w:rPr>
          <w:rFonts w:hint="cs"/>
          <w:rtl/>
        </w:rPr>
        <w:t xml:space="preserve"> </w:t>
      </w:r>
      <w:r w:rsidRPr="00DC3374">
        <w:rPr>
          <w:rFonts w:hint="cs"/>
          <w:rtl/>
        </w:rPr>
        <w:t>(ה) היבטים של שגרת חיים - פרסום שקרי על ביטול גורף של לימודים, הפצת שמועות כזב על סגירת כלל המשק וכדומה</w:t>
      </w:r>
      <w:r>
        <w:rPr>
          <w:rStyle w:val="FootnoteReference1"/>
          <w:rtl/>
        </w:rPr>
        <w:footnoteReference w:id="82"/>
      </w:r>
      <w:r w:rsidRPr="00DC3374">
        <w:rPr>
          <w:rFonts w:hint="cs"/>
          <w:rtl/>
        </w:rPr>
        <w:t>.</w:t>
      </w:r>
    </w:p>
    <w:p w:rsidR="00F76146" w14:paraId="75D24F3B" w14:textId="77777777">
      <w:pPr>
        <w:spacing w:line="240" w:lineRule="auto"/>
        <w:ind w:left="720" w:hanging="720"/>
        <w:rPr>
          <w:szCs w:val="20"/>
          <w:rtl/>
        </w:rPr>
      </w:pPr>
      <w:r>
        <w:rPr>
          <w:rtl/>
        </w:rPr>
        <w:br w:type="page"/>
      </w:r>
    </w:p>
    <w:p w:rsidR="00663CC2" w:rsidRPr="00DC3374" w:rsidP="00E81188" w14:paraId="759721E3" w14:textId="59F3B778">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41FBE51F" w14:textId="77777777">
      <w:pPr>
        <w:spacing w:line="269" w:lineRule="auto"/>
        <w:ind w:left="312"/>
        <w:rPr>
          <w:rtl/>
        </w:rPr>
      </w:pPr>
      <w:r w:rsidRPr="00DC3374">
        <w:rPr>
          <w:rFonts w:hint="cs"/>
          <w:rtl/>
        </w:rPr>
        <w:t>להלן תמונות ובהן דוגמאות לידיעות כוזבות שהופצו בישראל ובעולם:</w:t>
      </w:r>
    </w:p>
    <w:p w:rsidR="00663CC2" w:rsidRPr="00DC3374" w:rsidP="00E81188" w14:paraId="28BC4289" w14:textId="12CF1A4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5951529E" w14:textId="77777777">
      <w:pPr>
        <w:spacing w:line="269" w:lineRule="auto"/>
        <w:jc w:val="center"/>
        <w:rPr>
          <w:b/>
          <w:bCs/>
          <w:rtl/>
        </w:rPr>
      </w:pPr>
      <w:r w:rsidRPr="00DC3374">
        <w:rPr>
          <w:rFonts w:hint="eastAsia"/>
          <w:b/>
          <w:bCs/>
          <w:rtl/>
        </w:rPr>
        <w:t>תמונה</w:t>
      </w:r>
      <w:r w:rsidRPr="00DC3374">
        <w:rPr>
          <w:b/>
          <w:bCs/>
          <w:rtl/>
        </w:rPr>
        <w:t xml:space="preserve"> 3: דוגמאות לידיעות כוזבות על "תרופות פלא" לקורונה</w:t>
      </w:r>
    </w:p>
    <w:p w:rsidR="00663CC2" w:rsidRPr="00DC3374" w:rsidP="00E81188" w14:paraId="1FDB50DD" w14:textId="77777777">
      <w:pPr>
        <w:spacing w:line="269" w:lineRule="auto"/>
        <w:rPr>
          <w:rtl/>
        </w:rPr>
      </w:pPr>
      <w:r w:rsidRPr="00DC3374">
        <w:rPr>
          <w:noProof/>
        </w:rPr>
        <w:drawing>
          <wp:inline distT="0" distB="0" distL="0" distR="0">
            <wp:extent cx="4901109" cy="4932000"/>
            <wp:effectExtent l="0" t="0" r="0" b="2540"/>
            <wp:docPr id="48" name="תמונה 48" descr="C:\Users\haim_sha\AppData\Local\Microsoft\Windows\INetCache\Content.Word\M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87559" name="Picture 1" descr="C:\Users\haim_sha\AppData\Local\Microsoft\Windows\INetCache\Content.Word\MR-picture-3.jpg"/>
                    <pic:cNvPicPr>
                      <a:picLocks noChangeAspect="1" noChangeArrowheads="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01109" cy="4932000"/>
                    </a:xfrm>
                    <a:prstGeom prst="rect">
                      <a:avLst/>
                    </a:prstGeom>
                    <a:noFill/>
                    <a:ln>
                      <a:noFill/>
                    </a:ln>
                  </pic:spPr>
                </pic:pic>
              </a:graphicData>
            </a:graphic>
          </wp:inline>
        </w:drawing>
      </w:r>
    </w:p>
    <w:p w:rsidR="008741EB" w:rsidRPr="00DC3374" w:rsidP="00E81188" w14:paraId="3BBA037B" w14:textId="5F08DAEF">
      <w:pPr>
        <w:spacing w:line="269" w:lineRule="auto"/>
        <w:rPr>
          <w:szCs w:val="20"/>
        </w:rPr>
      </w:pPr>
      <w:r w:rsidRPr="00DC3374">
        <w:rPr>
          <w:rFonts w:hint="cs"/>
          <w:szCs w:val="20"/>
          <w:rtl/>
        </w:rPr>
        <w:t>מתוך אתר האינטרנט ודף הפייסבוק של מכון דוידסון למדע</w:t>
      </w:r>
      <w:r w:rsidRPr="00DC3374">
        <w:rPr>
          <w:rFonts w:hint="cs"/>
          <w:szCs w:val="20"/>
          <w:rtl/>
        </w:rPr>
        <w:t xml:space="preserve"> ומתוך אתר האינטרנט של ארגון הבריאות העולמי</w:t>
      </w:r>
    </w:p>
    <w:p w:rsidR="004475B8" w:rsidRPr="00DC3374" w:rsidP="00E81188" w14:paraId="6A244D50" w14:textId="77777777">
      <w:pPr>
        <w:spacing w:line="269" w:lineRule="auto"/>
        <w:ind w:left="720" w:hanging="720"/>
        <w:rPr>
          <w:szCs w:val="20"/>
          <w:rtl/>
        </w:rPr>
      </w:pPr>
      <w:r w:rsidRPr="00DC3374">
        <w:rPr>
          <w:rtl/>
        </w:rPr>
        <w:br w:type="page"/>
      </w:r>
    </w:p>
    <w:p w:rsidR="00663CC2" w:rsidRPr="00DC3374" w:rsidP="00E81188" w14:paraId="0DB6E8C8" w14:textId="129BE49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3D0CF7A7" w14:textId="77777777">
      <w:pPr>
        <w:spacing w:line="269" w:lineRule="auto"/>
        <w:jc w:val="center"/>
        <w:rPr>
          <w:b/>
          <w:bCs/>
          <w:rtl/>
        </w:rPr>
      </w:pPr>
      <w:r w:rsidRPr="00DC3374">
        <w:rPr>
          <w:rFonts w:hint="eastAsia"/>
          <w:b/>
          <w:bCs/>
          <w:rtl/>
        </w:rPr>
        <w:t>תמונה</w:t>
      </w:r>
      <w:r w:rsidRPr="00DC3374">
        <w:rPr>
          <w:b/>
          <w:bCs/>
          <w:rtl/>
        </w:rPr>
        <w:t xml:space="preserve"> 4: </w:t>
      </w:r>
      <w:r w:rsidRPr="00DC3374">
        <w:rPr>
          <w:rFonts w:hint="eastAsia"/>
          <w:b/>
          <w:bCs/>
          <w:rtl/>
        </w:rPr>
        <w:t>דוגמה</w:t>
      </w:r>
      <w:r w:rsidRPr="00DC3374">
        <w:rPr>
          <w:b/>
          <w:bCs/>
          <w:rtl/>
        </w:rPr>
        <w:t xml:space="preserve"> </w:t>
      </w:r>
      <w:r w:rsidRPr="00DC3374">
        <w:rPr>
          <w:rFonts w:hint="eastAsia"/>
          <w:b/>
          <w:bCs/>
          <w:rtl/>
        </w:rPr>
        <w:t>לידיעה</w:t>
      </w:r>
      <w:r w:rsidRPr="00DC3374">
        <w:rPr>
          <w:b/>
          <w:bCs/>
          <w:rtl/>
        </w:rPr>
        <w:t xml:space="preserve"> </w:t>
      </w:r>
      <w:r w:rsidRPr="00DC3374">
        <w:rPr>
          <w:rFonts w:hint="eastAsia"/>
          <w:b/>
          <w:bCs/>
          <w:rtl/>
        </w:rPr>
        <w:t>כוזבת</w:t>
      </w:r>
      <w:r w:rsidRPr="00DC3374">
        <w:rPr>
          <w:b/>
          <w:bCs/>
          <w:rtl/>
        </w:rPr>
        <w:t xml:space="preserve"> </w:t>
      </w:r>
      <w:r w:rsidRPr="00DC3374">
        <w:rPr>
          <w:rFonts w:hint="eastAsia"/>
          <w:b/>
          <w:bCs/>
          <w:rtl/>
        </w:rPr>
        <w:t>על</w:t>
      </w:r>
      <w:r w:rsidRPr="00DC3374">
        <w:rPr>
          <w:b/>
          <w:bCs/>
          <w:rtl/>
        </w:rPr>
        <w:t xml:space="preserve"> </w:t>
      </w:r>
      <w:r w:rsidRPr="00DC3374">
        <w:rPr>
          <w:rFonts w:hint="eastAsia"/>
          <w:b/>
          <w:bCs/>
          <w:rtl/>
        </w:rPr>
        <w:t>אודות</w:t>
      </w:r>
      <w:r w:rsidRPr="00DC3374">
        <w:rPr>
          <w:b/>
          <w:bCs/>
          <w:rtl/>
        </w:rPr>
        <w:t xml:space="preserve"> "מענקים"</w:t>
      </w:r>
    </w:p>
    <w:p w:rsidR="00D42959" w:rsidRPr="00DC3374" w:rsidP="00E81188" w14:paraId="315E677B" w14:textId="31290C2A">
      <w:pPr>
        <w:spacing w:line="269" w:lineRule="auto"/>
        <w:jc w:val="center"/>
        <w:rPr>
          <w:szCs w:val="20"/>
          <w:rtl/>
        </w:rPr>
      </w:pPr>
      <w:r w:rsidRPr="00DC3374">
        <w:rPr>
          <w:noProof/>
        </w:rPr>
        <w:drawing>
          <wp:inline distT="0" distB="0" distL="0" distR="0">
            <wp:extent cx="3708000" cy="3708000"/>
            <wp:effectExtent l="0" t="0" r="6985" b="6985"/>
            <wp:docPr id="4" name="תמונה 4" descr="C:\Users\haim_sha\AppData\Local\Microsoft\Windows\INetCache\Content.Word\MR-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98841" name="Picture 3" descr="C:\Users\haim_sha\AppData\Local\Microsoft\Windows\INetCache\Content.Word\MR-picture-4.jpg"/>
                    <pic:cNvPicPr>
                      <a:picLocks noChangeAspect="1" noChangeArrowheads="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08000" cy="3708000"/>
                    </a:xfrm>
                    <a:prstGeom prst="rect">
                      <a:avLst/>
                    </a:prstGeom>
                    <a:noFill/>
                    <a:ln>
                      <a:noFill/>
                    </a:ln>
                  </pic:spPr>
                </pic:pic>
              </a:graphicData>
            </a:graphic>
          </wp:inline>
        </w:drawing>
      </w:r>
    </w:p>
    <w:p w:rsidR="00663CC2" w:rsidRPr="00DC3374" w:rsidP="00E81188" w14:paraId="6388C66E" w14:textId="16AE2216">
      <w:pPr>
        <w:spacing w:line="269" w:lineRule="auto"/>
        <w:ind w:firstLine="720"/>
        <w:rPr>
          <w:szCs w:val="20"/>
          <w:rtl/>
        </w:rPr>
      </w:pPr>
      <w:r w:rsidRPr="00DC3374">
        <w:rPr>
          <w:rFonts w:hint="cs"/>
          <w:szCs w:val="20"/>
          <w:rtl/>
        </w:rPr>
        <w:t xml:space="preserve">מתוך אתר האינטרנט של המוסד לביטוח לאומי, 7.1.21. </w:t>
      </w:r>
    </w:p>
    <w:p w:rsidR="00663CC2" w:rsidRPr="00DC3374" w:rsidP="00E81188" w14:paraId="113149CC" w14:textId="3ED6F16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2AE8D6CD" w14:textId="77777777">
      <w:pPr>
        <w:spacing w:line="269" w:lineRule="auto"/>
        <w:jc w:val="center"/>
        <w:rPr>
          <w:b/>
          <w:bCs/>
          <w:rtl/>
        </w:rPr>
      </w:pPr>
      <w:r w:rsidRPr="00DC3374">
        <w:rPr>
          <w:rFonts w:hint="cs"/>
          <w:b/>
          <w:bCs/>
          <w:rtl/>
        </w:rPr>
        <w:t>תמונה 5: דוגמאות לידיעות כוזבות ממרץ 2020 שהופרכו באתר האינטרנט "לא רלוונטי"</w:t>
      </w:r>
    </w:p>
    <w:p w:rsidR="00663CC2" w:rsidRPr="00DC3374" w:rsidP="00E81188" w14:paraId="41853916" w14:textId="77777777">
      <w:pPr>
        <w:spacing w:line="269" w:lineRule="auto"/>
        <w:jc w:val="center"/>
        <w:rPr>
          <w:b/>
          <w:bCs/>
          <w:rtl/>
        </w:rPr>
      </w:pPr>
      <w:r w:rsidRPr="00DC3374">
        <w:rPr>
          <w:noProof/>
        </w:rPr>
        <w:drawing>
          <wp:inline distT="0" distB="0" distL="0" distR="0">
            <wp:extent cx="3796441" cy="3420000"/>
            <wp:effectExtent l="0" t="0" r="0" b="9525"/>
            <wp:docPr id="49" name="תמונה 49" descr="C:\Users\haim_sha\AppData\Local\Microsoft\Windows\INetCache\Content.Word\MR-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80575" name="Picture 3" descr="C:\Users\haim_sha\AppData\Local\Microsoft\Windows\INetCache\Content.Word\MR-picture-5.jpg"/>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96441" cy="3420000"/>
                    </a:xfrm>
                    <a:prstGeom prst="rect">
                      <a:avLst/>
                    </a:prstGeom>
                    <a:noFill/>
                    <a:ln>
                      <a:noFill/>
                    </a:ln>
                  </pic:spPr>
                </pic:pic>
              </a:graphicData>
            </a:graphic>
          </wp:inline>
        </w:drawing>
      </w:r>
    </w:p>
    <w:p w:rsidR="00663CC2" w:rsidP="00E81188" w14:paraId="2EEBC6D4" w14:textId="741EC50A">
      <w:pPr>
        <w:spacing w:line="269" w:lineRule="auto"/>
        <w:rPr>
          <w:szCs w:val="20"/>
          <w:rtl/>
        </w:rPr>
      </w:pPr>
      <w:r w:rsidRPr="00DC3374">
        <w:rPr>
          <w:rFonts w:hint="cs"/>
          <w:szCs w:val="20"/>
          <w:rtl/>
        </w:rPr>
        <w:t xml:space="preserve">מתוך אתר האינטרנט "לא רלוונטי", </w:t>
      </w:r>
      <w:r w:rsidRPr="00DC3374">
        <w:t>https://irrelevant.org.il</w:t>
      </w:r>
      <w:r w:rsidRPr="00DC3374">
        <w:rPr>
          <w:rFonts w:hint="cs"/>
          <w:szCs w:val="20"/>
          <w:rtl/>
        </w:rPr>
        <w:t>, 2.7.20.</w:t>
      </w:r>
    </w:p>
    <w:p w:rsidR="00F76146" w:rsidP="00E81188" w14:paraId="5B7A024C" w14:textId="685A790F">
      <w:pPr>
        <w:spacing w:line="269" w:lineRule="auto"/>
        <w:rPr>
          <w:szCs w:val="20"/>
          <w:rtl/>
        </w:rPr>
      </w:pPr>
    </w:p>
    <w:p w:rsidR="00F76146" w:rsidP="00E81188" w14:paraId="71E3334D" w14:textId="7FD3DBE9">
      <w:pPr>
        <w:spacing w:line="269" w:lineRule="auto"/>
        <w:rPr>
          <w:szCs w:val="20"/>
          <w:rtl/>
        </w:rPr>
      </w:pPr>
    </w:p>
    <w:p w:rsidR="00F76146" w:rsidRPr="00DC3374" w:rsidP="00E81188" w14:paraId="7DA88169" w14:textId="77777777">
      <w:pPr>
        <w:spacing w:line="269" w:lineRule="auto"/>
        <w:rPr>
          <w:szCs w:val="20"/>
          <w:rtl/>
        </w:rPr>
      </w:pPr>
    </w:p>
    <w:p w:rsidR="00663CC2" w:rsidRPr="00DC3374" w:rsidP="00E81188" w14:paraId="26377195" w14:textId="0C2D520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380D2E4E" w14:textId="77777777">
      <w:pPr>
        <w:spacing w:line="269" w:lineRule="auto"/>
        <w:ind w:left="312"/>
        <w:rPr>
          <w:rtl/>
        </w:rPr>
      </w:pPr>
      <w:r w:rsidRPr="00DC3374">
        <w:rPr>
          <w:rFonts w:hint="cs"/>
          <w:rtl/>
        </w:rPr>
        <w:t>מחקר שעקב אחר פעילות קבוצות שונות בפייסבוק</w:t>
      </w:r>
      <w:r>
        <w:rPr>
          <w:rStyle w:val="FootnoteReference1"/>
          <w:rtl/>
        </w:rPr>
        <w:footnoteReference w:id="83"/>
      </w:r>
      <w:r w:rsidRPr="00DC3374">
        <w:rPr>
          <w:rFonts w:hint="cs"/>
          <w:rtl/>
        </w:rPr>
        <w:t xml:space="preserve"> העלה כי מאז פרוץ המגפה, בתחילת שנת 2020, נפתחו בישראל 12 קבוצות לפחות של "מכחישי קורונה" המכחישים את דבר קיומה של המגפה, על השפעותיה, ושל קבוצות אנשים המתנגדים לחיסונים, ה</w:t>
      </w:r>
      <w:r w:rsidRPr="00DC3374">
        <w:rPr>
          <w:rtl/>
        </w:rPr>
        <w:t>מפיצ</w:t>
      </w:r>
      <w:r w:rsidRPr="00DC3374">
        <w:rPr>
          <w:rFonts w:hint="cs"/>
          <w:rtl/>
        </w:rPr>
        <w:t>ות</w:t>
      </w:r>
      <w:r w:rsidRPr="00DC3374">
        <w:rPr>
          <w:rtl/>
        </w:rPr>
        <w:t xml:space="preserve"> דיסאינפורמציה ברשת על המגפה</w:t>
      </w:r>
      <w:r w:rsidRPr="00DC3374">
        <w:rPr>
          <w:rFonts w:hint="cs"/>
          <w:rtl/>
        </w:rPr>
        <w:t>.</w:t>
      </w:r>
      <w:r w:rsidRPr="00DC3374">
        <w:rPr>
          <w:rtl/>
        </w:rPr>
        <w:t xml:space="preserve"> </w:t>
      </w:r>
      <w:r w:rsidRPr="00DC3374">
        <w:rPr>
          <w:rFonts w:hint="cs"/>
          <w:rtl/>
        </w:rPr>
        <w:t>רוב הקבוצות האלה סגורות לקהל הרחב ופתוחות רק לחברים שאושרו על ידי מנהלי הקבוצות. בכל קבוצה כזאת יש מאות ולעיתים אף אלפי חברים, ובסך הכול אותרו יותר מ-16,000 חברים. על פי המחקר, הפעילים בקבוצות מנסים</w:t>
      </w:r>
      <w:r w:rsidRPr="00DC3374">
        <w:rPr>
          <w:rtl/>
        </w:rPr>
        <w:t xml:space="preserve"> להשתלט על סדר היום</w:t>
      </w:r>
      <w:r w:rsidRPr="00DC3374">
        <w:rPr>
          <w:rFonts w:hint="cs"/>
          <w:rtl/>
        </w:rPr>
        <w:t xml:space="preserve"> הציבורי</w:t>
      </w:r>
      <w:r w:rsidRPr="00DC3374">
        <w:rPr>
          <w:rtl/>
        </w:rPr>
        <w:t xml:space="preserve"> </w:t>
      </w:r>
      <w:r w:rsidRPr="00DC3374">
        <w:rPr>
          <w:rFonts w:hint="cs"/>
          <w:rtl/>
        </w:rPr>
        <w:t>ו</w:t>
      </w:r>
      <w:r w:rsidRPr="00DC3374">
        <w:rPr>
          <w:rtl/>
        </w:rPr>
        <w:t>לייצר מצג שווא של המוני אדם</w:t>
      </w:r>
      <w:r w:rsidRPr="00DC3374">
        <w:rPr>
          <w:rFonts w:hint="cs"/>
          <w:rtl/>
        </w:rPr>
        <w:t xml:space="preserve"> המכחישים את דבר קיומה של המגפה. עוד עלה במחקר כי </w:t>
      </w:r>
      <w:r w:rsidRPr="00DC3374">
        <w:rPr>
          <w:rtl/>
        </w:rPr>
        <w:t xml:space="preserve">קבוצות </w:t>
      </w:r>
      <w:r w:rsidRPr="00DC3374">
        <w:rPr>
          <w:rFonts w:hint="cs"/>
          <w:rtl/>
        </w:rPr>
        <w:t xml:space="preserve">שנסגרו בעקבות </w:t>
      </w:r>
      <w:r w:rsidRPr="00DC3374">
        <w:rPr>
          <w:rtl/>
        </w:rPr>
        <w:t>דיווחים</w:t>
      </w:r>
      <w:r w:rsidRPr="00DC3374">
        <w:rPr>
          <w:rFonts w:hint="cs"/>
          <w:rtl/>
        </w:rPr>
        <w:t xml:space="preserve"> על הפצתן מידע כוזב</w:t>
      </w:r>
      <w:r w:rsidRPr="00DC3374">
        <w:rPr>
          <w:rtl/>
        </w:rPr>
        <w:t xml:space="preserve"> </w:t>
      </w:r>
      <w:r w:rsidRPr="00DC3374">
        <w:rPr>
          <w:rFonts w:hint="cs"/>
          <w:rtl/>
        </w:rPr>
        <w:t xml:space="preserve">נפתחו לעיתים </w:t>
      </w:r>
      <w:r w:rsidRPr="00DC3374">
        <w:rPr>
          <w:rtl/>
        </w:rPr>
        <w:t>מחדש</w:t>
      </w:r>
      <w:r>
        <w:rPr>
          <w:rStyle w:val="FootnoteReference1"/>
          <w:rtl/>
        </w:rPr>
        <w:footnoteReference w:id="84"/>
      </w:r>
      <w:r w:rsidRPr="00DC3374">
        <w:rPr>
          <w:rtl/>
        </w:rPr>
        <w:t xml:space="preserve">. </w:t>
      </w:r>
    </w:p>
    <w:p w:rsidR="00663CC2" w:rsidRPr="00DC3374" w:rsidP="00E81188" w14:paraId="6CB6439F" w14:textId="5DA69E16">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274D0A13" w14:textId="77777777">
      <w:pPr>
        <w:pStyle w:val="ListParagraph"/>
        <w:numPr>
          <w:ilvl w:val="0"/>
          <w:numId w:val="4"/>
        </w:numPr>
        <w:spacing w:line="269" w:lineRule="auto"/>
        <w:rPr>
          <w:sz w:val="24"/>
          <w:rtl/>
        </w:rPr>
      </w:pPr>
      <w:r w:rsidRPr="00DC3374">
        <w:rPr>
          <w:rFonts w:hint="cs"/>
          <w:sz w:val="24"/>
          <w:rtl/>
        </w:rPr>
        <w:t>ארגון ה-</w:t>
      </w:r>
      <w:r w:rsidRPr="00DC3374">
        <w:rPr>
          <w:rFonts w:hint="cs"/>
          <w:sz w:val="24"/>
        </w:rPr>
        <w:t>OECD</w:t>
      </w:r>
      <w:r>
        <w:rPr>
          <w:rStyle w:val="FootnoteReference1"/>
          <w:sz w:val="24"/>
          <w:rtl/>
        </w:rPr>
        <w:footnoteReference w:id="85"/>
      </w:r>
      <w:r w:rsidRPr="00DC3374">
        <w:rPr>
          <w:rFonts w:hint="cs"/>
          <w:sz w:val="24"/>
          <w:rtl/>
        </w:rPr>
        <w:t xml:space="preserve"> מצא ביולי 2020 כי אף שאין דרך קלה לפתור לחלוטין את בעיית המידע הכוזב בנוגע למגפת הקורונה, הרי שיש דרכי פעולה לצמצום התופעה: ניטור שיטתי של המידע הכוזב; תמיכה בארגונים עצמאיים הבודקים עובדות שמתפרסמות; הפעלת גורמים אנושיים לניטור המידע הכוזב לצד ה</w:t>
      </w:r>
      <w:r w:rsidRPr="00DC3374">
        <w:rPr>
          <w:sz w:val="24"/>
          <w:rtl/>
        </w:rPr>
        <w:t xml:space="preserve">פתרונות </w:t>
      </w:r>
      <w:r w:rsidRPr="00DC3374">
        <w:rPr>
          <w:rFonts w:hint="cs"/>
          <w:sz w:val="24"/>
          <w:rtl/>
        </w:rPr>
        <w:t>ה</w:t>
      </w:r>
      <w:r w:rsidRPr="00DC3374">
        <w:rPr>
          <w:sz w:val="24"/>
          <w:rtl/>
        </w:rPr>
        <w:t>טכנולוגיים</w:t>
      </w:r>
      <w:r w:rsidRPr="00DC3374">
        <w:rPr>
          <w:rFonts w:hint="cs"/>
          <w:sz w:val="24"/>
          <w:rtl/>
        </w:rPr>
        <w:t xml:space="preserve"> שקיימים בנושא</w:t>
      </w:r>
      <w:r w:rsidRPr="00DC3374">
        <w:rPr>
          <w:sz w:val="24"/>
          <w:rtl/>
        </w:rPr>
        <w:t xml:space="preserve">; </w:t>
      </w:r>
      <w:r w:rsidRPr="00DC3374">
        <w:rPr>
          <w:rFonts w:hint="cs"/>
          <w:sz w:val="24"/>
          <w:rtl/>
        </w:rPr>
        <w:t xml:space="preserve">פרסום יזום של </w:t>
      </w:r>
      <w:r w:rsidRPr="00DC3374">
        <w:rPr>
          <w:sz w:val="24"/>
          <w:rtl/>
        </w:rPr>
        <w:t xml:space="preserve">דוחות </w:t>
      </w:r>
      <w:r w:rsidRPr="00DC3374">
        <w:rPr>
          <w:rFonts w:hint="cs"/>
          <w:sz w:val="24"/>
          <w:rtl/>
        </w:rPr>
        <w:t>על מידע שהוכח ככוזב; ש</w:t>
      </w:r>
      <w:r w:rsidRPr="00DC3374">
        <w:rPr>
          <w:sz w:val="24"/>
          <w:rtl/>
        </w:rPr>
        <w:t xml:space="preserve">יפור כישורי </w:t>
      </w:r>
      <w:r w:rsidRPr="00DC3374">
        <w:rPr>
          <w:rFonts w:hint="cs"/>
          <w:sz w:val="24"/>
          <w:rtl/>
        </w:rPr>
        <w:t>ה</w:t>
      </w:r>
      <w:r w:rsidRPr="00DC3374">
        <w:rPr>
          <w:sz w:val="24"/>
          <w:rtl/>
        </w:rPr>
        <w:t>אוריינות</w:t>
      </w:r>
      <w:r w:rsidRPr="00DC3374">
        <w:rPr>
          <w:rFonts w:hint="cs"/>
          <w:sz w:val="24"/>
          <w:rtl/>
        </w:rPr>
        <w:t xml:space="preserve"> הטכנולוגית והרפואית בקרב הציבור</w:t>
      </w:r>
      <w:r>
        <w:rPr>
          <w:rStyle w:val="FootnoteReference1"/>
          <w:sz w:val="24"/>
          <w:rtl/>
        </w:rPr>
        <w:footnoteReference w:id="86"/>
      </w:r>
      <w:r w:rsidRPr="00DC3374">
        <w:rPr>
          <w:rFonts w:hint="cs"/>
          <w:sz w:val="24"/>
          <w:rtl/>
        </w:rPr>
        <w:t xml:space="preserve">. </w:t>
      </w:r>
    </w:p>
    <w:p w:rsidR="00663CC2" w:rsidRPr="00DC3374" w:rsidP="00E81188" w14:paraId="5188302D" w14:textId="3E9E909C">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70AD0DCE" w14:textId="77777777">
      <w:pPr>
        <w:pStyle w:val="ListParagraph"/>
        <w:spacing w:line="269" w:lineRule="auto"/>
        <w:ind w:left="312"/>
        <w:rPr>
          <w:rtl/>
        </w:rPr>
      </w:pPr>
      <w:r w:rsidRPr="00DC3374">
        <w:rPr>
          <w:rFonts w:hint="cs"/>
          <w:rtl/>
        </w:rPr>
        <w:t>המכון למחקרי ביטחון לאומי</w:t>
      </w:r>
      <w:r>
        <w:rPr>
          <w:rStyle w:val="FootnoteReference1"/>
          <w:rtl/>
        </w:rPr>
        <w:footnoteReference w:id="87"/>
      </w:r>
      <w:r w:rsidRPr="00DC3374">
        <w:rPr>
          <w:rFonts w:hint="cs"/>
          <w:rtl/>
        </w:rPr>
        <w:t xml:space="preserve"> המליץ במרץ 2020 על כמה דרכים להתמודדות עם תופעת המידע הכוזב על מגפת הקורונה בישראל: </w:t>
      </w:r>
      <w:r w:rsidRPr="00DC3374">
        <w:rPr>
          <w:rtl/>
        </w:rPr>
        <w:t xml:space="preserve">הגברת השקיפות </w:t>
      </w:r>
      <w:r w:rsidRPr="00DC3374">
        <w:rPr>
          <w:rFonts w:hint="cs"/>
          <w:rtl/>
        </w:rPr>
        <w:t>בדבר</w:t>
      </w:r>
      <w:r w:rsidRPr="00DC3374">
        <w:rPr>
          <w:rtl/>
        </w:rPr>
        <w:t xml:space="preserve"> ממדי התופעה ודרכי ההתמודדות ע</w:t>
      </w:r>
      <w:r w:rsidRPr="00DC3374">
        <w:rPr>
          <w:rFonts w:hint="cs"/>
          <w:rtl/>
        </w:rPr>
        <w:t>י</w:t>
      </w:r>
      <w:r w:rsidRPr="00DC3374">
        <w:rPr>
          <w:rtl/>
        </w:rPr>
        <w:t>מה במדינות שונות בעולם</w:t>
      </w:r>
      <w:r w:rsidRPr="00DC3374">
        <w:rPr>
          <w:rFonts w:hint="cs"/>
          <w:rtl/>
        </w:rPr>
        <w:t>;</w:t>
      </w:r>
      <w:r w:rsidRPr="00DC3374">
        <w:rPr>
          <w:rtl/>
        </w:rPr>
        <w:t xml:space="preserve"> הגברת המודעות הציבורית לצורך בצמצום זיהום השיח על אודות מגפת הקורונה ובצריכה מושכלת של מידע וידע בעת הזאת, מתוך הבנה </w:t>
      </w:r>
      <w:r w:rsidRPr="00DC3374">
        <w:rPr>
          <w:rFonts w:hint="cs"/>
          <w:rtl/>
        </w:rPr>
        <w:t>מהו מידע כוזב</w:t>
      </w:r>
      <w:r w:rsidRPr="00DC3374">
        <w:rPr>
          <w:rtl/>
        </w:rPr>
        <w:t xml:space="preserve"> ומה</w:t>
      </w:r>
      <w:r w:rsidRPr="00DC3374">
        <w:rPr>
          <w:rFonts w:hint="cs"/>
          <w:rtl/>
        </w:rPr>
        <w:t>ם</w:t>
      </w:r>
      <w:r w:rsidRPr="00DC3374">
        <w:rPr>
          <w:rtl/>
        </w:rPr>
        <w:t xml:space="preserve"> האינטרס</w:t>
      </w:r>
      <w:r w:rsidRPr="00DC3374">
        <w:rPr>
          <w:rFonts w:hint="cs"/>
          <w:rtl/>
        </w:rPr>
        <w:t>ים</w:t>
      </w:r>
      <w:r w:rsidRPr="00DC3374">
        <w:rPr>
          <w:rtl/>
        </w:rPr>
        <w:t xml:space="preserve"> להפיצ</w:t>
      </w:r>
      <w:r w:rsidRPr="00DC3374">
        <w:rPr>
          <w:rFonts w:hint="cs"/>
          <w:rtl/>
        </w:rPr>
        <w:t>ו;</w:t>
      </w:r>
      <w:r w:rsidRPr="00DC3374">
        <w:rPr>
          <w:rtl/>
        </w:rPr>
        <w:t xml:space="preserve"> </w:t>
      </w:r>
      <w:r w:rsidRPr="00DC3374">
        <w:rPr>
          <w:rFonts w:hint="cs"/>
          <w:rtl/>
        </w:rPr>
        <w:t>הפצת מידע אמין לציבור באמצעות</w:t>
      </w:r>
      <w:r w:rsidRPr="00DC3374">
        <w:rPr>
          <w:rtl/>
        </w:rPr>
        <w:t xml:space="preserve"> שליחת</w:t>
      </w:r>
      <w:r w:rsidRPr="00DC3374">
        <w:rPr>
          <w:rFonts w:hint="cs"/>
          <w:rtl/>
        </w:rPr>
        <w:t>ו</w:t>
      </w:r>
      <w:r w:rsidRPr="00DC3374">
        <w:rPr>
          <w:rtl/>
        </w:rPr>
        <w:t xml:space="preserve"> </w:t>
      </w:r>
      <w:r w:rsidRPr="00DC3374">
        <w:rPr>
          <w:rFonts w:hint="cs"/>
          <w:rtl/>
        </w:rPr>
        <w:t xml:space="preserve">מטעם משרד הבריאות </w:t>
      </w:r>
      <w:r w:rsidRPr="00DC3374">
        <w:rPr>
          <w:rtl/>
        </w:rPr>
        <w:t xml:space="preserve">ישירות </w:t>
      </w:r>
      <w:r w:rsidRPr="00DC3374">
        <w:rPr>
          <w:rFonts w:hint="cs"/>
          <w:rtl/>
        </w:rPr>
        <w:t xml:space="preserve">לתושבים; </w:t>
      </w:r>
      <w:r w:rsidRPr="00DC3374">
        <w:rPr>
          <w:rtl/>
        </w:rPr>
        <w:t>חיזוק מסרים מבוססי עובדות ב</w:t>
      </w:r>
      <w:r w:rsidRPr="00DC3374">
        <w:rPr>
          <w:rFonts w:hint="cs"/>
          <w:rtl/>
        </w:rPr>
        <w:t>אמצעי ה</w:t>
      </w:r>
      <w:r w:rsidRPr="00DC3374">
        <w:rPr>
          <w:rtl/>
        </w:rPr>
        <w:t xml:space="preserve">תקשורת על אודות </w:t>
      </w:r>
      <w:r w:rsidRPr="00DC3374">
        <w:rPr>
          <w:rFonts w:hint="cs"/>
          <w:rtl/>
        </w:rPr>
        <w:t>המגפה</w:t>
      </w:r>
      <w:r w:rsidRPr="00DC3374">
        <w:rPr>
          <w:rtl/>
        </w:rPr>
        <w:t xml:space="preserve"> כדי לסתור </w:t>
      </w:r>
      <w:r w:rsidRPr="00DC3374">
        <w:rPr>
          <w:rFonts w:hint="cs"/>
          <w:rtl/>
        </w:rPr>
        <w:t>מידע כוזב</w:t>
      </w:r>
      <w:r w:rsidRPr="00DC3374">
        <w:t>.</w:t>
      </w:r>
    </w:p>
    <w:p w:rsidR="00663CC2" w:rsidRPr="00DC3374" w:rsidP="00E81188" w14:paraId="39F78169" w14:textId="77777777">
      <w:pPr>
        <w:spacing w:line="269" w:lineRule="auto"/>
        <w:ind w:left="312"/>
        <w:rPr>
          <w:sz w:val="24"/>
          <w:rtl/>
        </w:rPr>
      </w:pPr>
    </w:p>
    <w:p w:rsidR="00663CC2" w:rsidRPr="00DC3374" w:rsidP="00E81188" w14:paraId="672C706F" w14:textId="77777777">
      <w:pPr>
        <w:pStyle w:val="Heading3"/>
        <w:spacing w:before="0" w:line="269" w:lineRule="auto"/>
        <w:rPr>
          <w:rtl/>
        </w:rPr>
      </w:pPr>
      <w:r w:rsidRPr="00DC3374">
        <w:rPr>
          <w:rFonts w:hint="cs"/>
          <w:rtl/>
        </w:rPr>
        <w:t>התמודדות גורמי הממשלה עם מידע כוזב על אודות מגפת הקורונה</w:t>
      </w:r>
    </w:p>
    <w:p w:rsidR="00663CC2" w:rsidRPr="00DC3374" w:rsidP="00E81188" w14:paraId="2EE2439E" w14:textId="2D3D6A8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r w:rsidRPr="00DC3374">
        <w:rPr>
          <w:rtl/>
        </w:rPr>
        <w:t xml:space="preserve"> </w:t>
      </w:r>
    </w:p>
    <w:p w:rsidR="00663CC2" w:rsidRPr="00DC3374" w:rsidP="00E81188" w14:paraId="3948D074" w14:textId="77777777">
      <w:pPr>
        <w:spacing w:line="269" w:lineRule="auto"/>
        <w:rPr>
          <w:rtl/>
        </w:rPr>
      </w:pPr>
      <w:r w:rsidRPr="00DC3374">
        <w:rPr>
          <w:rFonts w:hint="cs"/>
          <w:rtl/>
        </w:rPr>
        <w:t>דרכי הפעולה שהציעו ארגון ה-</w:t>
      </w:r>
      <w:r w:rsidRPr="00DC3374">
        <w:rPr>
          <w:rFonts w:hint="cs"/>
        </w:rPr>
        <w:t>OECD</w:t>
      </w:r>
      <w:r w:rsidRPr="00DC3374">
        <w:rPr>
          <w:rFonts w:hint="cs"/>
          <w:rtl/>
        </w:rPr>
        <w:t xml:space="preserve"> והמכון למחקרי ביטחון לאומי להתמודדות עם תופעת המידע הכוזב הנוגע למגפת הקורונה, לרבות ניטורו, הצפתו לציבור כשגוי והפצת מידע אמין הסותר את המידע הכוזב, טעונות שילוב זרועות הממשלה, תוך הסתייעות בגופים חוץ-ממשלתיים. </w:t>
      </w:r>
    </w:p>
    <w:p w:rsidR="00663CC2" w:rsidRPr="00DC3374" w:rsidP="00E81188" w14:paraId="5A04F7E3" w14:textId="642D6C7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0BA6957C" w14:textId="77777777">
      <w:pPr>
        <w:pStyle w:val="ListParagraph"/>
        <w:numPr>
          <w:ilvl w:val="0"/>
          <w:numId w:val="5"/>
        </w:numPr>
        <w:spacing w:line="269" w:lineRule="auto"/>
      </w:pPr>
      <w:r w:rsidRPr="00DC3374">
        <w:rPr>
          <w:rFonts w:hint="cs"/>
          <w:rtl/>
        </w:rPr>
        <w:t>להלן הפעולות ש</w:t>
      </w:r>
      <w:r w:rsidRPr="00DC3374" w:rsidR="00CC7AB0">
        <w:rPr>
          <w:rFonts w:hint="cs"/>
          <w:rtl/>
        </w:rPr>
        <w:t>נקט</w:t>
      </w:r>
      <w:r w:rsidRPr="00DC3374" w:rsidR="008741EB">
        <w:rPr>
          <w:rFonts w:hint="cs"/>
          <w:rtl/>
        </w:rPr>
        <w:t>ה</w:t>
      </w:r>
      <w:r w:rsidRPr="00DC3374">
        <w:rPr>
          <w:rFonts w:hint="cs"/>
          <w:rtl/>
        </w:rPr>
        <w:t xml:space="preserve"> הממשלה בישראל במהלך תקופת הביקורת במטרה להתמודד עם תופעת המידע הכוזב. </w:t>
      </w:r>
    </w:p>
    <w:p w:rsidR="00663CC2" w:rsidRPr="00DC3374" w:rsidP="00E81188" w14:paraId="10C17D9B" w14:textId="689B2490">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r w:rsidRPr="00DC3374">
        <w:rPr>
          <w:rFonts w:hint="cs"/>
          <w:rtl/>
        </w:rPr>
        <w:t xml:space="preserve"> </w:t>
      </w:r>
    </w:p>
    <w:p w:rsidR="00663CC2" w:rsidRPr="00DC3374" w:rsidP="00E81188" w14:paraId="69FC68B1" w14:textId="77777777">
      <w:pPr>
        <w:pStyle w:val="ListParagraph"/>
        <w:numPr>
          <w:ilvl w:val="1"/>
          <w:numId w:val="4"/>
        </w:numPr>
        <w:spacing w:line="269" w:lineRule="auto"/>
      </w:pPr>
      <w:r w:rsidRPr="00DC3374">
        <w:rPr>
          <w:rFonts w:hint="cs"/>
          <w:rtl/>
        </w:rPr>
        <w:t xml:space="preserve">במהלך שנת 2020 התייחס משרד הבריאות </w:t>
      </w:r>
      <w:r w:rsidRPr="00DC3374">
        <w:rPr>
          <w:rFonts w:hint="eastAsia"/>
          <w:rtl/>
        </w:rPr>
        <w:t>כמה</w:t>
      </w:r>
      <w:r w:rsidRPr="00DC3374">
        <w:rPr>
          <w:rFonts w:hint="cs"/>
          <w:rtl/>
        </w:rPr>
        <w:t xml:space="preserve"> פעמים למידע הכוזב על מגפת הקורונה בהודעותיו לציבור באתר האינטרנט של המשרד וברשתות החברתיות: המשרד הדגיש כי מידע כזה מופץ ברשתות החברתיות והוא מטעה את הציבור באופן מכוון, והפנה את הציבור לגורמים במשרד הבריאות המוסמכים למסור מידע בנוגע למגפה.</w:t>
      </w:r>
    </w:p>
    <w:p w:rsidR="00663CC2" w:rsidRPr="00DC3374" w:rsidP="00E81188" w14:paraId="13492FC9" w14:textId="2ED234B4">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79BAF18E" w14:textId="77777777">
      <w:pPr>
        <w:pStyle w:val="ListParagraph"/>
        <w:numPr>
          <w:ilvl w:val="1"/>
          <w:numId w:val="4"/>
        </w:numPr>
        <w:spacing w:line="269" w:lineRule="auto"/>
      </w:pPr>
      <w:r w:rsidRPr="00DC3374">
        <w:rPr>
          <w:rFonts w:hint="cs"/>
          <w:rtl/>
        </w:rPr>
        <w:t xml:space="preserve">במרץ 2020 הוחלט על הקמת חפ"ק מידע כוזב באחריות המל"ל, וניתנה הנחיה לכל הדוברים של משרדי הממשלה להעביר בקבוצת הווטסאפ של הדוברים הודעות </w:t>
      </w:r>
      <w:r w:rsidRPr="00DC3374">
        <w:rPr>
          <w:rFonts w:hint="cs"/>
          <w:rtl/>
        </w:rPr>
        <w:t>שמהימנותם או אמינותם לא ברורה. המל"ל אחראי לבירור מקור ההודעה ולבדיקה אם מדובר במידע אמיתי או כוזב.</w:t>
      </w:r>
    </w:p>
    <w:p w:rsidR="00663CC2" w:rsidRPr="00DC3374" w:rsidP="00E81188" w14:paraId="13D1D5FD" w14:textId="5DD7451C">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r w:rsidRPr="00DC3374">
        <w:rPr>
          <w:rFonts w:hint="cs"/>
          <w:rtl/>
        </w:rPr>
        <w:t xml:space="preserve"> </w:t>
      </w:r>
    </w:p>
    <w:p w:rsidR="00663CC2" w:rsidRPr="00DC3374" w:rsidP="00E81188" w14:paraId="740B190F" w14:textId="77777777">
      <w:pPr>
        <w:spacing w:line="269" w:lineRule="auto"/>
        <w:ind w:left="312"/>
        <w:rPr>
          <w:b/>
          <w:bCs/>
          <w:rtl/>
        </w:rPr>
      </w:pPr>
      <w:r w:rsidRPr="00DC3374">
        <w:rPr>
          <w:rFonts w:hint="cs"/>
          <w:b/>
          <w:bCs/>
          <w:rtl/>
        </w:rPr>
        <w:t xml:space="preserve">במהלך רוב תקופת הביקורת - עד חודש דצמבר 2020, התמודד משרד הבריאות עם תופעת המידע הכוזב בעיקר באמצעות הודעות לציבור שפורסמו באמצעי התקשורת, באתר האינטרנט של המשרד וברשתות החברתיות. בחינת פרסומים רשמיים מאותה תקופה לא העלתה פעולות הסברה של מטה ההסברה במשרד רה"ם לצורך התמודדות עם התופעה. </w:t>
      </w:r>
    </w:p>
    <w:p w:rsidR="00663CC2" w:rsidRPr="00DC3374" w:rsidP="00E81188" w14:paraId="68CD3F98" w14:textId="7625A79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250DA0D5" w14:textId="7416E9DE">
      <w:pPr>
        <w:spacing w:line="269" w:lineRule="auto"/>
        <w:ind w:left="312"/>
        <w:rPr>
          <w:b/>
          <w:bCs/>
          <w:rtl/>
        </w:rPr>
      </w:pPr>
      <w:r w:rsidRPr="00DC3374">
        <w:rPr>
          <w:rFonts w:hint="cs"/>
          <w:b/>
          <w:bCs/>
          <w:rtl/>
        </w:rPr>
        <w:t>עלה כי התמודדות מטה ההסברה ומשרד הבריאות לא כללה פעולה שיטתית ורוחבית כאמור, כגון ל</w:t>
      </w:r>
      <w:r w:rsidRPr="00DC3374">
        <w:rPr>
          <w:b/>
          <w:bCs/>
          <w:rtl/>
        </w:rPr>
        <w:t>ניטור</w:t>
      </w:r>
      <w:r w:rsidRPr="00DC3374">
        <w:rPr>
          <w:rFonts w:hint="cs"/>
          <w:b/>
          <w:bCs/>
          <w:rtl/>
        </w:rPr>
        <w:t xml:space="preserve"> המידע הכוזב</w:t>
      </w:r>
      <w:r w:rsidRPr="00DC3374">
        <w:rPr>
          <w:b/>
          <w:bCs/>
          <w:rtl/>
        </w:rPr>
        <w:t>, הצפתו כשגוי והפצת מידע אמין הסותר את המידע הכוזב</w:t>
      </w:r>
      <w:r w:rsidRPr="00DC3374">
        <w:rPr>
          <w:rFonts w:hint="cs"/>
          <w:b/>
          <w:bCs/>
          <w:rtl/>
        </w:rPr>
        <w:t>, גם באמצעות גופים חוץ-ממשלתיים המומחים לכך, ו</w:t>
      </w:r>
      <w:r w:rsidRPr="00DC3374">
        <w:rPr>
          <w:b/>
          <w:bCs/>
          <w:rtl/>
        </w:rPr>
        <w:t xml:space="preserve">הגברת המודעות </w:t>
      </w:r>
      <w:r w:rsidRPr="00DC3374">
        <w:rPr>
          <w:rFonts w:hint="cs"/>
          <w:b/>
          <w:bCs/>
          <w:rtl/>
        </w:rPr>
        <w:t>ל</w:t>
      </w:r>
      <w:r w:rsidRPr="00DC3374">
        <w:rPr>
          <w:b/>
          <w:bCs/>
          <w:rtl/>
        </w:rPr>
        <w:t xml:space="preserve">סוגי המידע </w:t>
      </w:r>
      <w:r w:rsidRPr="00DC3374">
        <w:rPr>
          <w:rFonts w:hint="cs"/>
          <w:b/>
          <w:bCs/>
          <w:rtl/>
        </w:rPr>
        <w:t>ה</w:t>
      </w:r>
      <w:r w:rsidRPr="00DC3374">
        <w:rPr>
          <w:b/>
          <w:bCs/>
          <w:rtl/>
        </w:rPr>
        <w:t>כוזב ו</w:t>
      </w:r>
      <w:r w:rsidRPr="00DC3374">
        <w:rPr>
          <w:rFonts w:hint="cs"/>
          <w:b/>
          <w:bCs/>
          <w:rtl/>
        </w:rPr>
        <w:t>ה</w:t>
      </w:r>
      <w:r w:rsidRPr="00DC3374">
        <w:rPr>
          <w:b/>
          <w:bCs/>
          <w:rtl/>
        </w:rPr>
        <w:t xml:space="preserve">אינטרסים </w:t>
      </w:r>
      <w:r w:rsidRPr="00DC3374">
        <w:rPr>
          <w:rFonts w:hint="cs"/>
          <w:b/>
          <w:bCs/>
          <w:rtl/>
        </w:rPr>
        <w:t xml:space="preserve">של המפיצים אותם. זאת, </w:t>
      </w:r>
      <w:r w:rsidR="00FC0401">
        <w:rPr>
          <w:rFonts w:hint="cs"/>
          <w:b/>
          <w:bCs/>
          <w:rtl/>
        </w:rPr>
        <w:t>בשעה שהופץ</w:t>
      </w:r>
      <w:r w:rsidRPr="00DC3374">
        <w:rPr>
          <w:b/>
          <w:bCs/>
          <w:rtl/>
        </w:rPr>
        <w:t xml:space="preserve"> מידע כוזב </w:t>
      </w:r>
      <w:r w:rsidRPr="00DC3374">
        <w:rPr>
          <w:rFonts w:hint="eastAsia"/>
          <w:b/>
          <w:bCs/>
          <w:rtl/>
        </w:rPr>
        <w:t>שנותר</w:t>
      </w:r>
      <w:r w:rsidRPr="00DC3374">
        <w:rPr>
          <w:b/>
          <w:bCs/>
          <w:rtl/>
        </w:rPr>
        <w:t xml:space="preserve"> ללא מענה מצד הגורמים שניהלו את המגפה.</w:t>
      </w:r>
    </w:p>
    <w:p w:rsidR="00663CC2" w:rsidRPr="00DC3374" w:rsidP="00E81188" w14:paraId="16DFD376" w14:textId="2CE3196E">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23C025AB" w14:textId="77777777">
      <w:pPr>
        <w:pStyle w:val="ListParagraph"/>
        <w:numPr>
          <w:ilvl w:val="0"/>
          <w:numId w:val="5"/>
        </w:numPr>
        <w:spacing w:line="269" w:lineRule="auto"/>
      </w:pPr>
      <w:r w:rsidRPr="00DC3374">
        <w:rPr>
          <w:rFonts w:hint="cs"/>
          <w:rtl/>
        </w:rPr>
        <w:t>יצוין כי באמצע דצמבר 2020, לאחר מועד סיום הביקורת, הקים משרד הבריאות יחידה של קשבי רשת (חמ"ל פייק ניוז) כדי לאתר מפיצי מידע כוזב על חיסוני הקורונה ברשתות החברתיות</w:t>
      </w:r>
      <w:r w:rsidRPr="00DC3374">
        <w:rPr>
          <w:rtl/>
        </w:rPr>
        <w:t xml:space="preserve"> ו</w:t>
      </w:r>
      <w:r w:rsidRPr="00DC3374">
        <w:rPr>
          <w:rFonts w:hint="cs"/>
          <w:rtl/>
        </w:rPr>
        <w:t>להעביר את המידע לבחינה של מומחי רפואה ומשפט במטרה לגבש תגובה לנושא. נוסף על כך העלה משרד הבריאות באמצעי התקשורת וברשתות החברתיות מידע, לרבות באמצעות סרטונים, על מידע כוזב בנושא החיסונים והזמין את הציבור לדווח על מידע כזה לתיבת דואר אלקטרוני שכתובתה פורסמה.</w:t>
      </w:r>
    </w:p>
    <w:p w:rsidR="00663CC2" w:rsidRPr="00DC3374" w:rsidP="00E81188" w14:paraId="1D71D5C2" w14:textId="2DD4274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332235A4" w14:textId="0626DE0D">
      <w:pPr>
        <w:pStyle w:val="ListParagraph"/>
        <w:numPr>
          <w:ilvl w:val="0"/>
          <w:numId w:val="5"/>
        </w:numPr>
        <w:spacing w:line="269" w:lineRule="auto"/>
      </w:pPr>
      <w:r w:rsidRPr="00DC3374">
        <w:rPr>
          <w:rFonts w:hint="cs"/>
          <w:rtl/>
        </w:rPr>
        <w:t>מכון דוידסון לחינוך מדעי</w:t>
      </w:r>
      <w:r w:rsidRPr="00DC3374" w:rsidR="00096A34">
        <w:rPr>
          <w:rFonts w:hint="cs"/>
          <w:rtl/>
        </w:rPr>
        <w:t xml:space="preserve">- </w:t>
      </w:r>
      <w:r w:rsidRPr="00DC3374">
        <w:rPr>
          <w:rFonts w:hint="cs"/>
          <w:rtl/>
        </w:rPr>
        <w:t>עמותה</w:t>
      </w:r>
      <w:r w:rsidRPr="00DC3374" w:rsidR="00096A34">
        <w:rPr>
          <w:rFonts w:hint="cs"/>
          <w:rtl/>
        </w:rPr>
        <w:t xml:space="preserve"> ללא מטרות רווח המשמשת הזרוע החינוכית של מכון ויצמן למדע</w:t>
      </w:r>
      <w:r w:rsidRPr="00DC3374" w:rsidR="008732D1">
        <w:rPr>
          <w:rFonts w:hint="cs"/>
          <w:rtl/>
        </w:rPr>
        <w:t xml:space="preserve">, </w:t>
      </w:r>
      <w:r w:rsidRPr="00DC3374">
        <w:rPr>
          <w:rFonts w:hint="cs"/>
          <w:rtl/>
        </w:rPr>
        <w:t>פרסם באתר האינטרנט שלו כתבות שמטרתן לסתור מידע כוזב שהופץ באינטרנט, והפעיל דף פייסבוק שמטרתו להזים שמועות ומידע כוזב על המגפה.</w:t>
      </w:r>
    </w:p>
    <w:p w:rsidR="00663CC2" w:rsidRPr="00DC3374" w:rsidP="00E81188" w14:paraId="427096F7" w14:textId="7C8E941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745C5905" w14:textId="77777777">
      <w:pPr>
        <w:spacing w:line="269" w:lineRule="auto"/>
        <w:rPr>
          <w:b/>
          <w:bCs/>
          <w:rtl/>
        </w:rPr>
      </w:pPr>
      <w:r w:rsidRPr="00DC3374">
        <w:rPr>
          <w:rFonts w:hint="cs"/>
          <w:b/>
          <w:bCs/>
          <w:rtl/>
        </w:rPr>
        <w:t xml:space="preserve">מומלץ שמטה ההסברה הלאומי במשרד רה"ם יוביל פעולה ממשלתית שיטתית להתמודדות עם מידע כוזב ויגבש </w:t>
      </w:r>
      <w:r w:rsidRPr="00DC3374" w:rsidR="009A45DB">
        <w:rPr>
          <w:rFonts w:hint="cs"/>
          <w:b/>
          <w:bCs/>
          <w:rtl/>
        </w:rPr>
        <w:t xml:space="preserve">בעניין זה </w:t>
      </w:r>
      <w:r w:rsidRPr="00DC3374">
        <w:rPr>
          <w:rFonts w:hint="cs"/>
          <w:b/>
          <w:bCs/>
          <w:rtl/>
        </w:rPr>
        <w:t>ת</w:t>
      </w:r>
      <w:r w:rsidRPr="00DC3374" w:rsidR="009A45DB">
        <w:rPr>
          <w:rFonts w:hint="cs"/>
          <w:b/>
          <w:bCs/>
          <w:rtl/>
        </w:rPr>
        <w:t>ו</w:t>
      </w:r>
      <w:r w:rsidRPr="00DC3374">
        <w:rPr>
          <w:rFonts w:hint="cs"/>
          <w:b/>
          <w:bCs/>
          <w:rtl/>
        </w:rPr>
        <w:t>כנית פעולה מתאימה, בשיתוף גורמי ממשל אחרים וגורמים חוץ</w:t>
      </w:r>
      <w:r w:rsidRPr="00DC3374" w:rsidR="009A45DB">
        <w:rPr>
          <w:rFonts w:hint="cs"/>
          <w:b/>
          <w:bCs/>
          <w:rtl/>
        </w:rPr>
        <w:t>-</w:t>
      </w:r>
      <w:r w:rsidRPr="00DC3374">
        <w:rPr>
          <w:rFonts w:hint="cs"/>
          <w:b/>
          <w:bCs/>
          <w:rtl/>
        </w:rPr>
        <w:t>ממשלתיים. מומלץ כי התוכנית תכלול פעולות לניטור מידע כוזב, לגיבוש דרכי תגובה ושיטות למדידת האפקטיביות של פעולות אלו.</w:t>
      </w:r>
    </w:p>
    <w:p w:rsidR="00663CC2" w:rsidRPr="00DC3374" w:rsidP="00E81188" w14:paraId="15D0061C" w14:textId="016E2130">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663CC2" w:rsidRPr="00DC3374" w:rsidP="00E81188" w14:paraId="68872C39" w14:textId="712F2135">
      <w:pPr>
        <w:spacing w:line="269" w:lineRule="auto"/>
        <w:rPr>
          <w:rtl/>
        </w:rPr>
      </w:pPr>
      <w:r w:rsidRPr="00DC3374">
        <w:rPr>
          <w:rFonts w:hint="cs"/>
          <w:rtl/>
        </w:rPr>
        <w:t>משרד ר</w:t>
      </w:r>
      <w:r w:rsidRPr="00DC3374" w:rsidR="002166A7">
        <w:rPr>
          <w:rFonts w:hint="cs"/>
          <w:rtl/>
        </w:rPr>
        <w:t>ה"ם</w:t>
      </w:r>
      <w:r w:rsidRPr="00DC3374">
        <w:rPr>
          <w:rFonts w:hint="cs"/>
          <w:rtl/>
        </w:rPr>
        <w:t xml:space="preserve"> מסר בתשובתו כי בימים אלו פועל מטה ההסברה הלאומי להכנת תוכנית הסברה להתמודדות עם הפצת מידע כוזב, </w:t>
      </w:r>
      <w:r w:rsidRPr="00DC3374" w:rsidR="009A45DB">
        <w:rPr>
          <w:rFonts w:hint="cs"/>
          <w:rtl/>
        </w:rPr>
        <w:t>ו</w:t>
      </w:r>
      <w:r w:rsidRPr="00DC3374">
        <w:rPr>
          <w:rFonts w:hint="cs"/>
          <w:rtl/>
        </w:rPr>
        <w:t xml:space="preserve">במסגרתו מוטעמים לקחי ההתמודדות עם משבר הקורונה, </w:t>
      </w:r>
      <w:r w:rsidRPr="00DC3374" w:rsidR="009A45DB">
        <w:rPr>
          <w:rFonts w:hint="cs"/>
          <w:rtl/>
        </w:rPr>
        <w:t>ש</w:t>
      </w:r>
      <w:r w:rsidRPr="00DC3374">
        <w:rPr>
          <w:rFonts w:hint="cs"/>
          <w:rtl/>
        </w:rPr>
        <w:t>בו נאלצו גופי ההסברה להתמודד עם התופעה בקנה מידה נרחב.</w:t>
      </w:r>
      <w:r w:rsidR="009A11FC">
        <w:rPr>
          <w:rFonts w:hint="cs"/>
          <w:rtl/>
        </w:rPr>
        <w:t xml:space="preserve"> </w:t>
      </w:r>
    </w:p>
    <w:p w:rsidR="00663CC2" w:rsidRPr="00DC3374" w:rsidP="00E81188" w14:paraId="24B86E8F" w14:textId="77777777">
      <w:pPr>
        <w:spacing w:line="269" w:lineRule="auto"/>
        <w:rPr>
          <w:b/>
          <w:bCs/>
          <w:rtl/>
        </w:rPr>
      </w:pPr>
    </w:p>
    <w:p w:rsidR="00663CC2" w:rsidRPr="00DC3374" w:rsidP="00E81188" w14:paraId="52763459" w14:textId="77777777">
      <w:pPr>
        <w:pStyle w:val="Heading3"/>
        <w:spacing w:before="0" w:line="269" w:lineRule="auto"/>
        <w:rPr>
          <w:rtl/>
        </w:rPr>
      </w:pPr>
      <w:r w:rsidRPr="00DC3374">
        <w:rPr>
          <w:rFonts w:hint="cs"/>
          <w:rtl/>
        </w:rPr>
        <w:t>עמדות מומחים הסותרות את המדיניות הממשלתית הרשמית</w:t>
      </w:r>
    </w:p>
    <w:p w:rsidR="00663CC2" w:rsidRPr="00DC3374" w:rsidP="00E81188" w14:paraId="1BC3105A" w14:textId="1C24DFF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25571441" w14:textId="77777777">
      <w:pPr>
        <w:spacing w:line="269" w:lineRule="auto"/>
      </w:pPr>
      <w:r w:rsidRPr="00DC3374">
        <w:rPr>
          <w:rFonts w:hint="cs"/>
          <w:rtl/>
        </w:rPr>
        <w:t xml:space="preserve">ככל שהציבור רוחש אמון רב יותר לגורם המעביר לו מידע, מסרים והנחיות התנהגות, כך גובר כאמור הסיכוי כי הוא ינהג בהתאם להנחיות. בשל ריבוי וזמינות ערוצי המידע והתוכן התקשורתי נדרשים גורמי ההסברה מטעם הממשלה לזכות באמון הציבור, בשעה שמנגד נשמעים בזירה הציבורית קולות לגיטימיים אחרים, ובהם של מומחים לנושא, המתנגדים לעמדה הממשלתית. </w:t>
      </w:r>
    </w:p>
    <w:p w:rsidR="00663CC2" w:rsidRPr="00DC3374" w:rsidP="00E81188" w14:paraId="18B0C700" w14:textId="5CA42FED">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50CF061E" w14:textId="77777777">
      <w:pPr>
        <w:spacing w:line="269" w:lineRule="auto"/>
        <w:rPr>
          <w:rtl/>
        </w:rPr>
      </w:pPr>
      <w:r w:rsidRPr="00DC3374">
        <w:rPr>
          <w:rtl/>
        </w:rPr>
        <w:t xml:space="preserve">טעויות נפוצות </w:t>
      </w:r>
      <w:r w:rsidRPr="00DC3374">
        <w:rPr>
          <w:rFonts w:hint="cs"/>
          <w:rtl/>
        </w:rPr>
        <w:t>ב</w:t>
      </w:r>
      <w:r w:rsidRPr="00DC3374">
        <w:rPr>
          <w:rtl/>
        </w:rPr>
        <w:t>העברת מסרים לציבור</w:t>
      </w:r>
      <w:r w:rsidRPr="00DC3374">
        <w:rPr>
          <w:rFonts w:hint="cs"/>
          <w:rtl/>
        </w:rPr>
        <w:t xml:space="preserve"> עלולות להעביר לציבור מסרים שאינם עקביים או אף סותרים מטעם הגורמים המוסרים את המידע, וכן הותרת מסרים מנוגדים או סותרים מטעם גורמים אחרים, </w:t>
      </w:r>
      <w:r w:rsidRPr="00DC3374">
        <w:rPr>
          <w:rtl/>
        </w:rPr>
        <w:t>ללא התייחסות מתאימ</w:t>
      </w:r>
      <w:r w:rsidRPr="00DC3374">
        <w:rPr>
          <w:rFonts w:hint="cs"/>
          <w:rtl/>
        </w:rPr>
        <w:t>ה</w:t>
      </w:r>
      <w:r w:rsidRPr="00DC3374">
        <w:rPr>
          <w:rtl/>
        </w:rPr>
        <w:t>.</w:t>
      </w:r>
      <w:r w:rsidRPr="00DC3374">
        <w:rPr>
          <w:rFonts w:hint="cs"/>
          <w:rtl/>
        </w:rPr>
        <w:t xml:space="preserve"> </w:t>
      </w:r>
    </w:p>
    <w:p w:rsidR="00663CC2" w:rsidRPr="00DC3374" w:rsidP="00E81188" w14:paraId="312A92CD" w14:textId="029E8842">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P="00E81188" w14:paraId="494E9D83" w14:textId="259ADFFF">
      <w:pPr>
        <w:spacing w:line="269" w:lineRule="auto"/>
        <w:rPr>
          <w:rtl/>
        </w:rPr>
      </w:pPr>
      <w:r w:rsidRPr="00DC3374">
        <w:rPr>
          <w:rFonts w:hint="cs"/>
          <w:rtl/>
        </w:rPr>
        <w:t xml:space="preserve">ממצאי הסקר שערך משרד מבקר המדינה בדצמבר 2020 העלו כי חלק ניכר מהאוכלוסייה סבר באותה עת כי משרד הבריאות מגזים בסכנות מחלת הקורונה: אחד מכל עשרה אנשים בחברה היהודית הכללית, שניים מתוך עשרה בחברה החרדית וארבעה מתוך עשרה בחברה הערבית הטילו ספק לגבי המסרים של משרד הבריאות בנוגע לחומרתה של המחלה. </w:t>
      </w:r>
    </w:p>
    <w:p w:rsidR="00F76146" w:rsidP="00E81188" w14:paraId="4190070A" w14:textId="232CE635">
      <w:pPr>
        <w:spacing w:line="269" w:lineRule="auto"/>
        <w:rPr>
          <w:rtl/>
        </w:rPr>
      </w:pPr>
    </w:p>
    <w:p w:rsidR="00F76146" w:rsidRPr="00DC3374" w:rsidP="00E81188" w14:paraId="0C884DDB" w14:textId="77777777">
      <w:pPr>
        <w:spacing w:line="269" w:lineRule="auto"/>
      </w:pPr>
    </w:p>
    <w:p w:rsidR="00663CC2" w:rsidRPr="00DC3374" w:rsidP="00E81188" w14:paraId="67FD78AA" w14:textId="721938E9">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020AF5F1" w14:textId="77777777">
      <w:pPr>
        <w:pStyle w:val="ListParagraph"/>
        <w:numPr>
          <w:ilvl w:val="0"/>
          <w:numId w:val="22"/>
        </w:numPr>
        <w:spacing w:line="269" w:lineRule="auto"/>
      </w:pPr>
      <w:r w:rsidRPr="00DC3374">
        <w:rPr>
          <w:rFonts w:hint="cs"/>
          <w:rtl/>
        </w:rPr>
        <w:t xml:space="preserve"> במסגרת ההכנה להסברה בחירום, יש לאתר כבר בשגרה את הדוברים האפקטיביים ביותר, אשר זוכים לאמון הרב ביותר בקרב קהלי היעד השונים, לרבות בשפות שונות. באירוע חירום בריאותי יש לעיתים יתרון למומחים מקצועיים על פני אנשי דוברות או פוליטיקאים, מכיוון שהם נתפסים בציבור סמכותיים ואמינים יותר בסוגיות בריאותיות. מומחים אלה לעיתים אינם מנוסים בהופעה בכלי התקשורת, ולכן יש לקבוע כיצד ובאיזו תדירות הם יוכשרו בהיבטים הקשורים למדיה ובהיבטים מקצועיים הנוגעים למשבר, כדי להבטיח את כשירותם בשעת חירום. </w:t>
      </w:r>
    </w:p>
    <w:p w:rsidR="00663CC2" w:rsidRPr="00DC3374" w:rsidP="00E81188" w14:paraId="7989CC67" w14:textId="0FE2602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367391EB" w14:textId="77777777">
      <w:pPr>
        <w:pStyle w:val="ListParagraph"/>
        <w:spacing w:line="269" w:lineRule="auto"/>
        <w:ind w:left="340"/>
        <w:rPr>
          <w:b/>
          <w:bCs/>
          <w:rtl/>
        </w:rPr>
      </w:pPr>
      <w:r w:rsidRPr="00DC3374">
        <w:rPr>
          <w:rFonts w:hint="cs"/>
          <w:b/>
          <w:bCs/>
          <w:rtl/>
        </w:rPr>
        <w:t xml:space="preserve">עלה כי </w:t>
      </w:r>
      <w:r w:rsidRPr="00DC3374">
        <w:rPr>
          <w:rFonts w:hint="eastAsia"/>
          <w:b/>
          <w:bCs/>
          <w:rtl/>
        </w:rPr>
        <w:t>משרד</w:t>
      </w:r>
      <w:r w:rsidRPr="00DC3374">
        <w:rPr>
          <w:b/>
          <w:bCs/>
          <w:rtl/>
        </w:rPr>
        <w:t xml:space="preserve"> </w:t>
      </w:r>
      <w:r w:rsidRPr="00DC3374">
        <w:rPr>
          <w:rFonts w:hint="eastAsia"/>
          <w:b/>
          <w:bCs/>
          <w:rtl/>
        </w:rPr>
        <w:t>הבריאות</w:t>
      </w:r>
      <w:r w:rsidRPr="00DC3374">
        <w:rPr>
          <w:b/>
          <w:bCs/>
          <w:rtl/>
        </w:rPr>
        <w:t xml:space="preserve"> </w:t>
      </w:r>
      <w:r w:rsidRPr="00DC3374">
        <w:rPr>
          <w:rFonts w:hint="eastAsia"/>
          <w:b/>
          <w:bCs/>
          <w:rtl/>
        </w:rPr>
        <w:t>החל</w:t>
      </w:r>
      <w:r w:rsidRPr="00DC3374">
        <w:rPr>
          <w:b/>
          <w:bCs/>
          <w:rtl/>
        </w:rPr>
        <w:t xml:space="preserve"> </w:t>
      </w:r>
      <w:r w:rsidRPr="00DC3374">
        <w:rPr>
          <w:rFonts w:hint="eastAsia"/>
          <w:b/>
          <w:bCs/>
          <w:rtl/>
        </w:rPr>
        <w:t>להכשיר</w:t>
      </w:r>
      <w:r w:rsidRPr="00DC3374">
        <w:rPr>
          <w:b/>
          <w:bCs/>
          <w:rtl/>
        </w:rPr>
        <w:t xml:space="preserve"> </w:t>
      </w:r>
      <w:r w:rsidRPr="00DC3374">
        <w:rPr>
          <w:rFonts w:hint="eastAsia"/>
          <w:b/>
          <w:bCs/>
          <w:rtl/>
        </w:rPr>
        <w:t>מסבירים</w:t>
      </w:r>
      <w:r w:rsidRPr="00DC3374">
        <w:rPr>
          <w:b/>
          <w:bCs/>
          <w:rtl/>
        </w:rPr>
        <w:t xml:space="preserve"> </w:t>
      </w:r>
      <w:r w:rsidRPr="00DC3374">
        <w:rPr>
          <w:rFonts w:hint="eastAsia"/>
          <w:b/>
          <w:bCs/>
          <w:rtl/>
        </w:rPr>
        <w:t>לצורך</w:t>
      </w:r>
      <w:r w:rsidRPr="00DC3374">
        <w:rPr>
          <w:b/>
          <w:bCs/>
          <w:rtl/>
        </w:rPr>
        <w:t xml:space="preserve"> </w:t>
      </w:r>
      <w:r w:rsidRPr="00DC3374">
        <w:rPr>
          <w:rFonts w:hint="eastAsia"/>
          <w:b/>
          <w:bCs/>
          <w:rtl/>
        </w:rPr>
        <w:t>הופעה</w:t>
      </w:r>
      <w:r w:rsidRPr="00DC3374">
        <w:rPr>
          <w:b/>
          <w:bCs/>
          <w:rtl/>
        </w:rPr>
        <w:t xml:space="preserve"> </w:t>
      </w:r>
      <w:r w:rsidRPr="00DC3374">
        <w:rPr>
          <w:rFonts w:hint="eastAsia"/>
          <w:b/>
          <w:bCs/>
          <w:rtl/>
        </w:rPr>
        <w:t>בכלי</w:t>
      </w:r>
      <w:r w:rsidRPr="00DC3374">
        <w:rPr>
          <w:b/>
          <w:bCs/>
          <w:rtl/>
        </w:rPr>
        <w:t xml:space="preserve"> </w:t>
      </w:r>
      <w:r w:rsidRPr="00DC3374">
        <w:rPr>
          <w:rFonts w:hint="eastAsia"/>
          <w:b/>
          <w:bCs/>
          <w:rtl/>
        </w:rPr>
        <w:t xml:space="preserve">התקשורת </w:t>
      </w:r>
      <w:r w:rsidRPr="00DC3374">
        <w:rPr>
          <w:rFonts w:hint="cs"/>
          <w:b/>
          <w:bCs/>
          <w:rtl/>
        </w:rPr>
        <w:t>לאחר</w:t>
      </w:r>
      <w:r w:rsidRPr="00DC3374">
        <w:rPr>
          <w:b/>
          <w:bCs/>
          <w:rtl/>
        </w:rPr>
        <w:t xml:space="preserve"> </w:t>
      </w:r>
      <w:r w:rsidRPr="00DC3374">
        <w:rPr>
          <w:rFonts w:hint="eastAsia"/>
          <w:b/>
          <w:bCs/>
          <w:rtl/>
        </w:rPr>
        <w:t>פרוץ</w:t>
      </w:r>
      <w:r w:rsidRPr="00DC3374">
        <w:rPr>
          <w:b/>
          <w:bCs/>
          <w:rtl/>
        </w:rPr>
        <w:t xml:space="preserve"> </w:t>
      </w:r>
      <w:r w:rsidRPr="00DC3374">
        <w:rPr>
          <w:rFonts w:hint="eastAsia"/>
          <w:b/>
          <w:bCs/>
          <w:rtl/>
        </w:rPr>
        <w:t>משבר</w:t>
      </w:r>
      <w:r w:rsidRPr="00DC3374">
        <w:rPr>
          <w:b/>
          <w:bCs/>
          <w:rtl/>
        </w:rPr>
        <w:t xml:space="preserve"> </w:t>
      </w:r>
      <w:r w:rsidRPr="00DC3374">
        <w:rPr>
          <w:rFonts w:hint="eastAsia"/>
          <w:b/>
          <w:bCs/>
          <w:rtl/>
        </w:rPr>
        <w:t>הקורונה</w:t>
      </w:r>
      <w:r w:rsidRPr="00DC3374">
        <w:rPr>
          <w:b/>
          <w:bCs/>
          <w:rtl/>
        </w:rPr>
        <w:t xml:space="preserve">. </w:t>
      </w:r>
      <w:r w:rsidRPr="00DC3374">
        <w:rPr>
          <w:rFonts w:hint="eastAsia"/>
          <w:b/>
          <w:bCs/>
          <w:rtl/>
        </w:rPr>
        <w:t>זאת</w:t>
      </w:r>
      <w:r w:rsidRPr="00DC3374">
        <w:rPr>
          <w:b/>
          <w:bCs/>
          <w:rtl/>
        </w:rPr>
        <w:t xml:space="preserve"> </w:t>
      </w:r>
      <w:r w:rsidRPr="00DC3374">
        <w:rPr>
          <w:rFonts w:hint="eastAsia"/>
          <w:b/>
          <w:bCs/>
          <w:rtl/>
        </w:rPr>
        <w:t>בשעה</w:t>
      </w:r>
      <w:r w:rsidRPr="00DC3374">
        <w:rPr>
          <w:b/>
          <w:bCs/>
          <w:rtl/>
        </w:rPr>
        <w:t xml:space="preserve"> </w:t>
      </w:r>
      <w:r w:rsidRPr="00DC3374">
        <w:rPr>
          <w:rFonts w:hint="eastAsia"/>
          <w:b/>
          <w:bCs/>
          <w:rtl/>
        </w:rPr>
        <w:t>שכבר</w:t>
      </w:r>
      <w:r w:rsidRPr="00DC3374">
        <w:rPr>
          <w:b/>
          <w:bCs/>
          <w:rtl/>
        </w:rPr>
        <w:t xml:space="preserve"> </w:t>
      </w:r>
      <w:r w:rsidRPr="00DC3374">
        <w:rPr>
          <w:rFonts w:hint="eastAsia"/>
          <w:b/>
          <w:bCs/>
          <w:rtl/>
        </w:rPr>
        <w:t>בתחילת</w:t>
      </w:r>
      <w:r w:rsidRPr="00DC3374">
        <w:rPr>
          <w:b/>
          <w:bCs/>
          <w:rtl/>
        </w:rPr>
        <w:t xml:space="preserve"> </w:t>
      </w:r>
      <w:r w:rsidRPr="00DC3374">
        <w:rPr>
          <w:rFonts w:hint="eastAsia"/>
          <w:b/>
          <w:bCs/>
          <w:rtl/>
        </w:rPr>
        <w:t>המשבר</w:t>
      </w:r>
      <w:r w:rsidRPr="00DC3374">
        <w:rPr>
          <w:b/>
          <w:bCs/>
          <w:rtl/>
        </w:rPr>
        <w:t xml:space="preserve"> </w:t>
      </w:r>
      <w:r w:rsidRPr="00DC3374">
        <w:rPr>
          <w:rFonts w:hint="eastAsia"/>
          <w:b/>
          <w:bCs/>
          <w:rtl/>
        </w:rPr>
        <w:t>הוא</w:t>
      </w:r>
      <w:r w:rsidRPr="00DC3374">
        <w:rPr>
          <w:b/>
          <w:bCs/>
          <w:rtl/>
        </w:rPr>
        <w:t xml:space="preserve"> </w:t>
      </w:r>
      <w:r w:rsidRPr="00DC3374">
        <w:rPr>
          <w:rFonts w:hint="eastAsia"/>
          <w:b/>
          <w:bCs/>
          <w:rtl/>
        </w:rPr>
        <w:t>נדרש</w:t>
      </w:r>
      <w:r w:rsidRPr="00DC3374">
        <w:rPr>
          <w:b/>
          <w:bCs/>
          <w:rtl/>
        </w:rPr>
        <w:t xml:space="preserve"> להתמודד עם עמדות של מומחים שסתרו את העמדה הממשלתית הרשמית, כמפורט להלן. </w:t>
      </w:r>
    </w:p>
    <w:p w:rsidR="00663CC2" w:rsidRPr="00DC3374" w:rsidP="00E81188" w14:paraId="0AB1B094" w14:textId="0BF41609">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5DCFC6D3" w14:textId="6CC39869">
      <w:pPr>
        <w:spacing w:line="269" w:lineRule="auto"/>
        <w:ind w:left="312"/>
      </w:pPr>
      <w:r w:rsidRPr="00DC3374">
        <w:rPr>
          <w:rFonts w:hint="cs"/>
          <w:rtl/>
        </w:rPr>
        <w:t>משרד ר</w:t>
      </w:r>
      <w:r w:rsidRPr="00DC3374" w:rsidR="002166A7">
        <w:rPr>
          <w:rFonts w:hint="cs"/>
          <w:rtl/>
        </w:rPr>
        <w:t>ה"ם</w:t>
      </w:r>
      <w:r w:rsidRPr="00DC3374">
        <w:rPr>
          <w:rFonts w:hint="cs"/>
          <w:rtl/>
        </w:rPr>
        <w:t xml:space="preserve"> מסר בתשובתו כי מטה ההסברה הנחה את דוברי המשרדים להקים מאגר של מומחים ודוברים מקצועיים, ליווה באופן שוטף את תהליך הכשרתם והעביר להם מסמכי תוכן והסברה על בסיס יומי. נוסף </w:t>
      </w:r>
      <w:r w:rsidRPr="00DC3374" w:rsidR="0019386E">
        <w:rPr>
          <w:rFonts w:hint="cs"/>
          <w:rtl/>
        </w:rPr>
        <w:t xml:space="preserve">על כך </w:t>
      </w:r>
      <w:r w:rsidRPr="00DC3374">
        <w:rPr>
          <w:rFonts w:hint="cs"/>
          <w:rtl/>
        </w:rPr>
        <w:t>פעל המטה להכשרתם של בכירים להופעה בפני מצלמה ותקשורת. המשרד הוסיף כי פניות לגופי השידור לשלב את המסבירים באולפנים ובתוכניות נענו לרוב בשלילה</w:t>
      </w:r>
      <w:r w:rsidRPr="00DC3374" w:rsidR="0019386E">
        <w:rPr>
          <w:rFonts w:hint="cs"/>
          <w:rtl/>
        </w:rPr>
        <w:t>,</w:t>
      </w:r>
      <w:r w:rsidRPr="00DC3374">
        <w:rPr>
          <w:rFonts w:hint="cs"/>
          <w:rtl/>
        </w:rPr>
        <w:t xml:space="preserve"> וגם כאשר נענו בחיוב היה זה לרוב בתוכניות שאינן בשעות צפיית שיא.</w:t>
      </w:r>
      <w:r w:rsidR="009A11FC">
        <w:rPr>
          <w:rFonts w:hint="cs"/>
          <w:rtl/>
        </w:rPr>
        <w:t xml:space="preserve"> </w:t>
      </w:r>
    </w:p>
    <w:p w:rsidR="00663CC2" w:rsidRPr="00DC3374" w:rsidP="00E81188" w14:paraId="070B7B2D" w14:textId="100D3CA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5E811DC0" w14:textId="77777777">
      <w:pPr>
        <w:pStyle w:val="ListParagraph"/>
        <w:spacing w:line="269" w:lineRule="auto"/>
        <w:ind w:left="340"/>
        <w:rPr>
          <w:rtl/>
        </w:rPr>
      </w:pPr>
      <w:r w:rsidRPr="00DC3374">
        <w:rPr>
          <w:rFonts w:hint="cs"/>
          <w:rtl/>
        </w:rPr>
        <w:t xml:space="preserve">במאי 2020, במסגרת הפקת לקחים ראשונית שביצע מטה ההסברה הלאומי, הועלתה לחיוב העובדה כי הצליחו להכניס לפעולה "מסבירנים" כדמויות קבועות המקרינות סמכותיות וידע, וכי יש להעתיק מודל זה גם לתרחישי חירום נוספים ולהכין מסבירנים מראש לכל נושא. עם זאת, נכתב כי מוטב היה להכניס את המסבירנים לפעולה בשלב מוקדם יותר, וכי יש לתדרך גם את המסבירנים הפועלים מטעם ערוצי הטלווזיה. </w:t>
      </w:r>
    </w:p>
    <w:p w:rsidR="00663CC2" w:rsidRPr="00DC3374" w:rsidP="00E81188" w14:paraId="1A5F35A1" w14:textId="36539CE5">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51992406" w14:textId="77777777">
      <w:pPr>
        <w:pStyle w:val="ListParagraph"/>
        <w:numPr>
          <w:ilvl w:val="0"/>
          <w:numId w:val="22"/>
        </w:numPr>
        <w:spacing w:line="269" w:lineRule="auto"/>
        <w:rPr>
          <w:rtl/>
        </w:rPr>
      </w:pPr>
      <w:r w:rsidRPr="00DC3374">
        <w:rPr>
          <w:rFonts w:hint="cs"/>
          <w:rtl/>
        </w:rPr>
        <w:t>במהלך החודשים הראשונים של המגפה הרבה פרופסור לרפואה ששימש בעבר כמנכ"ל משרד הבריאות להציג באמצעי תקשורת מרכזיים ובשעות צפיית שיא עמדה המנוגדת לעמדת הממשלה, כי המגפה אינה מסוכנת והצעדים שנוקטים הגורמים המנהלים את המשבר מוגזמים ואינם הולמים את חומרתה.</w:t>
      </w:r>
      <w:r w:rsidRPr="00DC3374">
        <w:rPr>
          <w:rtl/>
        </w:rPr>
        <w:t xml:space="preserve"> </w:t>
      </w:r>
      <w:r w:rsidRPr="00DC3374">
        <w:rPr>
          <w:rFonts w:hint="cs"/>
          <w:rtl/>
        </w:rPr>
        <w:t>לפי מאמר בכתב עת המבוסס על מחקר תקשורתי, במהלך ארבעה חודשים - מרץ עד יוני 2020, הופיע המנכ"ל לשעבר בערוצי הטלוויזיה המסחריים עשרות פעמים (54), ובסך הכול בכ-200 אייטמים</w:t>
      </w:r>
      <w:r>
        <w:rPr>
          <w:rStyle w:val="FootnoteReference1"/>
          <w:rtl/>
        </w:rPr>
        <w:footnoteReference w:id="88"/>
      </w:r>
      <w:r w:rsidRPr="00DC3374">
        <w:rPr>
          <w:rFonts w:hint="cs"/>
          <w:rtl/>
        </w:rPr>
        <w:t>.</w:t>
      </w:r>
    </w:p>
    <w:p w:rsidR="00663CC2" w:rsidRPr="00DC3374" w:rsidP="00E81188" w14:paraId="7B07DF68" w14:textId="1ECA536E">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781281D4" w14:textId="77777777">
      <w:pPr>
        <w:pStyle w:val="ListParagraph"/>
        <w:numPr>
          <w:ilvl w:val="0"/>
          <w:numId w:val="22"/>
        </w:numPr>
        <w:spacing w:line="269" w:lineRule="auto"/>
      </w:pPr>
      <w:r w:rsidRPr="00DC3374">
        <w:rPr>
          <w:rFonts w:hint="cs"/>
          <w:rtl/>
        </w:rPr>
        <w:t>משרד מבקר המדינה בחן את השפעת ההתבטאויות של מומחים הסותרות את המדיניות הממשלתית הרשמית על אמון הציבור ועמדותיו. הבדיקה נעשתה בנוגע לארבע התבטאויות שונות של מומחים (לרבות מתוך מערכת הבריאות הממשלתית עצמה) במהלך החודשים מרץ עד ספטמבר 2020. במסגרת ניטור השיח ברשתות החברתיות, נעשה ניתוח איכותני של מדגם מייצג של פוסטים ברשתות החברתיות בשלושת הימים העוקבים להתבטאויות, וכן השוואה כמותית של היקף השיח בנושאים הרלוונטיים בשלושת הימים שלפני ההתבטאות, להיקף השיח בנושאים האלה במהלך ה</w:t>
      </w:r>
      <w:r w:rsidRPr="00DC3374">
        <w:rPr>
          <w:rtl/>
        </w:rPr>
        <w:t>ימים שאחרי</w:t>
      </w:r>
      <w:r w:rsidRPr="00DC3374">
        <w:rPr>
          <w:rFonts w:hint="cs"/>
          <w:rtl/>
        </w:rPr>
        <w:t xml:space="preserve">ה. </w:t>
      </w:r>
    </w:p>
    <w:p w:rsidR="00663CC2" w:rsidRPr="00DC3374" w:rsidP="00E81188" w14:paraId="790B9554" w14:textId="1B321391">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4C6CA656" w14:textId="77777777">
      <w:pPr>
        <w:pStyle w:val="ListParagraph"/>
        <w:spacing w:line="269" w:lineRule="auto"/>
        <w:ind w:left="340"/>
        <w:rPr>
          <w:rtl/>
        </w:rPr>
      </w:pPr>
      <w:r w:rsidRPr="00DC3374">
        <w:rPr>
          <w:rFonts w:hint="cs"/>
          <w:rtl/>
        </w:rPr>
        <w:t xml:space="preserve">כדי לקשר בין השיח הכולל לבין השפעת ההתבטאויות על אמון הציבור נבחנו המדדים האלה: </w:t>
      </w:r>
      <w:r w:rsidRPr="00DC3374">
        <w:rPr>
          <w:rFonts w:hint="cs"/>
          <w:u w:val="single"/>
          <w:rtl/>
        </w:rPr>
        <w:t>מידת הנגישות למידע</w:t>
      </w:r>
      <w:r w:rsidRPr="00DC3374">
        <w:rPr>
          <w:rFonts w:hint="cs"/>
          <w:rtl/>
        </w:rPr>
        <w:t xml:space="preserve"> - </w:t>
      </w:r>
      <w:r w:rsidRPr="00DC3374">
        <w:rPr>
          <w:rtl/>
        </w:rPr>
        <w:t>נמדד</w:t>
      </w:r>
      <w:r w:rsidRPr="00DC3374">
        <w:rPr>
          <w:rFonts w:hint="cs"/>
          <w:rtl/>
        </w:rPr>
        <w:t>ה</w:t>
      </w:r>
      <w:r w:rsidRPr="00DC3374">
        <w:rPr>
          <w:rtl/>
        </w:rPr>
        <w:t xml:space="preserve"> כאשר הייתה התייחסות לקושי או לקלות השגת מידע בנוגע להנחיות</w:t>
      </w:r>
      <w:r w:rsidRPr="00DC3374">
        <w:rPr>
          <w:rFonts w:hint="cs"/>
          <w:rtl/>
        </w:rPr>
        <w:t xml:space="preserve">; </w:t>
      </w:r>
      <w:r w:rsidRPr="00DC3374">
        <w:rPr>
          <w:rFonts w:hint="cs"/>
          <w:u w:val="single"/>
          <w:rtl/>
        </w:rPr>
        <w:t>מידת ההבנה ובהירות ההנחיות</w:t>
      </w:r>
      <w:r w:rsidRPr="00DC3374">
        <w:rPr>
          <w:rtl/>
        </w:rPr>
        <w:t xml:space="preserve"> </w:t>
      </w:r>
      <w:r w:rsidRPr="00DC3374">
        <w:rPr>
          <w:rFonts w:hint="cs"/>
          <w:rtl/>
        </w:rPr>
        <w:t xml:space="preserve">- נמדדה כאשר ניתן היה לזהות את הבנת הכותב בנוגע להנחיות ואופן ההתנהלות המצופה מצד האזרחים בנושאי הליבה; </w:t>
      </w:r>
      <w:r w:rsidRPr="00DC3374">
        <w:rPr>
          <w:rFonts w:hint="cs"/>
          <w:u w:val="single"/>
          <w:rtl/>
        </w:rPr>
        <w:t>מידת השכנוע</w:t>
      </w:r>
      <w:r w:rsidRPr="00DC3374">
        <w:rPr>
          <w:rtl/>
        </w:rPr>
        <w:t xml:space="preserve"> -</w:t>
      </w:r>
      <w:r w:rsidRPr="00DC3374">
        <w:rPr>
          <w:rFonts w:hint="cs"/>
          <w:rtl/>
        </w:rPr>
        <w:t xml:space="preserve"> נמדדה כאשר ניתן היה להסיק אם הכותב סבר כי הנחיות הממשלה מוצדקות, אם יש חשיבות בשמירה עליהן ואם בכוונתו לציית להן או לא; </w:t>
      </w:r>
      <w:r w:rsidRPr="00DC3374">
        <w:rPr>
          <w:rFonts w:hint="cs"/>
          <w:u w:val="single"/>
          <w:rtl/>
        </w:rPr>
        <w:t>מידת האמון בהנחיות</w:t>
      </w:r>
      <w:r w:rsidRPr="00DC3374">
        <w:rPr>
          <w:rtl/>
        </w:rPr>
        <w:t xml:space="preserve"> </w:t>
      </w:r>
      <w:r w:rsidRPr="00DC3374">
        <w:rPr>
          <w:rFonts w:hint="cs"/>
          <w:rtl/>
        </w:rPr>
        <w:t xml:space="preserve">- נמדדה כאשר ניתן היה להסיק אם הכותב מביע אמון במקבלי ההחלטות. כדי לבחון את השפעת האמירות על האמון </w:t>
      </w:r>
      <w:r w:rsidRPr="00DC3374">
        <w:rPr>
          <w:rFonts w:hint="cs"/>
          <w:rtl/>
        </w:rPr>
        <w:t>שהציבור נותן במדיניות הממשלתית, נבדקה גם מידת ההסכמה עם עמדת הממשלה. להלן הממצאים.</w:t>
      </w:r>
    </w:p>
    <w:p w:rsidR="00663CC2" w:rsidRPr="00DC3374" w:rsidP="00E81188" w14:paraId="7F35FD97" w14:textId="3622A07A">
      <w:pPr>
        <w:pStyle w:val="a"/>
        <w:spacing w:line="269" w:lineRule="auto"/>
        <w:rPr>
          <w:rtl/>
        </w:rPr>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r w:rsidRPr="00DC3374">
        <w:rPr>
          <w:rFonts w:hint="cs"/>
          <w:rtl/>
        </w:rPr>
        <w:t xml:space="preserve"> </w:t>
      </w:r>
    </w:p>
    <w:p w:rsidR="00663CC2" w:rsidRPr="00DC3374" w:rsidP="00E81188" w14:paraId="554E8D94" w14:textId="77777777">
      <w:pPr>
        <w:pStyle w:val="ListParagraph"/>
        <w:numPr>
          <w:ilvl w:val="1"/>
          <w:numId w:val="22"/>
        </w:numPr>
        <w:spacing w:line="269" w:lineRule="auto"/>
      </w:pPr>
      <w:r w:rsidRPr="00DC3374">
        <w:rPr>
          <w:rFonts w:hint="cs"/>
          <w:rtl/>
        </w:rPr>
        <w:t xml:space="preserve">במרץ 2020 הבהיר משרד הבריאות כי חולה קורונה ללא תסמיני המחלה עלול להדביק אנשים אחרים במחלה. בסוף החודש הציג עובד בכיר במשרד הבריאות בריאיון לכלי תקשורת עמדה מנוגדת, ולפיה חולי קורונה ללא תסמינים אינם מדבקים. בעקבות התבטאות העובד הבכיר הייתה עלייה ניכרת בהיקף השיח בנושא (פי שלושה יותר מאשר בשלושת הימים שקדמו לאותה התבטאות). אף כי מרבית הציבור הסכים עם העמדה הממשלתית בנושא (73%), הרי שמהשיח עלו טענות להטעיית הציבור, יצירת בלבול בציבור והסברה לקויה של משרד הבריאות. השיח הצביע על ירידה בציוני המדדים </w:t>
      </w:r>
      <w:r w:rsidRPr="00DC3374">
        <w:rPr>
          <w:rtl/>
        </w:rPr>
        <w:t>בהתייחס לאותה התבטאות</w:t>
      </w:r>
      <w:r w:rsidRPr="00DC3374">
        <w:rPr>
          <w:rFonts w:hint="cs"/>
          <w:rtl/>
        </w:rPr>
        <w:t>,</w:t>
      </w:r>
      <w:r w:rsidRPr="00DC3374">
        <w:rPr>
          <w:rtl/>
        </w:rPr>
        <w:t xml:space="preserve"> בהשוואה לציוני המדדים בשיח הכולל במהלך התקופה שנבדקה</w:t>
      </w:r>
      <w:r w:rsidRPr="00DC3374">
        <w:rPr>
          <w:rFonts w:hint="cs"/>
          <w:rtl/>
        </w:rPr>
        <w:t xml:space="preserve"> כפי שהוצג במחקר הרחב של ניתוח השיח ברשת: ירידה קלה בציון המדד של נגישות ל</w:t>
      </w:r>
      <w:r w:rsidRPr="00DC3374">
        <w:rPr>
          <w:rtl/>
        </w:rPr>
        <w:t>מידע בנוגע להנחיות</w:t>
      </w:r>
      <w:r w:rsidRPr="00DC3374">
        <w:rPr>
          <w:rFonts w:hint="cs"/>
          <w:rtl/>
        </w:rPr>
        <w:t xml:space="preserve"> (מציון 2.6 ל-2.3); ירידה בציון המדד של הבנה ובהירות המידע (מציון 7.3 ל-2.5); וירידה בציון המדד של מידת האמון בגורמים המנהלים את המשבר (מציון 3 ל-1.1)</w:t>
      </w:r>
      <w:r>
        <w:rPr>
          <w:rStyle w:val="FootnoteReference1"/>
          <w:rtl/>
        </w:rPr>
        <w:footnoteReference w:id="89"/>
      </w:r>
      <w:r w:rsidRPr="00DC3374">
        <w:rPr>
          <w:rFonts w:hint="cs"/>
          <w:rtl/>
        </w:rPr>
        <w:t xml:space="preserve">. </w:t>
      </w:r>
    </w:p>
    <w:p w:rsidR="00663CC2" w:rsidRPr="00DC3374" w:rsidP="00E81188" w14:paraId="419A4D31" w14:textId="4B86D28D">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57903641" w14:textId="77777777">
      <w:pPr>
        <w:pStyle w:val="ListParagraph"/>
        <w:numPr>
          <w:ilvl w:val="1"/>
          <w:numId w:val="22"/>
        </w:numPr>
        <w:spacing w:line="269" w:lineRule="auto"/>
      </w:pPr>
      <w:r w:rsidRPr="00DC3374">
        <w:rPr>
          <w:rFonts w:hint="cs"/>
          <w:rtl/>
        </w:rPr>
        <w:t>במהלך המשבר הציג משרד הבריאות עמדה שהבדיקות לגילוי מחלת הקורונה אמינות. בתחילת יוני הציג עובד בכיר במשרד הבריאות בראיון לכלי התקשורת עמדה מנוגדת, ולפיה רוב תוצאות בדיקות הקורונה אינן אמינות. בעקבות זאת, הייתה עלייה ב</w:t>
      </w:r>
      <w:r w:rsidRPr="00DC3374">
        <w:rPr>
          <w:rtl/>
        </w:rPr>
        <w:t xml:space="preserve">היקף </w:t>
      </w:r>
      <w:r w:rsidRPr="00DC3374">
        <w:rPr>
          <w:rFonts w:hint="cs"/>
          <w:rtl/>
        </w:rPr>
        <w:t>ה</w:t>
      </w:r>
      <w:r w:rsidRPr="00DC3374">
        <w:rPr>
          <w:rtl/>
        </w:rPr>
        <w:t>שיח סביב הנושא</w:t>
      </w:r>
      <w:r w:rsidRPr="00DC3374">
        <w:rPr>
          <w:rFonts w:hint="cs"/>
          <w:rtl/>
        </w:rPr>
        <w:t xml:space="preserve"> (גידול של 56%) ביחס לימים שקדמו לאותה התבטאות של העובד הבכיר. </w:t>
      </w:r>
      <w:r w:rsidRPr="00DC3374">
        <w:rPr>
          <w:rtl/>
        </w:rPr>
        <w:t>עיקר השיח עסק באמינות הבדיקות</w:t>
      </w:r>
      <w:r w:rsidRPr="00DC3374">
        <w:rPr>
          <w:rFonts w:hint="cs"/>
          <w:rtl/>
        </w:rPr>
        <w:t xml:space="preserve">, לאו דווקא בפרטי אותה התבטאות. בשיח בלטה מידת הסכמה מעטה של הציבור עם העמדה הממשלתית, בדבר ההסתמכות על הבדיקות לאיתור חולי קורונה. השיח הצביע על ירידה בציון המדדים ביחס לציוני </w:t>
      </w:r>
      <w:r w:rsidRPr="00DC3374">
        <w:rPr>
          <w:rtl/>
        </w:rPr>
        <w:t>המדדים בשיח הכולל במהלך התקופה שנבדקה כפי שהוצג במחקר הרחב של ניתוח השיח ברשת</w:t>
      </w:r>
      <w:r w:rsidRPr="00DC3374">
        <w:rPr>
          <w:rFonts w:hint="cs"/>
          <w:rtl/>
        </w:rPr>
        <w:t xml:space="preserve">: ירידה בציון המדד של הבנה ובהירות המידע (מציון 7.3 ל-5.4); מידת האמון בגורמים המנהלים את המשבר הייתה נמוכה (3.6), </w:t>
      </w:r>
      <w:r w:rsidRPr="00DC3374">
        <w:rPr>
          <w:rFonts w:hint="eastAsia"/>
          <w:rtl/>
        </w:rPr>
        <w:t>אך</w:t>
      </w:r>
      <w:r w:rsidRPr="00DC3374">
        <w:rPr>
          <w:rtl/>
        </w:rPr>
        <w:t xml:space="preserve"> גבוהה ממידת האמון שנמדדה </w:t>
      </w:r>
      <w:r w:rsidRPr="00DC3374">
        <w:rPr>
          <w:rFonts w:hint="cs"/>
          <w:rtl/>
        </w:rPr>
        <w:t>לאורך כל ה</w:t>
      </w:r>
      <w:r w:rsidRPr="00DC3374">
        <w:rPr>
          <w:rtl/>
        </w:rPr>
        <w:t>תקופה הנבדקת (3)</w:t>
      </w:r>
      <w:r>
        <w:rPr>
          <w:rStyle w:val="FootnoteReference1"/>
          <w:rtl/>
        </w:rPr>
        <w:footnoteReference w:id="90"/>
      </w:r>
      <w:r w:rsidRPr="00DC3374">
        <w:rPr>
          <w:rFonts w:hint="cs"/>
          <w:rtl/>
        </w:rPr>
        <w:t>.</w:t>
      </w:r>
    </w:p>
    <w:p w:rsidR="00663CC2" w:rsidRPr="00DC3374" w:rsidP="00E81188" w14:paraId="527E3334" w14:textId="6EB14A9F">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4E7F38B1" w14:textId="77777777">
      <w:pPr>
        <w:pStyle w:val="ListParagraph"/>
        <w:numPr>
          <w:ilvl w:val="1"/>
          <w:numId w:val="22"/>
        </w:numPr>
        <w:spacing w:line="269" w:lineRule="auto"/>
      </w:pPr>
      <w:r w:rsidRPr="00DC3374">
        <w:rPr>
          <w:rFonts w:hint="cs"/>
          <w:rtl/>
        </w:rPr>
        <w:t xml:space="preserve">ביוני 2020 משרד הבריאות דיווח לציבור על קיומו של "גל שני" במשבר הקורונה. באותו החודש הביעו שני אנשי אקדמיה בכירים - האחד ממכון ויצמן למדע והשני מאוניברסיטת תל-אביב, בריאיון משותף לאמצעי תקשורת, עמדה שונה ולפיה אין מדובר ב"גל שני" של המגפה, שכן חלק ניכר מהחולים אינם סובלים מתסמיני המחלה. לא נמצאה השפעה ישירה על היקף השיח בעקבות התבטאות זו, ונעשה שימוש מועט במסמך של המומחים הסותר את העמדה הממשלתית. </w:t>
      </w:r>
      <w:r w:rsidRPr="00DC3374">
        <w:rPr>
          <w:rtl/>
        </w:rPr>
        <w:t xml:space="preserve">ציון מדד </w:t>
      </w:r>
      <w:r w:rsidRPr="00DC3374">
        <w:rPr>
          <w:rFonts w:hint="eastAsia"/>
          <w:rtl/>
        </w:rPr>
        <w:t>האמון</w:t>
      </w:r>
      <w:r w:rsidRPr="00DC3374">
        <w:rPr>
          <w:rtl/>
        </w:rPr>
        <w:t xml:space="preserve"> בעמדת הממשלה היה נמוך במידת מה - 2.3</w:t>
      </w:r>
      <w:r w:rsidRPr="00DC3374">
        <w:rPr>
          <w:rFonts w:hint="cs"/>
          <w:rtl/>
        </w:rPr>
        <w:t>, בהשוואה ל</w:t>
      </w:r>
      <w:r w:rsidRPr="00DC3374">
        <w:rPr>
          <w:rtl/>
        </w:rPr>
        <w:t xml:space="preserve">מידת האמון שנמדדה </w:t>
      </w:r>
      <w:r w:rsidRPr="00DC3374">
        <w:rPr>
          <w:rFonts w:hint="cs"/>
          <w:rtl/>
        </w:rPr>
        <w:t>לאורך כל ה</w:t>
      </w:r>
      <w:r w:rsidRPr="00DC3374">
        <w:rPr>
          <w:rtl/>
        </w:rPr>
        <w:t xml:space="preserve">תקופה הנבדקת (3). </w:t>
      </w:r>
    </w:p>
    <w:p w:rsidR="00663CC2" w:rsidRPr="00DC3374" w:rsidP="00E81188" w14:paraId="01AEC03C" w14:textId="0655B6E9">
      <w:pPr>
        <w:pStyle w:val="a"/>
        <w:spacing w:line="269" w:lineRule="auto"/>
      </w:pPr>
      <w:r w:rsidRPr="00DC3374">
        <w:rPr>
          <w:rtl/>
        </w:rPr>
        <w:fldChar w:fldCharType="begin"/>
      </w:r>
      <w:r w:rsidRPr="00DC3374">
        <w:rPr>
          <w:rtl/>
        </w:rPr>
        <w:instrText xml:space="preserve"> </w:instrText>
      </w:r>
      <w:r w:rsidRPr="00DC3374">
        <w:rPr>
          <w:rFonts w:hint="cs"/>
        </w:rPr>
        <w:instrText>AUTONUMLGL \e  \* MERGEFORMAT</w:instrText>
      </w:r>
      <w:r w:rsidRPr="00DC3374">
        <w:rPr>
          <w:rtl/>
        </w:rPr>
        <w:instrText xml:space="preserve"> </w:instrText>
      </w:r>
      <w:r w:rsidRPr="00DC3374">
        <w:rPr>
          <w:rtl/>
        </w:rPr>
        <w:fldChar w:fldCharType="end"/>
      </w:r>
    </w:p>
    <w:p w:rsidR="00663CC2" w:rsidRPr="00DC3374" w:rsidP="00E81188" w14:paraId="281180C9" w14:textId="77777777">
      <w:pPr>
        <w:pStyle w:val="ListParagraph"/>
        <w:numPr>
          <w:ilvl w:val="1"/>
          <w:numId w:val="22"/>
        </w:numPr>
        <w:spacing w:line="269" w:lineRule="auto"/>
      </w:pPr>
      <w:r w:rsidRPr="00DC3374">
        <w:rPr>
          <w:rFonts w:hint="cs"/>
          <w:rtl/>
        </w:rPr>
        <w:t xml:space="preserve">בספטמבר 2020 משרד הבריאות הציג עמדה ולפיה יש להטיל סגר מלא כדי לעצור את התפשטות התחלואה. בתחילת החודש פורסמה עצומה של רופאים ובה עמדה מנוגדת, ולפיה סגר אינו מונע תמותה אלא מאריך את משך הזמן שבו אוכלוסיות בסיכון חשופות לנגיף. פרסום העצומה גרם לעלייה ניכרת בהיקף השיח ברשתות החברתיות בנוגע להשפעת הסגר על התחלואה (24%), אם כי כמעט לא זוהה שיח ישיר על העצומה. מידת ההסכמה עם עמדת הממשלה ולפיה יש להטיל סגר מלא הייתה נמוכה (35%). עם זאת, למרות חוסר ההסכמה עם עמדת הממשלה, לא נמצאו ביטויים ברורים התומכים בעמדת המומחים ולפיה הסגר מגביר תחלואה. להלן </w:t>
      </w:r>
      <w:r w:rsidRPr="00DC3374">
        <w:rPr>
          <w:rtl/>
        </w:rPr>
        <w:t>ציו</w:t>
      </w:r>
      <w:r w:rsidRPr="00DC3374">
        <w:rPr>
          <w:rFonts w:hint="cs"/>
          <w:rtl/>
        </w:rPr>
        <w:t>ני</w:t>
      </w:r>
      <w:r w:rsidRPr="00DC3374">
        <w:rPr>
          <w:rtl/>
        </w:rPr>
        <w:t xml:space="preserve"> המדדים </w:t>
      </w:r>
      <w:r w:rsidRPr="00DC3374">
        <w:rPr>
          <w:rFonts w:hint="cs"/>
          <w:rtl/>
        </w:rPr>
        <w:t xml:space="preserve">בשלושת הימים שלאחר הפרסום </w:t>
      </w:r>
      <w:r w:rsidRPr="00DC3374">
        <w:rPr>
          <w:rtl/>
        </w:rPr>
        <w:t>ביחס לציו</w:t>
      </w:r>
      <w:r w:rsidRPr="00DC3374">
        <w:rPr>
          <w:rFonts w:hint="cs"/>
          <w:rtl/>
        </w:rPr>
        <w:t>ני</w:t>
      </w:r>
      <w:r w:rsidRPr="00DC3374">
        <w:rPr>
          <w:rtl/>
        </w:rPr>
        <w:t xml:space="preserve"> המדדים בשיח הכולל במהלך התקופה שנבדקה כפי שהוצג במחקר הרחב של ניתוח השיח ברשת: ציון המדד של </w:t>
      </w:r>
      <w:r w:rsidRPr="00DC3374">
        <w:rPr>
          <w:rFonts w:hint="cs"/>
          <w:rtl/>
        </w:rPr>
        <w:t xml:space="preserve">השכנוע בנכונות החלטת הממשלה והכוונה לציית להנחיות היה נמוך - 4.1 בהשוואה ל-6.7 בממוצע במהלך התקופה שנבדקה, כך </w:t>
      </w:r>
      <w:r w:rsidRPr="00DC3374">
        <w:rPr>
          <w:rFonts w:hint="cs"/>
          <w:rtl/>
        </w:rPr>
        <w:t xml:space="preserve">שנכונות הציבור להישמע להנחיות במקרה שיחל סגר, פחתה; </w:t>
      </w:r>
      <w:r w:rsidRPr="00DC3374">
        <w:rPr>
          <w:rtl/>
        </w:rPr>
        <w:t>ציון המדד של מידת האמון בגורמים המנהלים את המשבר</w:t>
      </w:r>
      <w:r w:rsidRPr="00DC3374">
        <w:rPr>
          <w:rFonts w:hint="cs"/>
          <w:rtl/>
        </w:rPr>
        <w:t xml:space="preserve"> היה 2.4, נמוך במידת מה בהשוואה ל-3 בממוצע במהלך התקופה שנבדקה. </w:t>
      </w:r>
    </w:p>
    <w:p w:rsidR="00663CC2" w:rsidRPr="00DC3374" w:rsidP="00E81188" w14:paraId="42866155" w14:textId="34591D6A">
      <w:pPr>
        <w:pStyle w:val="a"/>
        <w:spacing w:line="269" w:lineRule="auto"/>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3850E135" w14:textId="77777777">
      <w:pPr>
        <w:spacing w:line="269" w:lineRule="auto"/>
        <w:ind w:left="312"/>
        <w:rPr>
          <w:b/>
          <w:bCs/>
          <w:rtl/>
        </w:rPr>
      </w:pPr>
      <w:r w:rsidRPr="00DC3374">
        <w:rPr>
          <w:rFonts w:hint="cs"/>
          <w:b/>
          <w:bCs/>
          <w:rtl/>
        </w:rPr>
        <w:t xml:space="preserve">המקרים שהועלו מצביעים על כך שאמירות של מומחים ממערכת הבריאות ומחוצה לה, שסתרו את העמדה הממשלתית, </w:t>
      </w:r>
      <w:r w:rsidRPr="00DC3374">
        <w:rPr>
          <w:rFonts w:hint="eastAsia"/>
          <w:b/>
          <w:bCs/>
          <w:rtl/>
        </w:rPr>
        <w:t>גרמו</w:t>
      </w:r>
      <w:r w:rsidRPr="00DC3374">
        <w:rPr>
          <w:b/>
          <w:bCs/>
          <w:rtl/>
        </w:rPr>
        <w:t xml:space="preserve"> לע</w:t>
      </w:r>
      <w:r w:rsidRPr="00DC3374">
        <w:rPr>
          <w:rFonts w:hint="cs"/>
          <w:b/>
          <w:bCs/>
          <w:rtl/>
        </w:rPr>
        <w:t>י</w:t>
      </w:r>
      <w:r w:rsidRPr="00DC3374">
        <w:rPr>
          <w:b/>
          <w:bCs/>
          <w:rtl/>
        </w:rPr>
        <w:t xml:space="preserve">תים לבלבול בציבור ולפגיעה במאמץ </w:t>
      </w:r>
      <w:r w:rsidRPr="00DC3374">
        <w:rPr>
          <w:rFonts w:hint="eastAsia"/>
          <w:b/>
          <w:bCs/>
          <w:rtl/>
        </w:rPr>
        <w:t>ההסברתי</w:t>
      </w:r>
      <w:r w:rsidRPr="00DC3374">
        <w:rPr>
          <w:rFonts w:hint="cs"/>
          <w:b/>
          <w:bCs/>
          <w:rtl/>
        </w:rPr>
        <w:t xml:space="preserve">: בשלושה מארבעת המקרים שנבדקו הייתה ירידה ברורה במידת האמון בגורמים המנהלים את המשבר; בשניים מהמקרים הייתה ירידה במידת ההבנה של הציבור את ההנחיות; ובמקרה אחד - ירידה בכוונה לציית להן. </w:t>
      </w:r>
    </w:p>
    <w:p w:rsidR="00663CC2" w:rsidRPr="00DC3374" w:rsidP="00E81188" w14:paraId="11DC743D" w14:textId="10BED92B">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663CC2" w:rsidRPr="00DC3374" w:rsidP="00E81188" w14:paraId="516414A9" w14:textId="4D214FB5">
      <w:pPr>
        <w:spacing w:line="269" w:lineRule="auto"/>
        <w:ind w:left="312"/>
        <w:rPr>
          <w:rtl/>
        </w:rPr>
      </w:pPr>
      <w:r w:rsidRPr="00DC3374">
        <w:rPr>
          <w:rFonts w:hint="cs"/>
          <w:rtl/>
        </w:rPr>
        <w:t xml:space="preserve">העובד הבכיר במשרד הבריאות ציין כי דבריו נאמרו בתחילת המגפה בישראל ובעולם, כאשר המידע לגביה היה מעורפל ולא ודאי וכך גם מדיניות הטיפול בה, ודבריו נועדו בין השאר לשקף לציבור את מצב הדברים </w:t>
      </w:r>
      <w:r w:rsidRPr="00DC3374" w:rsidR="008741EB">
        <w:rPr>
          <w:rFonts w:hint="cs"/>
          <w:rtl/>
        </w:rPr>
        <w:t>המשתנה</w:t>
      </w:r>
      <w:r w:rsidRPr="00DC3374">
        <w:rPr>
          <w:rFonts w:hint="cs"/>
          <w:rtl/>
        </w:rPr>
        <w:t xml:space="preserve"> כדי להשיג את אמונו. העובד הבכיר הוסיף כי במצב הדברים שהיה באותה עת, סביר היה ש</w:t>
      </w:r>
      <w:r w:rsidRPr="00DC3374" w:rsidR="00724A87">
        <w:rPr>
          <w:rFonts w:hint="cs"/>
          <w:rtl/>
        </w:rPr>
        <w:t>יהיו</w:t>
      </w:r>
      <w:r w:rsidRPr="00DC3374">
        <w:rPr>
          <w:rFonts w:hint="cs"/>
          <w:rtl/>
        </w:rPr>
        <w:t xml:space="preserve"> דעות שונות של מומחים, והציג ניתוח מקצועי המבהיר במידת מה את המקור לדברים. </w:t>
      </w:r>
    </w:p>
    <w:p w:rsidR="00663CC2" w:rsidRPr="00DC3374" w:rsidP="00E81188" w14:paraId="077982B2" w14:textId="103C15A7">
      <w:pPr>
        <w:pStyle w:val="a"/>
        <w:spacing w:line="269" w:lineRule="auto"/>
        <w:rPr>
          <w:rtl/>
        </w:rPr>
      </w:pPr>
      <w:r w:rsidRPr="00DC3374">
        <w:rPr>
          <w:rtl/>
        </w:rPr>
        <w:fldChar w:fldCharType="begin"/>
      </w:r>
      <w:r w:rsidRPr="00DC3374">
        <w:rPr>
          <w:rtl/>
        </w:rPr>
        <w:instrText xml:space="preserve"> </w:instrText>
      </w:r>
      <w:r w:rsidRPr="00DC3374">
        <w:instrText>AUTONUMLGL \e  \* MERGEFORMAT</w:instrText>
      </w:r>
      <w:r w:rsidRPr="00DC3374">
        <w:rPr>
          <w:rtl/>
        </w:rPr>
        <w:instrText xml:space="preserve"> </w:instrText>
      </w:r>
      <w:r w:rsidRPr="00DC3374">
        <w:rPr>
          <w:rtl/>
        </w:rPr>
        <w:fldChar w:fldCharType="end"/>
      </w:r>
    </w:p>
    <w:p w:rsidR="0026492B" w:rsidRPr="00DC3374" w:rsidP="00E81188" w14:paraId="5B979E56" w14:textId="6BBA6E6B">
      <w:pPr>
        <w:spacing w:line="269" w:lineRule="auto"/>
        <w:rPr>
          <w:b/>
          <w:bCs/>
          <w:rtl/>
        </w:rPr>
      </w:pPr>
      <w:r w:rsidRPr="00DC3374">
        <w:rPr>
          <w:rFonts w:hint="cs"/>
          <w:b/>
          <w:bCs/>
          <w:rtl/>
        </w:rPr>
        <w:t xml:space="preserve">אמירות כאלו מציבות אפוא בפני גורמי ההסברה מטעם הממשלה אתגרים המחייבים פעולה. </w:t>
      </w:r>
      <w:r w:rsidRPr="00DC3374">
        <w:rPr>
          <w:rFonts w:hint="eastAsia"/>
          <w:b/>
          <w:bCs/>
          <w:rtl/>
        </w:rPr>
        <w:t>ה</w:t>
      </w:r>
      <w:r w:rsidRPr="00DC3374">
        <w:rPr>
          <w:b/>
          <w:bCs/>
          <w:rtl/>
        </w:rPr>
        <w:t>היערכות ל</w:t>
      </w:r>
      <w:r w:rsidRPr="00DC3374">
        <w:rPr>
          <w:rFonts w:hint="eastAsia"/>
          <w:b/>
          <w:bCs/>
          <w:rtl/>
        </w:rPr>
        <w:t>אתגרים</w:t>
      </w:r>
      <w:r w:rsidRPr="00DC3374">
        <w:rPr>
          <w:b/>
          <w:bCs/>
          <w:rtl/>
        </w:rPr>
        <w:t xml:space="preserve"> הנובעים מעמדות מומחים </w:t>
      </w:r>
      <w:r w:rsidRPr="00DC3374">
        <w:rPr>
          <w:rFonts w:hint="eastAsia"/>
          <w:b/>
          <w:bCs/>
          <w:rtl/>
        </w:rPr>
        <w:t>שאינן</w:t>
      </w:r>
      <w:r w:rsidRPr="00DC3374">
        <w:rPr>
          <w:b/>
          <w:bCs/>
          <w:rtl/>
        </w:rPr>
        <w:t xml:space="preserve"> </w:t>
      </w:r>
      <w:r w:rsidRPr="00DC3374">
        <w:rPr>
          <w:rFonts w:hint="eastAsia"/>
          <w:b/>
          <w:bCs/>
          <w:rtl/>
        </w:rPr>
        <w:t>עולות</w:t>
      </w:r>
      <w:r w:rsidRPr="00DC3374">
        <w:rPr>
          <w:b/>
          <w:bCs/>
          <w:rtl/>
        </w:rPr>
        <w:t xml:space="preserve"> </w:t>
      </w:r>
      <w:r w:rsidRPr="00DC3374">
        <w:rPr>
          <w:rFonts w:hint="eastAsia"/>
          <w:b/>
          <w:bCs/>
          <w:rtl/>
        </w:rPr>
        <w:t>בקנה</w:t>
      </w:r>
      <w:r w:rsidRPr="00DC3374">
        <w:rPr>
          <w:b/>
          <w:bCs/>
          <w:rtl/>
        </w:rPr>
        <w:t xml:space="preserve"> </w:t>
      </w:r>
      <w:r w:rsidRPr="00DC3374">
        <w:rPr>
          <w:rFonts w:hint="eastAsia"/>
          <w:b/>
          <w:bCs/>
          <w:rtl/>
        </w:rPr>
        <w:t>אחד</w:t>
      </w:r>
      <w:r w:rsidRPr="00DC3374">
        <w:rPr>
          <w:b/>
          <w:bCs/>
          <w:rtl/>
        </w:rPr>
        <w:t xml:space="preserve"> </w:t>
      </w:r>
      <w:r w:rsidRPr="00DC3374">
        <w:rPr>
          <w:rFonts w:hint="eastAsia"/>
          <w:b/>
          <w:bCs/>
          <w:rtl/>
        </w:rPr>
        <w:t>עם</w:t>
      </w:r>
      <w:r w:rsidRPr="00DC3374">
        <w:rPr>
          <w:b/>
          <w:bCs/>
          <w:rtl/>
        </w:rPr>
        <w:t xml:space="preserve"> המדיניות הממשלתית טעונ</w:t>
      </w:r>
      <w:r w:rsidRPr="00DC3374">
        <w:rPr>
          <w:rFonts w:hint="eastAsia"/>
          <w:b/>
          <w:bCs/>
          <w:rtl/>
        </w:rPr>
        <w:t>ה</w:t>
      </w:r>
      <w:r w:rsidRPr="00DC3374">
        <w:rPr>
          <w:b/>
          <w:bCs/>
          <w:rtl/>
        </w:rPr>
        <w:t xml:space="preserve"> גיבוש אמצעי הסברה מבעוד מועד. </w:t>
      </w:r>
      <w:r w:rsidRPr="00DC3374">
        <w:rPr>
          <w:rFonts w:hint="eastAsia"/>
          <w:b/>
          <w:bCs/>
          <w:rtl/>
        </w:rPr>
        <w:t>הדבר</w:t>
      </w:r>
      <w:r w:rsidRPr="00DC3374">
        <w:rPr>
          <w:b/>
          <w:bCs/>
          <w:rtl/>
        </w:rPr>
        <w:t xml:space="preserve"> </w:t>
      </w:r>
      <w:r w:rsidRPr="00DC3374">
        <w:rPr>
          <w:rFonts w:hint="eastAsia"/>
          <w:b/>
          <w:bCs/>
          <w:rtl/>
        </w:rPr>
        <w:t>מחדד</w:t>
      </w:r>
      <w:r w:rsidRPr="00DC3374">
        <w:rPr>
          <w:b/>
          <w:bCs/>
          <w:rtl/>
        </w:rPr>
        <w:t xml:space="preserve"> </w:t>
      </w:r>
      <w:r w:rsidRPr="00DC3374">
        <w:rPr>
          <w:rFonts w:hint="eastAsia"/>
          <w:b/>
          <w:bCs/>
          <w:rtl/>
        </w:rPr>
        <w:t>את</w:t>
      </w:r>
      <w:r w:rsidRPr="00DC3374">
        <w:rPr>
          <w:b/>
          <w:bCs/>
          <w:rtl/>
        </w:rPr>
        <w:t xml:space="preserve"> </w:t>
      </w:r>
      <w:r w:rsidRPr="00DC3374">
        <w:rPr>
          <w:rFonts w:hint="eastAsia"/>
          <w:b/>
          <w:bCs/>
          <w:rtl/>
        </w:rPr>
        <w:t>הצורך</w:t>
      </w:r>
      <w:r w:rsidRPr="00DC3374">
        <w:rPr>
          <w:b/>
          <w:bCs/>
          <w:rtl/>
        </w:rPr>
        <w:t xml:space="preserve"> של מערך ההסברה הלאומי להקים </w:t>
      </w:r>
      <w:r w:rsidRPr="00DC3374">
        <w:rPr>
          <w:rFonts w:hint="eastAsia"/>
          <w:b/>
          <w:bCs/>
          <w:rtl/>
        </w:rPr>
        <w:t>מבעוד</w:t>
      </w:r>
      <w:r w:rsidRPr="00DC3374">
        <w:rPr>
          <w:b/>
          <w:bCs/>
          <w:rtl/>
        </w:rPr>
        <w:t xml:space="preserve"> מועד מאגר דוברים המומחים בתחומם ומוכשרים להופעה בתקשורת, כנדרש על פי החלטת הממשלה שמכוחה הוקם המערך</w:t>
      </w:r>
      <w:r w:rsidRPr="00DC3374">
        <w:rPr>
          <w:rFonts w:hint="cs"/>
          <w:b/>
          <w:bCs/>
          <w:rtl/>
        </w:rPr>
        <w:t>, לפעול לניטור מקרים שבהם עמדות מומחים סותרות את העמדה הממשלתית</w:t>
      </w:r>
      <w:r w:rsidRPr="00DC3374">
        <w:rPr>
          <w:b/>
          <w:bCs/>
          <w:rtl/>
        </w:rPr>
        <w:t xml:space="preserve"> ולפעול מבעוד מועד מול גופי התקשורת השונים כדי להגדיל את הסיכוי שהם ישולבו בתוכניות השונות. </w:t>
      </w:r>
    </w:p>
    <w:p w:rsidR="0026492B" w:rsidRPr="00DC3374" w:rsidP="00E81188" w14:paraId="62A22182" w14:textId="77777777">
      <w:pPr>
        <w:spacing w:line="269" w:lineRule="auto"/>
        <w:rPr>
          <w:b/>
          <w:bCs/>
          <w:rtl/>
        </w:rPr>
      </w:pPr>
    </w:p>
    <w:p w:rsidR="00AF0BBD" w:rsidRPr="00DC3374" w:rsidP="00E81188" w14:paraId="00EC5105" w14:textId="586CFAD7">
      <w:pPr>
        <w:pStyle w:val="Heading3"/>
        <w:spacing w:before="0" w:line="269" w:lineRule="auto"/>
      </w:pPr>
      <w:r w:rsidRPr="00DC3374">
        <w:rPr>
          <w:rFonts w:hint="cs"/>
          <w:rtl/>
        </w:rPr>
        <w:t>סיכום</w:t>
      </w:r>
    </w:p>
    <w:p w:rsidR="00AF0BBD" w:rsidRPr="00DC3374" w:rsidP="00E81188" w14:paraId="04ECE9AA" w14:textId="0EBEA51E">
      <w:pPr>
        <w:pStyle w:val="a"/>
        <w:spacing w:line="269" w:lineRule="auto"/>
        <w:rPr>
          <w:rtl/>
        </w:rPr>
      </w:pPr>
      <w:r w:rsidRPr="00DC3374">
        <w:rPr>
          <w:rFonts w:hint="cs"/>
          <w:rtl/>
        </w:rPr>
        <w:fldChar w:fldCharType="begin"/>
      </w:r>
      <w:r w:rsidRPr="00DC3374">
        <w:rPr>
          <w:rFonts w:hint="cs"/>
          <w:rtl/>
        </w:rPr>
        <w:instrText xml:space="preserve"> </w:instrText>
      </w:r>
      <w:r w:rsidRPr="00DC3374">
        <w:instrText>AUTONUMLGL \e  \* MERGEFORMAT</w:instrText>
      </w:r>
      <w:r w:rsidRPr="00DC3374">
        <w:rPr>
          <w:rFonts w:hint="cs"/>
          <w:rtl/>
        </w:rPr>
        <w:instrText xml:space="preserve"> </w:instrText>
      </w:r>
      <w:r w:rsidRPr="00DC3374">
        <w:rPr>
          <w:rFonts w:hint="cs"/>
          <w:rtl/>
        </w:rPr>
        <w:fldChar w:fldCharType="end"/>
      </w:r>
    </w:p>
    <w:p w:rsidR="00AF0BBD" w:rsidRPr="00DC3374" w:rsidP="00E81188" w14:paraId="0FCCBEC2" w14:textId="1FFDC9AE">
      <w:pPr>
        <w:spacing w:line="269" w:lineRule="auto"/>
        <w:rPr>
          <w:b/>
          <w:bCs/>
          <w:rtl/>
        </w:rPr>
      </w:pPr>
      <w:r w:rsidRPr="00DC3374">
        <w:rPr>
          <w:rFonts w:hint="cs"/>
          <w:b/>
          <w:bCs/>
          <w:rtl/>
        </w:rPr>
        <w:t xml:space="preserve">באירועי חירום לאומיים, דוגמת משבר הקורונה, נדרש מערך הסברה שמטרתו בין היתר לסייע לציבור להתמודד עם שינוי מציאות בלתי צפוי ועם אי-ודאות לגבי דרכי ההתגוננות. דוח זה מעלה ממצאים שונים הנוגעים לטיפול הממשלתי בהסברה במהלך המשבר, וראוי כי אלו ישמשו בסיס להליך הפקת לקחים שייעשה בנושא. ממצאי הדוח מלמדים כי המענה שנתנה הממשלה לצורך בהסברת משבר הקורונה והדרכים להתמודד עמו היה שונה מהמתווה שתוכנן להסברה לאומית באירוע חירום אזרחי ותורגל כשנה וחצי לפני פרוץ המגפה. נוסף על כך תפקידי </w:t>
      </w:r>
      <w:r w:rsidRPr="00DC3374" w:rsidR="000C069B">
        <w:rPr>
          <w:rFonts w:hint="cs"/>
          <w:b/>
          <w:bCs/>
          <w:rtl/>
        </w:rPr>
        <w:t>ה</w:t>
      </w:r>
      <w:r w:rsidRPr="00DC3374">
        <w:rPr>
          <w:rFonts w:hint="cs"/>
          <w:b/>
          <w:bCs/>
          <w:rtl/>
        </w:rPr>
        <w:t xml:space="preserve">מפתח במערך ההסברה שהוקם במשרד רה"ם על פי החלטת הממשלה משנת 2007 לא היו מאוישים במועד פרוץ המגפה, ולנוכח זה המערך לא פעל כמתוכנן; משרד הבריאות, שנדרש להוביל את פעולות ההסברה הממשלתיות, היה חסר תשתית תפקודית וכלים מקצועיים מתאימים, ואלה הושלמו במהירות תוך כדי המשבר והעלייה בשיעורי התחלואה, תוך השקעת משאבי מדינה, בלי להתחשב בהיערכות בשנים שקדמו למשבר ולמשאבים שהושקעו בנושא זה מכבר. </w:t>
      </w:r>
    </w:p>
    <w:p w:rsidR="00AF0BBD" w:rsidRPr="00DC3374" w:rsidP="00E81188" w14:paraId="3CBEC697" w14:textId="1AE24750">
      <w:pPr>
        <w:pStyle w:val="a"/>
        <w:spacing w:line="269" w:lineRule="auto"/>
        <w:rPr>
          <w:rtl/>
        </w:rPr>
      </w:pPr>
      <w:r w:rsidRPr="00DC3374">
        <w:rPr>
          <w:rFonts w:hint="cs"/>
          <w:rtl/>
        </w:rPr>
        <w:fldChar w:fldCharType="begin"/>
      </w:r>
      <w:r w:rsidRPr="00DC3374">
        <w:rPr>
          <w:rFonts w:hint="cs"/>
          <w:rtl/>
        </w:rPr>
        <w:instrText xml:space="preserve"> </w:instrText>
      </w:r>
      <w:r w:rsidRPr="00DC3374">
        <w:instrText>AUTONUMLGL \e  \* MERGEFORMAT</w:instrText>
      </w:r>
      <w:r w:rsidRPr="00DC3374">
        <w:rPr>
          <w:rFonts w:hint="cs"/>
          <w:rtl/>
        </w:rPr>
        <w:instrText xml:space="preserve"> </w:instrText>
      </w:r>
      <w:r w:rsidRPr="00DC3374">
        <w:rPr>
          <w:rFonts w:hint="cs"/>
          <w:rtl/>
        </w:rPr>
        <w:fldChar w:fldCharType="end"/>
      </w:r>
    </w:p>
    <w:p w:rsidR="00AF0BBD" w:rsidRPr="00DC3374" w:rsidP="00E81188" w14:paraId="7DD56C92" w14:textId="77777777">
      <w:pPr>
        <w:spacing w:line="269" w:lineRule="auto"/>
        <w:rPr>
          <w:b/>
          <w:bCs/>
          <w:rtl/>
        </w:rPr>
      </w:pPr>
      <w:r w:rsidRPr="00DC3374">
        <w:rPr>
          <w:rFonts w:hint="cs"/>
          <w:b/>
          <w:bCs/>
          <w:rtl/>
        </w:rPr>
        <w:t>בפועל,</w:t>
      </w:r>
      <w:r w:rsidRPr="00DC3374">
        <w:rPr>
          <w:rFonts w:hint="cs"/>
          <w:rtl/>
        </w:rPr>
        <w:t xml:space="preserve"> </w:t>
      </w:r>
      <w:r w:rsidRPr="00DC3374">
        <w:rPr>
          <w:rFonts w:hint="cs"/>
          <w:b/>
          <w:bCs/>
          <w:rtl/>
        </w:rPr>
        <w:t xml:space="preserve">הופעלו מקורות מידע מקבילים לציבור, של משרד הבריאות ופקע"ר - כל אחד בנפרד - וכל אחד מהם התמודד בנפרד עם קשיים במתן שירות מלא ויעיל לציבור. לנוכח זה רמת השירות לציבור של גורמי ההסברה המרכזיים הייתה לא מספקת במהלך חלק ניכר מהתקופה שנבדקה. שילוב המאמצים והמשאבים להפעלת מקורות המידע, בייחוד של שני הגופים האלה, יתרום להשגת שירות טוב ויעיל יותר לציבור, וייתכן שאף יחסוך כספי ציבור. </w:t>
      </w:r>
    </w:p>
    <w:p w:rsidR="00AF0BBD" w:rsidRPr="00DC3374" w:rsidP="00E81188" w14:paraId="7FB307A9" w14:textId="2F5E8C32">
      <w:pPr>
        <w:pStyle w:val="a"/>
        <w:spacing w:line="269" w:lineRule="auto"/>
        <w:rPr>
          <w:rtl/>
        </w:rPr>
      </w:pPr>
      <w:r w:rsidRPr="00DC3374">
        <w:rPr>
          <w:rFonts w:hint="cs"/>
          <w:rtl/>
        </w:rPr>
        <w:fldChar w:fldCharType="begin"/>
      </w:r>
      <w:r w:rsidRPr="00DC3374">
        <w:rPr>
          <w:rFonts w:hint="cs"/>
          <w:rtl/>
        </w:rPr>
        <w:instrText xml:space="preserve"> </w:instrText>
      </w:r>
      <w:r w:rsidRPr="00DC3374">
        <w:instrText>AUTONUMLGL \e  \* MERGEFORMAT</w:instrText>
      </w:r>
      <w:r w:rsidRPr="00DC3374">
        <w:rPr>
          <w:rFonts w:hint="cs"/>
          <w:rtl/>
        </w:rPr>
        <w:instrText xml:space="preserve"> </w:instrText>
      </w:r>
      <w:r w:rsidRPr="00DC3374">
        <w:rPr>
          <w:rFonts w:hint="cs"/>
          <w:rtl/>
        </w:rPr>
        <w:fldChar w:fldCharType="end"/>
      </w:r>
    </w:p>
    <w:p w:rsidR="00AF0BBD" w:rsidRPr="00DC3374" w:rsidP="00E81188" w14:paraId="1239CA85" w14:textId="77777777">
      <w:pPr>
        <w:spacing w:line="269" w:lineRule="auto"/>
        <w:rPr>
          <w:b/>
          <w:bCs/>
          <w:rtl/>
        </w:rPr>
      </w:pPr>
      <w:r w:rsidRPr="00DC3374">
        <w:rPr>
          <w:rFonts w:hint="cs"/>
          <w:b/>
          <w:bCs/>
          <w:rtl/>
        </w:rPr>
        <w:t xml:space="preserve">בחינת עמדות הציבור בנוגע להסברה בתקופת הקורונה העלתה כי גורמי ההסברה הצליחו להסביר לציבור את רוב ההגבלות במידה בינונית, וככלל, הציבור נתן אמון מצומצם בלבד בגורמים האחראים לניהול המשבר. שכנוע ברמה בינונית בדבר נחיצות ההגבלות ומידה מעטה של אמון בגורמים שקבעו אותן מגדילים את הסיכון לאי-ציות הציבור להנחיות גורמי הממשל. </w:t>
      </w:r>
    </w:p>
    <w:p w:rsidR="00AF0BBD" w:rsidRPr="00DC3374" w:rsidP="00E81188" w14:paraId="4E1B07FD" w14:textId="65436961">
      <w:pPr>
        <w:pStyle w:val="a"/>
        <w:spacing w:line="269" w:lineRule="auto"/>
        <w:rPr>
          <w:rtl/>
        </w:rPr>
      </w:pPr>
      <w:r w:rsidRPr="00DC3374">
        <w:rPr>
          <w:rFonts w:hint="cs"/>
          <w:rtl/>
        </w:rPr>
        <w:fldChar w:fldCharType="begin"/>
      </w:r>
      <w:r w:rsidRPr="00DC3374">
        <w:rPr>
          <w:rFonts w:hint="cs"/>
          <w:rtl/>
        </w:rPr>
        <w:instrText xml:space="preserve"> </w:instrText>
      </w:r>
      <w:r w:rsidRPr="00DC3374">
        <w:instrText>AUTONUMLGL \e  \* MERGEFORMAT</w:instrText>
      </w:r>
      <w:r w:rsidRPr="00DC3374">
        <w:rPr>
          <w:rFonts w:hint="cs"/>
          <w:rtl/>
        </w:rPr>
        <w:instrText xml:space="preserve"> </w:instrText>
      </w:r>
      <w:r w:rsidRPr="00DC3374">
        <w:rPr>
          <w:rFonts w:hint="cs"/>
          <w:rtl/>
        </w:rPr>
        <w:fldChar w:fldCharType="end"/>
      </w:r>
    </w:p>
    <w:p w:rsidR="00AF0BBD" w:rsidRPr="00DC3374" w:rsidP="00E81188" w14:paraId="7E0E4D2C" w14:textId="77777777">
      <w:pPr>
        <w:spacing w:line="269" w:lineRule="auto"/>
        <w:rPr>
          <w:b/>
          <w:bCs/>
          <w:rtl/>
        </w:rPr>
      </w:pPr>
      <w:r w:rsidRPr="00DC3374">
        <w:rPr>
          <w:rFonts w:hint="cs"/>
          <w:b/>
          <w:bCs/>
          <w:rtl/>
        </w:rPr>
        <w:t xml:space="preserve">המענה ההסברתי הדרוש לאוכלוסייה הערבית ולאוכלוסייה החרדית בידי משרד הבריאות, מיד לאחר פרוץ המגפה, היה מצומצם בהשוואה למענה ההסברתי לאוכלוסייה הכללית, ונוצרו פערי </w:t>
      </w:r>
      <w:r w:rsidRPr="00DC3374">
        <w:rPr>
          <w:rFonts w:hint="cs"/>
          <w:b/>
          <w:bCs/>
          <w:rtl/>
        </w:rPr>
        <w:t>מידע בקרב שתי האוכלוסיות האלו. משרד מבקר המדינה מציין לחיוב את היוזמות הנקודתיות של משרד הבריאות ופקע"ר לחיזוק החוסן החברתי.</w:t>
      </w:r>
    </w:p>
    <w:p w:rsidR="00AF0BBD" w:rsidRPr="00DC3374" w:rsidP="00E81188" w14:paraId="05B39024" w14:textId="3CF74392">
      <w:pPr>
        <w:pStyle w:val="a"/>
        <w:spacing w:line="269" w:lineRule="auto"/>
        <w:rPr>
          <w:rtl/>
        </w:rPr>
      </w:pPr>
      <w:r w:rsidRPr="00DC3374">
        <w:rPr>
          <w:rFonts w:hint="cs"/>
          <w:rtl/>
        </w:rPr>
        <w:t xml:space="preserve"> </w:t>
      </w:r>
      <w:r w:rsidRPr="00DC3374">
        <w:rPr>
          <w:rFonts w:hint="cs"/>
          <w:rtl/>
        </w:rPr>
        <w:fldChar w:fldCharType="begin"/>
      </w:r>
      <w:r w:rsidRPr="00DC3374">
        <w:rPr>
          <w:rFonts w:hint="cs"/>
          <w:rtl/>
        </w:rPr>
        <w:instrText xml:space="preserve"> </w:instrText>
      </w:r>
      <w:r w:rsidRPr="00DC3374">
        <w:instrText>AUTONUMLGL \e  \* MERGEFORMAT</w:instrText>
      </w:r>
      <w:r w:rsidRPr="00DC3374">
        <w:rPr>
          <w:rFonts w:hint="cs"/>
          <w:rtl/>
        </w:rPr>
        <w:instrText xml:space="preserve"> </w:instrText>
      </w:r>
      <w:r w:rsidRPr="00DC3374">
        <w:rPr>
          <w:rFonts w:hint="cs"/>
          <w:rtl/>
        </w:rPr>
        <w:fldChar w:fldCharType="end"/>
      </w:r>
    </w:p>
    <w:p w:rsidR="00AF0BBD" w:rsidRPr="00DC3374" w:rsidP="00E81188" w14:paraId="54AD71FE" w14:textId="77777777">
      <w:pPr>
        <w:spacing w:line="269" w:lineRule="auto"/>
        <w:rPr>
          <w:b/>
          <w:bCs/>
          <w:rtl/>
        </w:rPr>
      </w:pPr>
      <w:r w:rsidRPr="00DC3374">
        <w:rPr>
          <w:rFonts w:hint="cs"/>
          <w:b/>
          <w:bCs/>
          <w:rtl/>
        </w:rPr>
        <w:t xml:space="preserve">כדי להבטיח מוכנות של גורמי ההסברה מטעם הממשלה לשעת חירום מומלץ להסדיר מתווה מחייב לחלוקת האחריות בין גופי ההסברה השונים ולהתאמת התשתית הארגונית והמקצועית של כל אחד מהם לאחריות שתוטל עליו במסגרת המתווה האמור; לקבוע עקרונות ושיטות הסברה אפקטיביות, גם על סמך מחקר אוכלוסייה הכולל מיפוי ואפיון של קהלי יעד שונים; ולפעול להקמת מקורות מידע אחודים של הממשלה לציבור בעת חירום. האחריות לוודא את מוכנות גופי ההסברה לשעת חירום מוטלת על מערך ההסברה במשרד רה"ם, אשר הוקם במטרה לתת מענה לצרכים כגון אלה, ועליו לפעול בשיתוף הגורמים הרלוונטיים לניהול אירועי חירום לאומיים, כגון בתחום הבריאות, הגנת הסביבה והכלכלה. </w:t>
      </w:r>
    </w:p>
    <w:p w:rsidR="00AF0BBD" w:rsidRPr="00DC3374" w:rsidP="00E81188" w14:paraId="1CFB10F7" w14:textId="3F72B99A">
      <w:pPr>
        <w:pStyle w:val="a"/>
        <w:spacing w:line="269" w:lineRule="auto"/>
        <w:rPr>
          <w:rtl/>
        </w:rPr>
      </w:pPr>
      <w:r w:rsidRPr="00DC3374">
        <w:rPr>
          <w:rFonts w:hint="cs"/>
          <w:rtl/>
        </w:rPr>
        <w:fldChar w:fldCharType="begin"/>
      </w:r>
      <w:r w:rsidRPr="00DC3374">
        <w:rPr>
          <w:rFonts w:hint="cs"/>
          <w:rtl/>
        </w:rPr>
        <w:instrText xml:space="preserve"> </w:instrText>
      </w:r>
      <w:r w:rsidRPr="00DC3374">
        <w:instrText>AUTONUMLGL \e  \* MERGEFORMAT</w:instrText>
      </w:r>
      <w:r w:rsidRPr="00DC3374">
        <w:rPr>
          <w:rFonts w:hint="cs"/>
          <w:rtl/>
        </w:rPr>
        <w:instrText xml:space="preserve"> </w:instrText>
      </w:r>
      <w:r w:rsidRPr="00DC3374">
        <w:rPr>
          <w:rFonts w:hint="cs"/>
          <w:rtl/>
        </w:rPr>
        <w:fldChar w:fldCharType="end"/>
      </w:r>
    </w:p>
    <w:p w:rsidR="00AF0BBD" w:rsidP="00E81188" w14:paraId="66C69896" w14:textId="77777777">
      <w:pPr>
        <w:spacing w:line="269" w:lineRule="auto"/>
        <w:rPr>
          <w:bCs/>
          <w:u w:val="single"/>
          <w:rtl/>
        </w:rPr>
      </w:pPr>
      <w:r w:rsidRPr="00DC3374">
        <w:rPr>
          <w:rFonts w:hint="cs"/>
          <w:b/>
          <w:bCs/>
          <w:rtl/>
        </w:rPr>
        <w:t>אתגר נוסף עומד מול גורמי ההסברה, ועוצמתו עולה עם השנים והשינויים הטכנולוגיים בתחום התקשורת - התמודדות עם מידע כוזב שהפצתו נרחבת גם באמצעות רשתות חברתיות באינטרנט. היערכות להתמודדות במישור הזה טעונה פעולות לניטור מקרים המחייבים תגובה, גיבוש אמצעי הסברה מתאימים מבעוד מועד, כגון הקמת מאגר דוברים המומחים בתחומם ומוכשרים להופעה בתקשורת, שלרשותם יעמדו נתונים ומידע לצורך התמודדות מקצועית ראויה. מומלץ שמערך ההסברה הלאומי יוביל את הפעולות האלה.</w:t>
      </w:r>
    </w:p>
    <w:sectPr w:rsidSect="00C30B3D">
      <w:headerReference w:type="default" r:id="rId76"/>
      <w:footerReference w:type="default" r:id="rId77"/>
      <w:headerReference w:type="first" r:id="rId78"/>
      <w:footerReference w:type="first" r:id="rId79"/>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arkisi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5ABE" w:rsidRPr="00DC3374" w:rsidP="009A11FC" w14:paraId="465E4A68" w14:textId="77777777">
    <w:pPr>
      <w:jc w:val="right"/>
      <w:rPr>
        <w:rtl/>
      </w:rPr>
    </w:pPr>
    <w:r w:rsidRPr="00DC3374">
      <w:rPr>
        <w:rFonts w:hint="cs"/>
        <w:rtl/>
      </w:rPr>
      <w:t>ההסברה לציבור במהלך משבר הקורונה</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5ABE" w14:paraId="6CAFF57C" w14:textId="77777777">
    <w:pPr>
      <w:pStyle w:val="Footer"/>
    </w:pPr>
    <w:bookmarkStart w:id="1" w:name="tempMark"/>
    <w:bookmarkEnd w:id="1"/>
  </w:p>
  <w:p w:rsidR="00725ABE" w:rsidRPr="00DC3374" w:rsidP="009A11FC" w14:paraId="5072D0F4" w14:textId="77777777">
    <w:pPr>
      <w:jc w:val="right"/>
      <w:rPr>
        <w:rtl/>
      </w:rPr>
    </w:pPr>
    <w:r w:rsidRPr="00DC3374">
      <w:rPr>
        <w:rFonts w:hint="cs"/>
        <w:rtl/>
      </w:rPr>
      <w:t>ההסברה לציבור במהלך משבר הקורונה</w:t>
    </w:r>
  </w:p>
  <w:p w:rsidR="00725ABE" w14:paraId="600E8B6A" w14:textId="3CD17E7B">
    <w:pPr>
      <w:pStyle w:val="Footer"/>
    </w:pPr>
    <w:r>
      <w:rPr>
        <w:noProof/>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3175</wp:posOffset>
              </wp:positionV>
              <wp:extent cx="4445000" cy="457200"/>
              <wp:effectExtent l="0" t="0" r="12700" b="19050"/>
              <wp:wrapNone/>
              <wp:docPr id="15"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00" cy="457200"/>
                      </a:xfrm>
                      <a:prstGeom prst="rect">
                        <a:avLst/>
                      </a:prstGeom>
                      <a:noFill/>
                      <a:ln w="6350">
                        <a:solidFill>
                          <a:srgbClr val="0000FF"/>
                        </a:solidFill>
                      </a:ln>
                    </wps:spPr>
                    <wps:txbx>
                      <w:txbxContent>
                        <w:p w:rsidR="00725ABE" w:rsidP="009A11FC" w14:textId="6F0C4FF3">
                          <w:pPr>
                            <w:spacing w:before="24" w:line="312" w:lineRule="auto"/>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725ABE" w:rsidRPr="009A11FC" w:rsidP="009A11FC" w14:textId="0A294D4F">
                          <w:pPr>
                            <w:spacing w:before="24" w:line="312" w:lineRule="auto"/>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BoxWarningF" o:spid="_x0000_s2049" type="#_x0000_t202" style="width:350pt;height:36pt;margin-top:0.25pt;margin-left:0;mso-position-horizontal:center;mso-wrap-distance-bottom:0;mso-wrap-distance-left:9pt;mso-wrap-distance-right:9pt;mso-wrap-distance-top:0;mso-wrap-style:square;position:absolute;visibility:visible;v-text-anchor:top;z-index:251659264" filled="f" strokecolor="blue" strokeweight="0.5pt">
              <v:textbox>
                <w:txbxContent>
                  <w:p w:rsidR="00725ABE" w:rsidP="009A11FC" w14:paraId="213F0148" w14:textId="6F0C4FF3">
                    <w:pPr>
                      <w:spacing w:before="24" w:line="312" w:lineRule="auto"/>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725ABE" w:rsidRPr="009A11FC" w:rsidP="009A11FC" w14:paraId="46641A2F" w14:textId="0A294D4F">
                    <w:pPr>
                      <w:spacing w:before="24" w:line="312" w:lineRule="auto"/>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84B47" w:rsidP="00C23CC9" w14:paraId="333906D1" w14:textId="77777777">
      <w:r>
        <w:separator/>
      </w:r>
    </w:p>
  </w:footnote>
  <w:footnote w:type="continuationSeparator" w:id="1">
    <w:p w:rsidR="00A84B47" w:rsidP="00C23CC9" w14:paraId="536CAA24" w14:textId="77777777">
      <w:r>
        <w:continuationSeparator/>
      </w:r>
    </w:p>
  </w:footnote>
  <w:footnote w:type="continuationNotice" w:id="2">
    <w:p w:rsidR="00A84B47" w14:paraId="38E8C5BD" w14:textId="77777777">
      <w:pPr>
        <w:spacing w:line="240" w:lineRule="auto"/>
      </w:pPr>
    </w:p>
  </w:footnote>
  <w:footnote w:id="3">
    <w:p w:rsidR="00725ABE" w:rsidP="00B54F36" w14:paraId="2BFD197C" w14:textId="77777777">
      <w:pPr>
        <w:pStyle w:val="FootnoteText"/>
        <w:spacing w:line="269" w:lineRule="auto"/>
        <w:ind w:left="720" w:hanging="720"/>
      </w:pPr>
      <w:r>
        <w:rPr>
          <w:rStyle w:val="FootnoteReference1"/>
        </w:rPr>
        <w:footnoteRef/>
      </w:r>
      <w:r>
        <w:rPr>
          <w:rtl/>
        </w:rPr>
        <w:t xml:space="preserve"> </w:t>
      </w:r>
      <w:r>
        <w:rPr>
          <w:rtl/>
        </w:rPr>
        <w:tab/>
      </w:r>
      <w:r>
        <w:rPr>
          <w:rFonts w:hint="cs"/>
          <w:rtl/>
        </w:rPr>
        <w:t>צ' רייך, מ' בנטמן, ע' ג'קמן, אוניברסיטת בן גוריון בנגב, "תקשורת במצבי חירום - מדריך לגופים ציבוריים" (2010), עמ' 6 (</w:t>
      </w:r>
      <w:r w:rsidRPr="0096736F">
        <w:rPr>
          <w:rFonts w:hint="cs"/>
          <w:rtl/>
        </w:rPr>
        <w:t>להלן - המדריך לגופים ציבוריים)</w:t>
      </w:r>
      <w:r>
        <w:rPr>
          <w:rFonts w:hint="cs"/>
          <w:rtl/>
        </w:rPr>
        <w:t xml:space="preserve">. </w:t>
      </w:r>
    </w:p>
  </w:footnote>
  <w:footnote w:id="4">
    <w:p w:rsidR="00725ABE" w:rsidP="00B54F36" w14:paraId="27C77AAC" w14:textId="69A7D542">
      <w:pPr>
        <w:pStyle w:val="FootnoteText"/>
        <w:spacing w:line="269" w:lineRule="auto"/>
        <w:ind w:left="720" w:hanging="720"/>
        <w:rPr>
          <w:rtl/>
        </w:rPr>
      </w:pPr>
      <w:r>
        <w:rPr>
          <w:rStyle w:val="FootnoteReference1"/>
        </w:rPr>
        <w:footnoteRef/>
      </w:r>
      <w:r>
        <w:rPr>
          <w:rtl/>
        </w:rPr>
        <w:t xml:space="preserve"> </w:t>
      </w:r>
      <w:r>
        <w:rPr>
          <w:rtl/>
        </w:rPr>
        <w:tab/>
      </w:r>
      <w:r>
        <w:rPr>
          <w:rFonts w:hint="cs"/>
          <w:rtl/>
        </w:rPr>
        <w:t xml:space="preserve">ארגון הבריאות העולמי, </w:t>
      </w:r>
      <w:r>
        <w:t xml:space="preserve">"Pandemic fatigue - reinvigorating the public to prevent </w:t>
      </w:r>
      <w:r w:rsidRPr="000456A3">
        <w:rPr>
          <w:sz w:val="18"/>
          <w:szCs w:val="18"/>
        </w:rPr>
        <w:t>COVID</w:t>
      </w:r>
      <w:r>
        <w:t>-19"</w:t>
      </w:r>
      <w:r>
        <w:rPr>
          <w:rFonts w:hint="cs"/>
          <w:rtl/>
        </w:rPr>
        <w:t xml:space="preserve">, (אוקטובר 2020), עמ' 7, 19 - 20. </w:t>
      </w:r>
    </w:p>
  </w:footnote>
  <w:footnote w:id="5">
    <w:p w:rsidR="00725ABE" w:rsidP="00B54F36" w14:paraId="2AB9DD0C" w14:textId="77777777">
      <w:pPr>
        <w:pStyle w:val="FootnoteText"/>
        <w:spacing w:line="269" w:lineRule="auto"/>
        <w:ind w:left="720" w:hanging="720"/>
      </w:pPr>
      <w:r>
        <w:rPr>
          <w:rStyle w:val="FootnoteReference1"/>
        </w:rPr>
        <w:footnoteRef/>
      </w:r>
      <w:r>
        <w:rPr>
          <w:rtl/>
        </w:rPr>
        <w:t xml:space="preserve"> </w:t>
      </w:r>
      <w:r>
        <w:rPr>
          <w:rtl/>
        </w:rPr>
        <w:tab/>
      </w:r>
      <w:r>
        <w:rPr>
          <w:rFonts w:hint="cs"/>
          <w:rtl/>
        </w:rPr>
        <w:t>הלשכה המרכזית לסטטיסטיקה (</w:t>
      </w:r>
      <w:r w:rsidRPr="0096736F">
        <w:rPr>
          <w:rFonts w:hint="cs"/>
          <w:rtl/>
        </w:rPr>
        <w:t>להלן - למ"ס</w:t>
      </w:r>
      <w:r>
        <w:rPr>
          <w:rFonts w:hint="cs"/>
          <w:rtl/>
        </w:rPr>
        <w:t>), פרסומים שונים. הנתונים אינם כוללים אזרחים ישראלים דוברי שפות זרות נוספות.</w:t>
      </w:r>
    </w:p>
  </w:footnote>
  <w:footnote w:id="6">
    <w:p w:rsidR="00725ABE" w:rsidRPr="00A66E79" w:rsidP="00B54F36" w14:paraId="3761D08E" w14:textId="23EAA67A">
      <w:pPr>
        <w:pStyle w:val="FootnoteText"/>
        <w:spacing w:line="269" w:lineRule="auto"/>
        <w:ind w:left="720" w:right="0" w:hanging="720"/>
      </w:pPr>
      <w:r w:rsidRPr="00A66E79">
        <w:rPr>
          <w:rStyle w:val="FootnoteReference1"/>
        </w:rPr>
        <w:footnoteRef/>
      </w:r>
      <w:r w:rsidRPr="00A66E79">
        <w:rPr>
          <w:rtl/>
        </w:rPr>
        <w:t xml:space="preserve"> </w:t>
      </w:r>
      <w:r w:rsidRPr="00A66E79">
        <w:rPr>
          <w:rtl/>
        </w:rPr>
        <w:tab/>
      </w:r>
      <w:r w:rsidRPr="00A66E79">
        <w:rPr>
          <w:rFonts w:hint="cs"/>
          <w:rtl/>
        </w:rPr>
        <w:t>דוח זה עוסק בהסברה ברמה הלאומית. לפעולות ההסברה של הרשויות המקומיות, ראו מבקר המדינה</w:t>
      </w:r>
      <w:r>
        <w:rPr>
          <w:rFonts w:hint="cs"/>
          <w:rtl/>
        </w:rPr>
        <w:t>,</w:t>
      </w:r>
      <w:r w:rsidRPr="0077785E">
        <w:rPr>
          <w:rFonts w:hint="cs"/>
          <w:rtl/>
        </w:rPr>
        <w:t xml:space="preserve"> </w:t>
      </w:r>
      <w:r w:rsidRPr="00E67DBE">
        <w:rPr>
          <w:rFonts w:hint="cs"/>
          <w:b/>
          <w:bCs/>
          <w:rtl/>
        </w:rPr>
        <w:t>דוחות על הביקורת בשלטון המקומי לשנת 2021</w:t>
      </w:r>
      <w:r>
        <w:rPr>
          <w:rFonts w:hint="cs"/>
          <w:rtl/>
        </w:rPr>
        <w:t>,</w:t>
      </w:r>
      <w:r w:rsidRPr="00A66E79">
        <w:rPr>
          <w:rFonts w:hint="cs"/>
          <w:rtl/>
        </w:rPr>
        <w:t>"התנהלות הרשויות המקומיות בעת משבר הקורונה", עמ' 21.</w:t>
      </w:r>
    </w:p>
  </w:footnote>
  <w:footnote w:id="7">
    <w:p w:rsidR="00725ABE" w:rsidP="00B54F36" w14:paraId="3E8A9E18" w14:textId="77777777">
      <w:pPr>
        <w:pStyle w:val="FootnoteText"/>
        <w:spacing w:line="269" w:lineRule="auto"/>
        <w:ind w:left="720" w:hanging="720"/>
      </w:pPr>
      <w:r w:rsidRPr="00A66E79">
        <w:rPr>
          <w:rStyle w:val="FootnoteReference1"/>
        </w:rPr>
        <w:footnoteRef/>
      </w:r>
      <w:r w:rsidRPr="00A66E79">
        <w:rPr>
          <w:rtl/>
        </w:rPr>
        <w:t xml:space="preserve"> </w:t>
      </w:r>
      <w:r w:rsidRPr="00A66E79">
        <w:rPr>
          <w:rtl/>
        </w:rPr>
        <w:tab/>
      </w:r>
      <w:r w:rsidRPr="00A66E79">
        <w:rPr>
          <w:rFonts w:hint="cs"/>
          <w:rtl/>
        </w:rPr>
        <w:t>החלטת הממשלה 1936 (8.7.07), סעיפים 1(ה), 4.</w:t>
      </w:r>
    </w:p>
  </w:footnote>
  <w:footnote w:id="8">
    <w:p w:rsidR="00725ABE" w:rsidP="00B54F36" w14:paraId="66DFD5A2" w14:textId="77777777">
      <w:pPr>
        <w:pStyle w:val="FootnoteText"/>
        <w:spacing w:line="269" w:lineRule="auto"/>
        <w:rPr>
          <w:rtl/>
        </w:rPr>
      </w:pPr>
      <w:r>
        <w:rPr>
          <w:rStyle w:val="FootnoteReference1"/>
        </w:rPr>
        <w:footnoteRef/>
      </w:r>
      <w:r>
        <w:rPr>
          <w:rtl/>
        </w:rPr>
        <w:t xml:space="preserve"> </w:t>
      </w:r>
      <w:r>
        <w:rPr>
          <w:rtl/>
        </w:rPr>
        <w:tab/>
      </w:r>
      <w:r>
        <w:rPr>
          <w:rFonts w:hint="cs"/>
          <w:rtl/>
        </w:rPr>
        <w:t xml:space="preserve">הסכום אינו כולל תקציבי הסברה של גופים נוספים, כגון הרשויות המקומיות. </w:t>
      </w:r>
    </w:p>
  </w:footnote>
  <w:footnote w:id="9">
    <w:p w:rsidR="00725ABE" w:rsidP="00B54F36" w14:paraId="34139CAA" w14:textId="77777777">
      <w:pPr>
        <w:pStyle w:val="FootnoteText"/>
        <w:spacing w:line="269" w:lineRule="auto"/>
        <w:ind w:left="720" w:right="0" w:hanging="720"/>
        <w:contextualSpacing/>
        <w:rPr>
          <w:rtl/>
        </w:rPr>
      </w:pPr>
      <w:r>
        <w:rPr>
          <w:rStyle w:val="FootnoteReference1"/>
        </w:rPr>
        <w:footnoteRef/>
      </w:r>
      <w:r>
        <w:rPr>
          <w:rtl/>
        </w:rPr>
        <w:t xml:space="preserve"> </w:t>
      </w:r>
      <w:r>
        <w:rPr>
          <w:rtl/>
        </w:rPr>
        <w:tab/>
      </w:r>
      <w:r w:rsidRPr="009D351F">
        <w:rPr>
          <w:rtl/>
        </w:rPr>
        <w:t xml:space="preserve">יצוין כי נתוני ההוצאה של פקע"ר על ההסברה הם חלקיים בלבד ואינם כוללים את </w:t>
      </w:r>
      <w:r>
        <w:rPr>
          <w:rFonts w:hint="cs"/>
          <w:rtl/>
        </w:rPr>
        <w:t>ה</w:t>
      </w:r>
      <w:r w:rsidRPr="009D351F">
        <w:rPr>
          <w:rtl/>
        </w:rPr>
        <w:t>הוצאות על כוח האדם</w:t>
      </w:r>
      <w:r>
        <w:rPr>
          <w:rFonts w:hint="cs"/>
          <w:rtl/>
        </w:rPr>
        <w:t xml:space="preserve"> </w:t>
      </w:r>
      <w:r w:rsidRPr="00A66E79">
        <w:rPr>
          <w:rFonts w:hint="cs"/>
          <w:rtl/>
        </w:rPr>
        <w:t>(חובה, קבע ומילואים)</w:t>
      </w:r>
      <w:r w:rsidRPr="00A66E79">
        <w:rPr>
          <w:rtl/>
        </w:rPr>
        <w:t>, ו</w:t>
      </w:r>
      <w:r w:rsidRPr="00A66E79">
        <w:rPr>
          <w:rFonts w:hint="eastAsia"/>
          <w:rtl/>
        </w:rPr>
        <w:t>ל</w:t>
      </w:r>
      <w:r w:rsidRPr="00A66E79">
        <w:rPr>
          <w:rtl/>
        </w:rPr>
        <w:t>כן סכום ההוצאה הכולל של גופי ההסברה המוצג הוא חלקי.</w:t>
      </w:r>
      <w:r w:rsidRPr="00A66E79">
        <w:rPr>
          <w:rFonts w:hint="cs"/>
          <w:rtl/>
        </w:rPr>
        <w:t xml:space="preserve"> במשרד הבריאות</w:t>
      </w:r>
      <w:r>
        <w:rPr>
          <w:rFonts w:hint="cs"/>
          <w:rtl/>
        </w:rPr>
        <w:t xml:space="preserve"> תגבור כוח האדם לצורך ביצוע ההסברה במשבר הקורונה בוצע באמצעות רכש שירותים, ולכן נכלל בנתוני ההוצאה על ההסברה שהועברו למשרד מבקר המדינה. </w:t>
      </w:r>
    </w:p>
  </w:footnote>
  <w:footnote w:id="10">
    <w:p w:rsidR="00725ABE" w:rsidRPr="00704A95" w:rsidP="00B54F36" w14:paraId="6F6E066A" w14:textId="77777777">
      <w:pPr>
        <w:pStyle w:val="FootnoteText"/>
        <w:spacing w:line="269" w:lineRule="auto"/>
        <w:ind w:left="707" w:right="0" w:hanging="707"/>
        <w:contextualSpacing/>
        <w:rPr>
          <w:rtl/>
        </w:rPr>
      </w:pPr>
      <w:r>
        <w:rPr>
          <w:rStyle w:val="FootnoteReference1"/>
        </w:rPr>
        <w:footnoteRef/>
      </w:r>
      <w:r>
        <w:rPr>
          <w:rtl/>
        </w:rPr>
        <w:t xml:space="preserve"> </w:t>
      </w:r>
      <w:r>
        <w:rPr>
          <w:rtl/>
        </w:rPr>
        <w:tab/>
      </w:r>
      <w:r w:rsidRPr="00B26646">
        <w:rPr>
          <w:rFonts w:hint="cs"/>
          <w:rtl/>
        </w:rPr>
        <w:t>מבקר המדינה</w:t>
      </w:r>
      <w:r>
        <w:rPr>
          <w:rFonts w:hint="cs"/>
          <w:rtl/>
        </w:rPr>
        <w:t xml:space="preserve">, </w:t>
      </w:r>
      <w:r w:rsidRPr="00F04CE3">
        <w:rPr>
          <w:rFonts w:hint="cs"/>
          <w:b/>
          <w:bCs/>
          <w:rtl/>
        </w:rPr>
        <w:t>דוח שנתי 53א</w:t>
      </w:r>
      <w:r w:rsidRPr="00B26646">
        <w:rPr>
          <w:rFonts w:hint="cs"/>
          <w:rtl/>
        </w:rPr>
        <w:t xml:space="preserve"> (2002)</w:t>
      </w:r>
      <w:r>
        <w:rPr>
          <w:rFonts w:hint="cs"/>
          <w:rtl/>
        </w:rPr>
        <w:t>,</w:t>
      </w:r>
      <w:r w:rsidRPr="00B26646">
        <w:rPr>
          <w:rFonts w:hint="cs"/>
          <w:rtl/>
        </w:rPr>
        <w:t xml:space="preserve"> "היבטים בהיערכות גורמי ההסברה בנושאי חוץ וביטחון"; </w:t>
      </w:r>
      <w:r w:rsidRPr="00F04CE3">
        <w:rPr>
          <w:rFonts w:hint="cs"/>
          <w:b/>
          <w:bCs/>
          <w:rtl/>
        </w:rPr>
        <w:t>דוח שנתי 58א</w:t>
      </w:r>
      <w:r w:rsidRPr="00B26646">
        <w:rPr>
          <w:rFonts w:hint="cs"/>
          <w:rtl/>
        </w:rPr>
        <w:t xml:space="preserve"> (2007)</w:t>
      </w:r>
      <w:r>
        <w:rPr>
          <w:rFonts w:hint="cs"/>
          <w:rtl/>
        </w:rPr>
        <w:t>,</w:t>
      </w:r>
      <w:r w:rsidRPr="00B26646">
        <w:rPr>
          <w:rFonts w:hint="cs"/>
          <w:rtl/>
        </w:rPr>
        <w:t xml:space="preserve"> "היבטים בהיערכות גורמי ההסברה ובתפקודם במלחמת לבנון השנייה" (ביקורת מעקב)</w:t>
      </w:r>
      <w:r>
        <w:rPr>
          <w:rFonts w:hint="cs"/>
          <w:rtl/>
        </w:rPr>
        <w:t xml:space="preserve">; </w:t>
      </w:r>
      <w:r w:rsidRPr="00F04CE3">
        <w:rPr>
          <w:rFonts w:hint="cs"/>
          <w:b/>
          <w:bCs/>
          <w:rtl/>
        </w:rPr>
        <w:t>דוח מיוחד</w:t>
      </w:r>
      <w:r>
        <w:rPr>
          <w:rFonts w:hint="cs"/>
          <w:b/>
          <w:bCs/>
          <w:rtl/>
        </w:rPr>
        <w:t xml:space="preserve"> </w:t>
      </w:r>
      <w:r w:rsidRPr="00C3459F">
        <w:rPr>
          <w:rtl/>
        </w:rPr>
        <w:t>(</w:t>
      </w:r>
      <w:r w:rsidRPr="00F04CE3">
        <w:rPr>
          <w:rFonts w:hint="cs"/>
          <w:rtl/>
        </w:rPr>
        <w:t>2012</w:t>
      </w:r>
      <w:r>
        <w:rPr>
          <w:rFonts w:hint="cs"/>
          <w:rtl/>
        </w:rPr>
        <w:t>), "יישום חוק המל"ל והתמודדות עם המשט הטורקי".</w:t>
      </w:r>
    </w:p>
  </w:footnote>
  <w:footnote w:id="11">
    <w:p w:rsidR="00725ABE" w:rsidRPr="00A66E79" w:rsidP="00B54F36" w14:paraId="6AF8F67C" w14:textId="77777777">
      <w:pPr>
        <w:pStyle w:val="FootnoteText"/>
        <w:spacing w:line="269" w:lineRule="auto"/>
        <w:ind w:left="720" w:right="0" w:hanging="720"/>
      </w:pPr>
      <w:r w:rsidRPr="00A66E79">
        <w:rPr>
          <w:rStyle w:val="FootnoteReference1"/>
        </w:rPr>
        <w:footnoteRef/>
      </w:r>
      <w:r w:rsidRPr="00A66E79">
        <w:rPr>
          <w:rtl/>
        </w:rPr>
        <w:t xml:space="preserve"> </w:t>
      </w:r>
      <w:r w:rsidRPr="00A66E79">
        <w:rPr>
          <w:rtl/>
        </w:rPr>
        <w:tab/>
        <w:t>יובהר כי דוח זה עוסק בהסברה ברמה הלאומית</w:t>
      </w:r>
      <w:r w:rsidRPr="00A66E79">
        <w:rPr>
          <w:rFonts w:hint="cs"/>
          <w:rtl/>
        </w:rPr>
        <w:t>,</w:t>
      </w:r>
      <w:r w:rsidRPr="00A66E79">
        <w:rPr>
          <w:rtl/>
        </w:rPr>
        <w:t xml:space="preserve"> ואינו כולל </w:t>
      </w:r>
      <w:r w:rsidRPr="00A66E79">
        <w:rPr>
          <w:rFonts w:hint="cs"/>
          <w:rtl/>
        </w:rPr>
        <w:t>ביקורת על</w:t>
      </w:r>
      <w:r w:rsidRPr="00A66E79">
        <w:rPr>
          <w:rtl/>
        </w:rPr>
        <w:t xml:space="preserve"> פעולות ה</w:t>
      </w:r>
      <w:r w:rsidRPr="00A66E79">
        <w:rPr>
          <w:rFonts w:hint="cs"/>
          <w:rtl/>
        </w:rPr>
        <w:t>ה</w:t>
      </w:r>
      <w:r w:rsidRPr="00A66E79">
        <w:rPr>
          <w:rtl/>
        </w:rPr>
        <w:t xml:space="preserve">סברה </w:t>
      </w:r>
      <w:r w:rsidRPr="00A66E79">
        <w:rPr>
          <w:rFonts w:hint="cs"/>
          <w:rtl/>
        </w:rPr>
        <w:t>שבוצעו ב</w:t>
      </w:r>
      <w:r w:rsidRPr="00A66E79">
        <w:rPr>
          <w:rtl/>
        </w:rPr>
        <w:t>רשויות המקומיות.</w:t>
      </w:r>
    </w:p>
  </w:footnote>
  <w:footnote w:id="12">
    <w:p w:rsidR="00725ABE" w:rsidP="00B54F36" w14:paraId="6C14D520" w14:textId="77777777">
      <w:pPr>
        <w:pStyle w:val="FootnoteText"/>
        <w:spacing w:line="269" w:lineRule="auto"/>
        <w:ind w:left="720" w:right="0" w:hanging="720"/>
        <w:rPr>
          <w:rtl/>
        </w:rPr>
      </w:pPr>
      <w:r w:rsidRPr="00A66E79">
        <w:rPr>
          <w:rStyle w:val="FootnoteReference1"/>
        </w:rPr>
        <w:footnoteRef/>
      </w:r>
      <w:r w:rsidRPr="00A66E79">
        <w:rPr>
          <w:rtl/>
        </w:rPr>
        <w:t xml:space="preserve"> </w:t>
      </w:r>
      <w:r w:rsidRPr="00A66E79">
        <w:rPr>
          <w:rtl/>
        </w:rPr>
        <w:tab/>
      </w:r>
      <w:r w:rsidRPr="00A66E79">
        <w:rPr>
          <w:rFonts w:hint="cs"/>
          <w:rtl/>
        </w:rPr>
        <w:t>המדגם בוצע בחלוקה לקבוצות אוכלוסייה: 528 מרואיינים המשתייכים לחברה היהודית הכללית; 518</w:t>
      </w:r>
      <w:r>
        <w:rPr>
          <w:rFonts w:hint="cs"/>
          <w:rtl/>
        </w:rPr>
        <w:t xml:space="preserve"> המשתייכים לחברה החרדית; ו-520 המשתייכים לחברה הערבית. </w:t>
      </w:r>
    </w:p>
  </w:footnote>
  <w:footnote w:id="13">
    <w:p w:rsidR="00725ABE" w:rsidP="00B54F36" w14:paraId="764123FC" w14:textId="77777777">
      <w:pPr>
        <w:pStyle w:val="FootnoteText"/>
        <w:spacing w:line="269" w:lineRule="auto"/>
        <w:ind w:left="707" w:right="0" w:hanging="707"/>
        <w:rPr>
          <w:rtl/>
        </w:rPr>
      </w:pPr>
      <w:r>
        <w:rPr>
          <w:rStyle w:val="FootnoteReference1"/>
        </w:rPr>
        <w:footnoteRef/>
      </w:r>
      <w:r>
        <w:rPr>
          <w:rtl/>
        </w:rPr>
        <w:t xml:space="preserve"> </w:t>
      </w:r>
      <w:r>
        <w:rPr>
          <w:rtl/>
        </w:rPr>
        <w:tab/>
      </w:r>
      <w:r>
        <w:rPr>
          <w:rFonts w:hint="cs"/>
          <w:rtl/>
        </w:rPr>
        <w:t>מתוך 60,000 הפוסטים שנוטרו נדגמו כ-3,300 פוסטים ומהם נותחו 1,889 פוסטים שנמצאו רלוונטיים למחקר.</w:t>
      </w:r>
    </w:p>
  </w:footnote>
  <w:footnote w:id="14">
    <w:p w:rsidR="00725ABE" w:rsidP="00B54F36" w14:paraId="27BB2A96" w14:textId="77777777">
      <w:pPr>
        <w:pStyle w:val="FootnoteText"/>
        <w:spacing w:line="269" w:lineRule="auto"/>
        <w:ind w:left="707" w:right="0" w:hanging="707"/>
        <w:rPr>
          <w:rtl/>
        </w:rPr>
      </w:pPr>
      <w:r>
        <w:rPr>
          <w:rStyle w:val="FootnoteReference1"/>
        </w:rPr>
        <w:footnoteRef/>
      </w:r>
      <w:r>
        <w:rPr>
          <w:rtl/>
        </w:rPr>
        <w:t xml:space="preserve"> </w:t>
      </w:r>
      <w:r>
        <w:rPr>
          <w:rtl/>
        </w:rPr>
        <w:tab/>
      </w:r>
      <w:r w:rsidRPr="00DB5B17">
        <w:rPr>
          <w:rtl/>
        </w:rPr>
        <w:t>בנוגע ל</w:t>
      </w:r>
      <w:r>
        <w:rPr>
          <w:rFonts w:hint="cs"/>
          <w:rtl/>
        </w:rPr>
        <w:t xml:space="preserve">התמודדות עם </w:t>
      </w:r>
      <w:r w:rsidRPr="00DB5B17">
        <w:rPr>
          <w:rtl/>
        </w:rPr>
        <w:t>מידע כוזב על משבר הקורונה - ראו להלן בפרק "הפרכת מידע כוזב והתמודדות עם עמדות הסותרות את המדיניות הממשלתית"</w:t>
      </w:r>
      <w:r>
        <w:rPr>
          <w:rFonts w:hint="cs"/>
          <w:rtl/>
        </w:rPr>
        <w:t>.</w:t>
      </w:r>
    </w:p>
  </w:footnote>
  <w:footnote w:id="15">
    <w:p w:rsidR="00725ABE" w:rsidP="00B54F36" w14:paraId="525D7690" w14:textId="6C15C311">
      <w:pPr>
        <w:pStyle w:val="FootnoteText"/>
        <w:spacing w:line="269" w:lineRule="auto"/>
        <w:ind w:left="707" w:right="0" w:hanging="696"/>
      </w:pPr>
      <w:r>
        <w:rPr>
          <w:rStyle w:val="FootnoteReference1"/>
        </w:rPr>
        <w:footnoteRef/>
      </w:r>
      <w:r>
        <w:rPr>
          <w:rtl/>
        </w:rPr>
        <w:t xml:space="preserve"> </w:t>
      </w:r>
      <w:r>
        <w:rPr>
          <w:rtl/>
        </w:rPr>
        <w:tab/>
      </w:r>
      <w:r>
        <w:rPr>
          <w:rFonts w:hint="cs"/>
          <w:rtl/>
        </w:rPr>
        <w:t>23% מאלו שנפגעו כלכלית מסכימים ש</w:t>
      </w:r>
      <w:r w:rsidRPr="00455F18">
        <w:rPr>
          <w:rtl/>
        </w:rPr>
        <w:t>ההגבלות הוסברו היטב</w:t>
      </w:r>
      <w:r w:rsidRPr="00455F18">
        <w:rPr>
          <w:rFonts w:hint="cs"/>
          <w:rtl/>
        </w:rPr>
        <w:t xml:space="preserve"> </w:t>
      </w:r>
      <w:r>
        <w:rPr>
          <w:rFonts w:hint="cs"/>
          <w:rtl/>
        </w:rPr>
        <w:t>לעומת 30% מאלו שלא נפגעו כלכלית. 28</w:t>
      </w:r>
      <w:r w:rsidRPr="00FB7FDD">
        <w:rPr>
          <w:rtl/>
        </w:rPr>
        <w:t>% מאלו שנפגעו כלכלית מסכימים</w:t>
      </w:r>
      <w:r>
        <w:rPr>
          <w:rFonts w:hint="cs"/>
          <w:rtl/>
        </w:rPr>
        <w:t xml:space="preserve"> עם </w:t>
      </w:r>
      <w:r w:rsidRPr="00FB7FDD">
        <w:rPr>
          <w:rtl/>
        </w:rPr>
        <w:t xml:space="preserve">ההיגיון </w:t>
      </w:r>
      <w:r>
        <w:rPr>
          <w:rFonts w:hint="cs"/>
          <w:rtl/>
        </w:rPr>
        <w:t>שבמגבלות, בהשוואה ל-</w:t>
      </w:r>
      <w:r w:rsidRPr="00FB7FDD">
        <w:rPr>
          <w:rtl/>
        </w:rPr>
        <w:t xml:space="preserve"> </w:t>
      </w:r>
      <w:r>
        <w:rPr>
          <w:rFonts w:hint="cs"/>
          <w:rtl/>
        </w:rPr>
        <w:t>41</w:t>
      </w:r>
      <w:r w:rsidRPr="00FB7FDD">
        <w:rPr>
          <w:rtl/>
        </w:rPr>
        <w:t>% מאלו שלא נפגעו כלכלית</w:t>
      </w:r>
      <w:r>
        <w:rPr>
          <w:rFonts w:hint="cs"/>
          <w:rtl/>
        </w:rPr>
        <w:t xml:space="preserve">. </w:t>
      </w:r>
    </w:p>
  </w:footnote>
  <w:footnote w:id="16">
    <w:p w:rsidR="00725ABE" w:rsidP="00B54F36" w14:paraId="669A4362" w14:textId="1BFC98A9">
      <w:pPr>
        <w:pStyle w:val="FootnoteText"/>
        <w:spacing w:line="269" w:lineRule="auto"/>
        <w:ind w:left="707" w:right="0" w:hanging="707"/>
      </w:pPr>
      <w:r>
        <w:rPr>
          <w:rStyle w:val="FootnoteReference1"/>
        </w:rPr>
        <w:footnoteRef/>
      </w:r>
      <w:r>
        <w:rPr>
          <w:rtl/>
        </w:rPr>
        <w:t xml:space="preserve"> </w:t>
      </w:r>
      <w:r>
        <w:rPr>
          <w:rtl/>
        </w:rPr>
        <w:tab/>
      </w:r>
      <w:r w:rsidRPr="00455F18">
        <w:rPr>
          <w:rtl/>
        </w:rPr>
        <w:t>41% מ</w:t>
      </w:r>
      <w:r>
        <w:rPr>
          <w:rFonts w:hint="cs"/>
          <w:rtl/>
        </w:rPr>
        <w:t>אלו</w:t>
      </w:r>
      <w:r w:rsidRPr="00455F18">
        <w:rPr>
          <w:rtl/>
        </w:rPr>
        <w:t xml:space="preserve"> שנדבקו בקורונה הביעו הסכמה גבוהה עם ההיגיון שבמגבלות</w:t>
      </w:r>
      <w:r>
        <w:rPr>
          <w:rFonts w:hint="cs"/>
          <w:rtl/>
        </w:rPr>
        <w:t xml:space="preserve"> בהשוואה ל-30% מאלו שלא נדבקו בקורונה. </w:t>
      </w:r>
    </w:p>
  </w:footnote>
  <w:footnote w:id="17">
    <w:p w:rsidR="00725ABE" w:rsidP="00B54F36" w14:paraId="4717F4F9" w14:textId="77777777">
      <w:pPr>
        <w:pStyle w:val="FootnoteText"/>
        <w:spacing w:line="269" w:lineRule="auto"/>
        <w:ind w:left="707" w:right="0" w:hanging="707"/>
      </w:pPr>
      <w:r>
        <w:rPr>
          <w:rStyle w:val="FootnoteReference1"/>
        </w:rPr>
        <w:footnoteRef/>
      </w:r>
      <w:r>
        <w:rPr>
          <w:rtl/>
        </w:rPr>
        <w:t xml:space="preserve"> </w:t>
      </w:r>
      <w:r>
        <w:rPr>
          <w:rtl/>
        </w:rPr>
        <w:tab/>
      </w:r>
      <w:r>
        <w:rPr>
          <w:rFonts w:hint="cs"/>
          <w:rtl/>
        </w:rPr>
        <w:t>50% מ</w:t>
      </w:r>
      <w:r w:rsidRPr="001810CE">
        <w:rPr>
          <w:rtl/>
        </w:rPr>
        <w:t>ציבור בני הנוער בגילי 1</w:t>
      </w:r>
      <w:r>
        <w:rPr>
          <w:rFonts w:hint="cs"/>
          <w:rtl/>
        </w:rPr>
        <w:t xml:space="preserve">5 </w:t>
      </w:r>
      <w:r w:rsidRPr="001810CE">
        <w:rPr>
          <w:rtl/>
        </w:rPr>
        <w:t>-</w:t>
      </w:r>
      <w:r>
        <w:rPr>
          <w:rFonts w:hint="cs"/>
          <w:rtl/>
        </w:rPr>
        <w:t xml:space="preserve"> </w:t>
      </w:r>
      <w:r w:rsidRPr="001810CE">
        <w:rPr>
          <w:rtl/>
        </w:rPr>
        <w:t>1</w:t>
      </w:r>
      <w:r>
        <w:rPr>
          <w:rFonts w:hint="cs"/>
          <w:rtl/>
        </w:rPr>
        <w:t>7</w:t>
      </w:r>
      <w:r w:rsidRPr="001810CE">
        <w:rPr>
          <w:rtl/>
        </w:rPr>
        <w:t xml:space="preserve"> הסכימו </w:t>
      </w:r>
      <w:r>
        <w:rPr>
          <w:rFonts w:hint="cs"/>
          <w:rtl/>
        </w:rPr>
        <w:t>ש</w:t>
      </w:r>
      <w:r w:rsidRPr="00455F18">
        <w:rPr>
          <w:rtl/>
        </w:rPr>
        <w:t xml:space="preserve">ההגבלות הוסברו היטב וההיגיון בבסיסן היה מובן </w:t>
      </w:r>
      <w:r w:rsidRPr="001810CE">
        <w:rPr>
          <w:rtl/>
        </w:rPr>
        <w:t xml:space="preserve">יותר </w:t>
      </w:r>
      <w:r>
        <w:rPr>
          <w:rFonts w:hint="cs"/>
          <w:rtl/>
        </w:rPr>
        <w:t xml:space="preserve">בהשוואה ל-24% מבני ה-+50. </w:t>
      </w:r>
    </w:p>
  </w:footnote>
  <w:footnote w:id="18">
    <w:p w:rsidR="00725ABE" w:rsidP="00B54F36" w14:paraId="78F388A3" w14:textId="77777777">
      <w:pPr>
        <w:pStyle w:val="FootnoteText"/>
        <w:spacing w:line="269" w:lineRule="auto"/>
        <w:ind w:left="707" w:right="0" w:hanging="707"/>
      </w:pPr>
      <w:r>
        <w:rPr>
          <w:rStyle w:val="FootnoteReference1"/>
        </w:rPr>
        <w:footnoteRef/>
      </w:r>
      <w:r>
        <w:rPr>
          <w:rtl/>
        </w:rPr>
        <w:t xml:space="preserve"> </w:t>
      </w:r>
      <w:r>
        <w:rPr>
          <w:rtl/>
        </w:rPr>
        <w:tab/>
      </w:r>
      <w:r>
        <w:rPr>
          <w:rFonts w:hint="cs"/>
          <w:rtl/>
        </w:rPr>
        <w:t xml:space="preserve">כ-50% מבני 45 ומעלה </w:t>
      </w:r>
      <w:r w:rsidRPr="002C5F4F">
        <w:rPr>
          <w:rtl/>
        </w:rPr>
        <w:t>מקרב החברה החרדית דיווחו שההגבלות הוסברו היטב וההיגיון שבהן היה מובן, בהשוואה ל</w:t>
      </w:r>
      <w:r>
        <w:rPr>
          <w:rFonts w:hint="cs"/>
          <w:rtl/>
        </w:rPr>
        <w:t>-37% מה</w:t>
      </w:r>
      <w:r w:rsidRPr="002C5F4F">
        <w:rPr>
          <w:rtl/>
        </w:rPr>
        <w:t>צעירים יותר</w:t>
      </w:r>
      <w:r>
        <w:rPr>
          <w:rFonts w:hint="cs"/>
          <w:rtl/>
        </w:rPr>
        <w:t>.</w:t>
      </w:r>
    </w:p>
  </w:footnote>
  <w:footnote w:id="19">
    <w:p w:rsidR="00725ABE" w:rsidP="00B54F36" w14:paraId="31CDBD71" w14:textId="77777777">
      <w:pPr>
        <w:pStyle w:val="FootnoteText"/>
        <w:spacing w:line="269" w:lineRule="auto"/>
        <w:ind w:left="707" w:right="0" w:hanging="707"/>
        <w:rPr>
          <w:rtl/>
        </w:rPr>
      </w:pPr>
      <w:r>
        <w:rPr>
          <w:rStyle w:val="FootnoteReference1"/>
        </w:rPr>
        <w:footnoteRef/>
      </w:r>
      <w:r>
        <w:rPr>
          <w:rtl/>
        </w:rPr>
        <w:t xml:space="preserve"> </w:t>
      </w:r>
      <w:r>
        <w:rPr>
          <w:rtl/>
        </w:rPr>
        <w:tab/>
      </w:r>
      <w:r>
        <w:rPr>
          <w:rFonts w:hint="cs"/>
          <w:rtl/>
        </w:rPr>
        <w:t>66% מקרב בני ה-15 - 24</w:t>
      </w:r>
      <w:r w:rsidRPr="002C5F4F">
        <w:rPr>
          <w:rtl/>
        </w:rPr>
        <w:t xml:space="preserve"> </w:t>
      </w:r>
      <w:r>
        <w:rPr>
          <w:rFonts w:hint="cs"/>
          <w:rtl/>
        </w:rPr>
        <w:t>ב</w:t>
      </w:r>
      <w:r w:rsidRPr="002C5F4F">
        <w:rPr>
          <w:rtl/>
        </w:rPr>
        <w:t>חברה ה</w:t>
      </w:r>
      <w:r>
        <w:rPr>
          <w:rFonts w:hint="cs"/>
          <w:rtl/>
        </w:rPr>
        <w:t>ערבית</w:t>
      </w:r>
      <w:r w:rsidRPr="002C5F4F">
        <w:rPr>
          <w:rtl/>
        </w:rPr>
        <w:t xml:space="preserve"> דיווחו שההגבלות הוסברו היטב</w:t>
      </w:r>
      <w:r>
        <w:rPr>
          <w:rFonts w:hint="cs"/>
          <w:rtl/>
        </w:rPr>
        <w:t>,</w:t>
      </w:r>
      <w:r w:rsidRPr="002C5F4F">
        <w:rPr>
          <w:rtl/>
        </w:rPr>
        <w:t xml:space="preserve"> ו</w:t>
      </w:r>
      <w:r>
        <w:rPr>
          <w:rFonts w:hint="cs"/>
          <w:rtl/>
        </w:rPr>
        <w:t>-56% דיווחו ש</w:t>
      </w:r>
      <w:r w:rsidRPr="002C5F4F">
        <w:rPr>
          <w:rtl/>
        </w:rPr>
        <w:t xml:space="preserve">ההיגיון שבהן היה מובן, בהשוואה </w:t>
      </w:r>
      <w:r>
        <w:rPr>
          <w:rFonts w:hint="cs"/>
          <w:rtl/>
        </w:rPr>
        <w:t>ל-57% ו-46% מקרב בני ה-45 ומעלה, בהתאמה.</w:t>
      </w:r>
    </w:p>
  </w:footnote>
  <w:footnote w:id="20">
    <w:p w:rsidR="00725ABE" w:rsidP="00B54F36" w14:paraId="3CE96501" w14:textId="68F5CD8A">
      <w:pPr>
        <w:pStyle w:val="FootnoteText"/>
        <w:spacing w:line="269" w:lineRule="auto"/>
        <w:ind w:left="707" w:right="0" w:hanging="707"/>
      </w:pPr>
      <w:r>
        <w:rPr>
          <w:rStyle w:val="FootnoteReference1"/>
        </w:rPr>
        <w:footnoteRef/>
      </w:r>
      <w:r>
        <w:rPr>
          <w:rtl/>
        </w:rPr>
        <w:t xml:space="preserve"> </w:t>
      </w:r>
      <w:r>
        <w:rPr>
          <w:rtl/>
        </w:rPr>
        <w:tab/>
      </w:r>
      <w:r>
        <w:rPr>
          <w:rFonts w:hint="cs"/>
          <w:rtl/>
        </w:rPr>
        <w:t>31% מהציבור המסורתי הביעו הסכמה שההיגיון בהנחיות מובן, לעומת 21% בציבור החילוני. 44% מהציבור הדתי הביעו הסכמה שההגבלות הוסברו היטב, לעומת 27% בציבור החילוני</w:t>
      </w:r>
    </w:p>
  </w:footnote>
  <w:footnote w:id="21">
    <w:p w:rsidR="00725ABE" w:rsidP="00B54F36" w14:paraId="60D49FBE" w14:textId="79F2283E">
      <w:pPr>
        <w:pStyle w:val="FootnoteText"/>
        <w:spacing w:line="269" w:lineRule="auto"/>
        <w:ind w:left="720" w:hanging="720"/>
      </w:pPr>
      <w:r>
        <w:rPr>
          <w:rStyle w:val="FootnoteReference1"/>
        </w:rPr>
        <w:footnoteRef/>
      </w:r>
      <w:r>
        <w:rPr>
          <w:rtl/>
        </w:rPr>
        <w:t xml:space="preserve"> </w:t>
      </w:r>
      <w:r>
        <w:rPr>
          <w:rtl/>
        </w:rPr>
        <w:tab/>
      </w:r>
      <w:r w:rsidRPr="001E21A8">
        <w:rPr>
          <w:rtl/>
        </w:rPr>
        <w:t>המשיבים דירגו את תשובותיהם בסולם של 1 עד 7: שציון 7 - "סומך במידה רבה מאוד" וציון 1 -</w:t>
      </w:r>
      <w:r>
        <w:rPr>
          <w:rtl/>
        </w:rPr>
        <w:t xml:space="preserve"> </w:t>
      </w:r>
      <w:r w:rsidRPr="001E21A8">
        <w:rPr>
          <w:rtl/>
        </w:rPr>
        <w:t>"בכלל לא סומך".</w:t>
      </w:r>
    </w:p>
  </w:footnote>
  <w:footnote w:id="22">
    <w:p w:rsidR="00725ABE" w:rsidP="00B54F36" w14:paraId="580127B2" w14:textId="77777777">
      <w:pPr>
        <w:pStyle w:val="FootnoteText"/>
        <w:spacing w:line="269" w:lineRule="auto"/>
        <w:ind w:left="565" w:right="142" w:hanging="565"/>
        <w:rPr>
          <w:rtl/>
        </w:rPr>
      </w:pPr>
      <w:r>
        <w:rPr>
          <w:rStyle w:val="FootnoteReference1"/>
        </w:rPr>
        <w:footnoteRef/>
      </w:r>
      <w:r>
        <w:rPr>
          <w:rtl/>
        </w:rPr>
        <w:t xml:space="preserve"> </w:t>
      </w:r>
      <w:r>
        <w:rPr>
          <w:rtl/>
        </w:rPr>
        <w:tab/>
      </w:r>
      <w:r>
        <w:rPr>
          <w:rFonts w:hint="cs"/>
          <w:rtl/>
        </w:rPr>
        <w:t>יש לציין כי אחת ממסקנות הסקר היא שהאמון ברשויות המקומיות גבוה יותר מהאמון בשלטון המרכזי.</w:t>
      </w:r>
    </w:p>
  </w:footnote>
  <w:footnote w:id="23">
    <w:p w:rsidR="00725ABE" w:rsidP="00B54F36" w14:paraId="3F5CB22E" w14:textId="77777777">
      <w:pPr>
        <w:pStyle w:val="FootnoteText"/>
        <w:spacing w:line="269" w:lineRule="auto"/>
        <w:rPr>
          <w:rtl/>
        </w:rPr>
      </w:pPr>
      <w:r>
        <w:rPr>
          <w:rStyle w:val="FootnoteReference1"/>
        </w:rPr>
        <w:footnoteRef/>
      </w:r>
      <w:r>
        <w:rPr>
          <w:rtl/>
        </w:rPr>
        <w:t xml:space="preserve"> </w:t>
      </w:r>
      <w:r>
        <w:rPr>
          <w:rtl/>
        </w:rPr>
        <w:tab/>
      </w:r>
      <w:r>
        <w:rPr>
          <w:rFonts w:hint="cs"/>
          <w:rtl/>
        </w:rPr>
        <w:t>מי שהשיבו 1 - 3 בדירוג של 1 - 7.</w:t>
      </w:r>
    </w:p>
  </w:footnote>
  <w:footnote w:id="24">
    <w:p w:rsidR="00725ABE" w:rsidP="00B54F36" w14:paraId="622C525F" w14:textId="77777777">
      <w:pPr>
        <w:pStyle w:val="FootnoteText"/>
        <w:spacing w:line="269" w:lineRule="auto"/>
        <w:rPr>
          <w:rtl/>
        </w:rPr>
      </w:pPr>
      <w:r>
        <w:rPr>
          <w:rStyle w:val="FootnoteReference1"/>
        </w:rPr>
        <w:footnoteRef/>
      </w:r>
      <w:r>
        <w:rPr>
          <w:rtl/>
        </w:rPr>
        <w:t xml:space="preserve"> </w:t>
      </w:r>
      <w:r>
        <w:rPr>
          <w:rtl/>
        </w:rPr>
        <w:tab/>
      </w:r>
      <w:r>
        <w:rPr>
          <w:rFonts w:hint="cs"/>
          <w:rtl/>
        </w:rPr>
        <w:t>כלל הציבור כולל את החברה היהודית הכללית, החברה החרדית והחברה הערבית, משוקלל.</w:t>
      </w:r>
    </w:p>
  </w:footnote>
  <w:footnote w:id="25">
    <w:p w:rsidR="00725ABE" w:rsidP="00B54F36" w14:paraId="5960E12C" w14:textId="77777777">
      <w:pPr>
        <w:pStyle w:val="FootnoteText"/>
        <w:spacing w:line="269" w:lineRule="auto"/>
        <w:ind w:left="720" w:right="0" w:hanging="720"/>
      </w:pPr>
      <w:r>
        <w:rPr>
          <w:rStyle w:val="FootnoteReference1"/>
        </w:rPr>
        <w:footnoteRef/>
      </w:r>
      <w:r>
        <w:rPr>
          <w:rtl/>
        </w:rPr>
        <w:t xml:space="preserve"> </w:t>
      </w:r>
      <w:r>
        <w:rPr>
          <w:rtl/>
        </w:rPr>
        <w:tab/>
      </w:r>
      <w:r>
        <w:rPr>
          <w:rFonts w:hint="cs"/>
          <w:rtl/>
        </w:rPr>
        <w:t xml:space="preserve">תו סגול </w:t>
      </w:r>
      <w:r w:rsidRPr="0054480B">
        <w:rPr>
          <w:rtl/>
        </w:rPr>
        <w:t xml:space="preserve">הוא תו תקן שקבעה הממשלה </w:t>
      </w:r>
      <w:r>
        <w:rPr>
          <w:rFonts w:hint="cs"/>
          <w:rtl/>
        </w:rPr>
        <w:t>כדי</w:t>
      </w:r>
      <w:r w:rsidRPr="0054480B">
        <w:rPr>
          <w:rtl/>
        </w:rPr>
        <w:t xml:space="preserve"> לאפשר פתיחת בתי עסק העומדים בכמה כללים שיישומם אמור לצמצם את ההידבקות בנגיף בשטחם</w:t>
      </w:r>
      <w:r>
        <w:rPr>
          <w:rFonts w:hint="cs"/>
          <w:rtl/>
        </w:rPr>
        <w:t xml:space="preserve">. </w:t>
      </w:r>
    </w:p>
  </w:footnote>
  <w:footnote w:id="26">
    <w:p w:rsidR="00725ABE" w:rsidRPr="00C42397" w:rsidP="00B54F36" w14:paraId="74AB4CF1" w14:textId="77777777">
      <w:pPr>
        <w:pStyle w:val="FootnoteText"/>
        <w:spacing w:line="269" w:lineRule="auto"/>
        <w:ind w:right="0"/>
      </w:pPr>
      <w:r>
        <w:rPr>
          <w:rStyle w:val="FootnoteReference1"/>
        </w:rPr>
        <w:footnoteRef/>
      </w:r>
      <w:r>
        <w:rPr>
          <w:rtl/>
        </w:rPr>
        <w:t xml:space="preserve"> </w:t>
      </w:r>
      <w:r>
        <w:rPr>
          <w:rtl/>
        </w:rPr>
        <w:tab/>
      </w:r>
      <w:r w:rsidRPr="00C42397">
        <w:rPr>
          <w:rtl/>
        </w:rPr>
        <w:t>86% מכלל השיח על דוגמה אישית התייחסו לחברי כנסת</w:t>
      </w:r>
      <w:r>
        <w:rPr>
          <w:rFonts w:hint="cs"/>
          <w:rtl/>
        </w:rPr>
        <w:t>.</w:t>
      </w:r>
    </w:p>
  </w:footnote>
  <w:footnote w:id="27">
    <w:p w:rsidR="00725ABE" w:rsidP="00B54F36" w14:paraId="6AB3B255" w14:textId="77777777">
      <w:pPr>
        <w:pStyle w:val="FootnoteText"/>
        <w:spacing w:line="269" w:lineRule="auto"/>
        <w:ind w:left="707" w:right="0" w:hanging="707"/>
        <w:rPr>
          <w:rtl/>
        </w:rPr>
      </w:pPr>
      <w:r>
        <w:rPr>
          <w:rStyle w:val="FootnoteReference1"/>
        </w:rPr>
        <w:footnoteRef/>
      </w:r>
      <w:r>
        <w:rPr>
          <w:rtl/>
        </w:rPr>
        <w:t xml:space="preserve"> </w:t>
      </w:r>
      <w:r>
        <w:rPr>
          <w:rtl/>
        </w:rPr>
        <w:tab/>
      </w:r>
      <w:r w:rsidRPr="00E939B6">
        <w:rPr>
          <w:rtl/>
        </w:rPr>
        <w:t>נושא הדוגמ</w:t>
      </w:r>
      <w:r>
        <w:rPr>
          <w:rFonts w:hint="cs"/>
          <w:rtl/>
        </w:rPr>
        <w:t>ה</w:t>
      </w:r>
      <w:r w:rsidRPr="00E939B6">
        <w:rPr>
          <w:rtl/>
        </w:rPr>
        <w:t xml:space="preserve"> האישית מבוסס על 309 פוסטים </w:t>
      </w:r>
      <w:r>
        <w:rPr>
          <w:rFonts w:hint="cs"/>
          <w:rtl/>
        </w:rPr>
        <w:t xml:space="preserve">שעסקו בכך, </w:t>
      </w:r>
      <w:r w:rsidRPr="00E939B6">
        <w:rPr>
          <w:rtl/>
        </w:rPr>
        <w:t xml:space="preserve">ב-256 </w:t>
      </w:r>
      <w:r>
        <w:rPr>
          <w:rFonts w:hint="cs"/>
          <w:rtl/>
        </w:rPr>
        <w:t xml:space="preserve">מהם </w:t>
      </w:r>
      <w:r w:rsidRPr="00E939B6">
        <w:rPr>
          <w:rtl/>
        </w:rPr>
        <w:t xml:space="preserve">סומנה מידת אמון נמוכה. </w:t>
      </w:r>
      <w:r>
        <w:rPr>
          <w:rFonts w:hint="cs"/>
          <w:rtl/>
        </w:rPr>
        <w:t xml:space="preserve">מהבחינה הסטטיסטית ניתן לומר כי היה ממצא תקף ולפיו </w:t>
      </w:r>
      <w:r w:rsidRPr="00E939B6">
        <w:rPr>
          <w:rtl/>
        </w:rPr>
        <w:t>דוגמ</w:t>
      </w:r>
      <w:r>
        <w:rPr>
          <w:rFonts w:hint="cs"/>
          <w:rtl/>
        </w:rPr>
        <w:t xml:space="preserve">ה אישית של אישי ציבור הביאה </w:t>
      </w:r>
      <w:r w:rsidRPr="00E939B6">
        <w:rPr>
          <w:rtl/>
        </w:rPr>
        <w:t>לירידה באמון הציבור.</w:t>
      </w:r>
    </w:p>
  </w:footnote>
  <w:footnote w:id="28">
    <w:p w:rsidR="00725ABE" w:rsidP="00B54F36" w14:paraId="0A42F9DA" w14:textId="77777777">
      <w:pPr>
        <w:pStyle w:val="FootnoteText"/>
        <w:tabs>
          <w:tab w:val="left" w:pos="8220"/>
        </w:tabs>
        <w:spacing w:line="269" w:lineRule="auto"/>
        <w:ind w:left="707" w:right="0" w:hanging="707"/>
        <w:contextualSpacing/>
        <w:rPr>
          <w:rtl/>
        </w:rPr>
      </w:pPr>
      <w:r>
        <w:rPr>
          <w:rStyle w:val="FootnoteReference1"/>
        </w:rPr>
        <w:footnoteRef/>
      </w:r>
      <w:r>
        <w:rPr>
          <w:rtl/>
        </w:rPr>
        <w:t xml:space="preserve"> </w:t>
      </w:r>
      <w:r>
        <w:rPr>
          <w:rtl/>
        </w:rPr>
        <w:tab/>
      </w:r>
      <w:r>
        <w:rPr>
          <w:rFonts w:hint="cs"/>
          <w:rtl/>
        </w:rPr>
        <w:t xml:space="preserve">ראו גם: </w:t>
      </w:r>
      <w:r w:rsidRPr="00B26646">
        <w:rPr>
          <w:rFonts w:hint="cs"/>
          <w:rtl/>
        </w:rPr>
        <w:t>מבקר המדינה</w:t>
      </w:r>
      <w:r>
        <w:rPr>
          <w:rFonts w:hint="cs"/>
          <w:rtl/>
        </w:rPr>
        <w:t>,</w:t>
      </w:r>
      <w:r w:rsidRPr="00B26646">
        <w:rPr>
          <w:rFonts w:hint="cs"/>
          <w:rtl/>
        </w:rPr>
        <w:t xml:space="preserve"> </w:t>
      </w:r>
      <w:r w:rsidRPr="0034447D">
        <w:rPr>
          <w:rFonts w:hint="eastAsia"/>
          <w:b/>
          <w:bCs/>
          <w:rtl/>
        </w:rPr>
        <w:t>דוח</w:t>
      </w:r>
      <w:r w:rsidRPr="0034447D">
        <w:rPr>
          <w:b/>
          <w:bCs/>
          <w:rtl/>
        </w:rPr>
        <w:t xml:space="preserve"> 58א</w:t>
      </w:r>
      <w:r w:rsidRPr="00B26646">
        <w:rPr>
          <w:rFonts w:hint="cs"/>
          <w:rtl/>
        </w:rPr>
        <w:t xml:space="preserve"> (2007)</w:t>
      </w:r>
      <w:r>
        <w:rPr>
          <w:rFonts w:hint="cs"/>
          <w:rtl/>
        </w:rPr>
        <w:t>,</w:t>
      </w:r>
      <w:r w:rsidRPr="00B26646">
        <w:rPr>
          <w:rFonts w:hint="cs"/>
          <w:rtl/>
        </w:rPr>
        <w:t xml:space="preserve"> "היבטים בהיערכות גורמי ההסברה ובתפקודם במלחמת לבנון השנייה" (ביקורת מעקב)</w:t>
      </w:r>
      <w:r>
        <w:rPr>
          <w:rFonts w:hint="cs"/>
          <w:rtl/>
        </w:rPr>
        <w:t xml:space="preserve">, עמ' 86; </w:t>
      </w:r>
      <w:r>
        <w:t>World Health Organization Outbreak Communication Planning Guide (2008)</w:t>
      </w:r>
      <w:r>
        <w:rPr>
          <w:rFonts w:hint="cs"/>
          <w:rtl/>
        </w:rPr>
        <w:t>, עמ' 5 (להלן - מדריך ארגון הבריאות העולמי).</w:t>
      </w:r>
    </w:p>
  </w:footnote>
  <w:footnote w:id="29">
    <w:p w:rsidR="00725ABE" w:rsidP="00B54F36" w14:paraId="4677DE3C" w14:textId="77777777">
      <w:pPr>
        <w:pStyle w:val="FootnoteText"/>
        <w:spacing w:line="269" w:lineRule="auto"/>
        <w:contextualSpacing/>
      </w:pPr>
      <w:r>
        <w:rPr>
          <w:rStyle w:val="FootnoteReference1"/>
        </w:rPr>
        <w:footnoteRef/>
      </w:r>
      <w:r>
        <w:rPr>
          <w:rtl/>
        </w:rPr>
        <w:t xml:space="preserve"> </w:t>
      </w:r>
      <w:r>
        <w:rPr>
          <w:rtl/>
        </w:rPr>
        <w:tab/>
      </w:r>
      <w:r>
        <w:rPr>
          <w:rFonts w:hint="cs"/>
          <w:rtl/>
        </w:rPr>
        <w:t>החלטת הממשלה 4065, "נוהל עבודת הממשלה בחירום" (7.9.08).</w:t>
      </w:r>
    </w:p>
  </w:footnote>
  <w:footnote w:id="30">
    <w:p w:rsidR="00725ABE" w:rsidP="00B54F36" w14:paraId="7F958CEB" w14:textId="77777777">
      <w:pPr>
        <w:pStyle w:val="FootnoteText"/>
        <w:spacing w:line="269" w:lineRule="auto"/>
        <w:ind w:left="707" w:right="0" w:hanging="707"/>
        <w:contextualSpacing/>
      </w:pPr>
      <w:r>
        <w:rPr>
          <w:rStyle w:val="FootnoteReference1"/>
        </w:rPr>
        <w:footnoteRef/>
      </w:r>
      <w:r>
        <w:rPr>
          <w:rtl/>
        </w:rPr>
        <w:t xml:space="preserve"> </w:t>
      </w:r>
      <w:r>
        <w:rPr>
          <w:rtl/>
        </w:rPr>
        <w:tab/>
      </w:r>
      <w:r w:rsidRPr="00B26646">
        <w:rPr>
          <w:rFonts w:hint="cs"/>
          <w:rtl/>
        </w:rPr>
        <w:t>מבקר המדינה</w:t>
      </w:r>
      <w:r>
        <w:rPr>
          <w:rFonts w:hint="cs"/>
          <w:rtl/>
        </w:rPr>
        <w:t xml:space="preserve">, </w:t>
      </w:r>
      <w:r w:rsidRPr="0034447D">
        <w:rPr>
          <w:rFonts w:hint="eastAsia"/>
          <w:b/>
          <w:bCs/>
          <w:rtl/>
        </w:rPr>
        <w:t>דוח</w:t>
      </w:r>
      <w:r w:rsidRPr="0034447D">
        <w:rPr>
          <w:b/>
          <w:bCs/>
          <w:rtl/>
        </w:rPr>
        <w:t xml:space="preserve"> </w:t>
      </w:r>
      <w:r w:rsidRPr="0034447D">
        <w:rPr>
          <w:rFonts w:hint="eastAsia"/>
          <w:b/>
          <w:bCs/>
          <w:rtl/>
        </w:rPr>
        <w:t>שנתי</w:t>
      </w:r>
      <w:r w:rsidRPr="0034447D">
        <w:rPr>
          <w:b/>
          <w:bCs/>
          <w:rtl/>
        </w:rPr>
        <w:t xml:space="preserve"> 53א</w:t>
      </w:r>
      <w:r w:rsidRPr="00B26646">
        <w:rPr>
          <w:rFonts w:hint="cs"/>
          <w:rtl/>
        </w:rPr>
        <w:t xml:space="preserve"> (2002)</w:t>
      </w:r>
      <w:r>
        <w:rPr>
          <w:rFonts w:hint="cs"/>
          <w:rtl/>
        </w:rPr>
        <w:t>,</w:t>
      </w:r>
      <w:r w:rsidRPr="00B26646">
        <w:rPr>
          <w:rFonts w:hint="cs"/>
          <w:rtl/>
        </w:rPr>
        <w:t xml:space="preserve"> "היבטים בהיערכות גורמי ההסברה בנושאי חוץ וביטחון"; </w:t>
      </w:r>
      <w:r w:rsidRPr="0034447D">
        <w:rPr>
          <w:rFonts w:hint="eastAsia"/>
          <w:b/>
          <w:bCs/>
          <w:rtl/>
        </w:rPr>
        <w:t>דוח</w:t>
      </w:r>
      <w:r w:rsidRPr="0034447D">
        <w:rPr>
          <w:b/>
          <w:bCs/>
          <w:rtl/>
        </w:rPr>
        <w:t xml:space="preserve"> </w:t>
      </w:r>
      <w:r w:rsidRPr="0034447D">
        <w:rPr>
          <w:rFonts w:hint="eastAsia"/>
          <w:b/>
          <w:bCs/>
          <w:rtl/>
        </w:rPr>
        <w:t>שנתי</w:t>
      </w:r>
      <w:r w:rsidRPr="0034447D">
        <w:rPr>
          <w:b/>
          <w:bCs/>
          <w:rtl/>
        </w:rPr>
        <w:t xml:space="preserve"> 58א</w:t>
      </w:r>
      <w:r w:rsidRPr="00B26646">
        <w:rPr>
          <w:rFonts w:hint="cs"/>
          <w:rtl/>
        </w:rPr>
        <w:t xml:space="preserve"> (2007)</w:t>
      </w:r>
      <w:r>
        <w:rPr>
          <w:rFonts w:hint="cs"/>
          <w:rtl/>
        </w:rPr>
        <w:t>,</w:t>
      </w:r>
      <w:r w:rsidRPr="00B26646">
        <w:rPr>
          <w:rFonts w:hint="cs"/>
          <w:rtl/>
        </w:rPr>
        <w:t xml:space="preserve"> "היבטים בהיערכות גורמי ההסברה ובתפקודם במלחמת לבנון השנייה" (ביקורת מעקב)</w:t>
      </w:r>
      <w:r>
        <w:rPr>
          <w:rFonts w:hint="cs"/>
          <w:rtl/>
        </w:rPr>
        <w:t>.</w:t>
      </w:r>
    </w:p>
  </w:footnote>
  <w:footnote w:id="31">
    <w:p w:rsidR="00725ABE" w:rsidP="00B54F36" w14:paraId="274C0D82" w14:textId="77777777">
      <w:pPr>
        <w:pStyle w:val="FootnoteText"/>
        <w:spacing w:line="269" w:lineRule="auto"/>
        <w:ind w:right="0"/>
        <w:contextualSpacing/>
        <w:rPr>
          <w:rtl/>
        </w:rPr>
      </w:pPr>
      <w:r>
        <w:rPr>
          <w:rStyle w:val="FootnoteReference1"/>
        </w:rPr>
        <w:footnoteRef/>
      </w:r>
      <w:r>
        <w:rPr>
          <w:rtl/>
        </w:rPr>
        <w:t xml:space="preserve"> </w:t>
      </w:r>
      <w:r>
        <w:rPr>
          <w:rtl/>
        </w:rPr>
        <w:tab/>
      </w:r>
      <w:r>
        <w:rPr>
          <w:rFonts w:hint="cs"/>
          <w:rtl/>
        </w:rPr>
        <w:t xml:space="preserve">החלטת הממשלה 1936, "הקמת מערך ההסברה הלאומי" (8.7.07). </w:t>
      </w:r>
    </w:p>
  </w:footnote>
  <w:footnote w:id="32">
    <w:p w:rsidR="00725ABE" w:rsidP="00B54F36" w14:paraId="2BAEEAB3" w14:textId="77777777">
      <w:pPr>
        <w:pStyle w:val="FootnoteText"/>
        <w:spacing w:line="269" w:lineRule="auto"/>
        <w:ind w:right="0"/>
        <w:contextualSpacing/>
        <w:rPr>
          <w:rtl/>
        </w:rPr>
      </w:pPr>
      <w:r>
        <w:rPr>
          <w:rStyle w:val="FootnoteReference1"/>
        </w:rPr>
        <w:footnoteRef/>
      </w:r>
      <w:r>
        <w:rPr>
          <w:rtl/>
        </w:rPr>
        <w:t xml:space="preserve"> </w:t>
      </w:r>
      <w:r>
        <w:rPr>
          <w:rtl/>
        </w:rPr>
        <w:tab/>
      </w:r>
      <w:r>
        <w:rPr>
          <w:rFonts w:hint="cs"/>
          <w:rtl/>
        </w:rPr>
        <w:t>גופי הביטחון הם</w:t>
      </w:r>
      <w:r w:rsidRPr="007355E2">
        <w:rPr>
          <w:rFonts w:hint="cs"/>
          <w:rtl/>
        </w:rPr>
        <w:t xml:space="preserve"> צה"ל, </w:t>
      </w:r>
      <w:r>
        <w:rPr>
          <w:rFonts w:hint="cs"/>
          <w:rtl/>
        </w:rPr>
        <w:t>שירות הביטחון הכללי</w:t>
      </w:r>
      <w:r w:rsidRPr="007355E2">
        <w:rPr>
          <w:rFonts w:hint="cs"/>
          <w:rtl/>
        </w:rPr>
        <w:t xml:space="preserve"> ומשטרת ישראל</w:t>
      </w:r>
      <w:r>
        <w:rPr>
          <w:rFonts w:hint="cs"/>
          <w:rtl/>
        </w:rPr>
        <w:t xml:space="preserve">. </w:t>
      </w:r>
    </w:p>
  </w:footnote>
  <w:footnote w:id="33">
    <w:p w:rsidR="00725ABE" w:rsidP="00B54F36" w14:paraId="706EB0E3" w14:textId="77777777">
      <w:pPr>
        <w:pStyle w:val="FootnoteText"/>
        <w:spacing w:line="269" w:lineRule="auto"/>
        <w:ind w:left="720" w:hanging="720"/>
      </w:pPr>
      <w:r>
        <w:rPr>
          <w:rStyle w:val="FootnoteReference1"/>
        </w:rPr>
        <w:footnoteRef/>
      </w:r>
      <w:r>
        <w:rPr>
          <w:rtl/>
        </w:rPr>
        <w:t xml:space="preserve"> </w:t>
      </w:r>
      <w:r>
        <w:rPr>
          <w:rtl/>
        </w:rPr>
        <w:tab/>
      </w:r>
      <w:r w:rsidRPr="00A443C0">
        <w:rPr>
          <w:rFonts w:hint="cs"/>
          <w:rtl/>
        </w:rPr>
        <w:t>החלטת הממשלה 1936 (8.7.07), סעיף 4(א). משרדי הממשלה הם משרדי החינוך, הבריאות הפנים, הגנת הסביבה, התשתיות, התעשייה, המסחר והתעסוקה, הרווחה והשירותים החברתיים, האוצר.</w:t>
      </w:r>
    </w:p>
  </w:footnote>
  <w:footnote w:id="34">
    <w:p w:rsidR="00725ABE" w:rsidP="00B54F36" w14:paraId="6184E8D4" w14:textId="77777777">
      <w:pPr>
        <w:pStyle w:val="FootnoteText"/>
        <w:spacing w:line="269" w:lineRule="auto"/>
        <w:ind w:left="720" w:hanging="720"/>
      </w:pPr>
      <w:r>
        <w:rPr>
          <w:rStyle w:val="FootnoteReference1"/>
        </w:rPr>
        <w:footnoteRef/>
      </w:r>
      <w:r>
        <w:rPr>
          <w:rtl/>
        </w:rPr>
        <w:t xml:space="preserve"> </w:t>
      </w:r>
      <w:r>
        <w:rPr>
          <w:rtl/>
        </w:rPr>
        <w:tab/>
      </w:r>
      <w:r w:rsidRPr="004E78F9">
        <w:rPr>
          <w:rFonts w:hint="cs"/>
          <w:rtl/>
        </w:rPr>
        <w:t>החלטת הממשלה 1936 (8.7.07), סעיף 4(א). הגופים הנוספים שצוינו הם הגוף הלאומי שיפעל בעת חירום בנושא העורף, שירות בתי הסוהר, מגן דוד אדום לישראל, כבאות והצלה לישראל ומרכז השלטון המקומי</w:t>
      </w:r>
      <w:r>
        <w:rPr>
          <w:rFonts w:hint="cs"/>
          <w:rtl/>
        </w:rPr>
        <w:t>.</w:t>
      </w:r>
    </w:p>
  </w:footnote>
  <w:footnote w:id="35">
    <w:p w:rsidR="00725ABE" w:rsidP="00B54F36" w14:paraId="42E4EA4D" w14:textId="77777777">
      <w:pPr>
        <w:pStyle w:val="FootnoteText"/>
        <w:spacing w:line="269" w:lineRule="auto"/>
      </w:pPr>
      <w:r>
        <w:rPr>
          <w:rStyle w:val="FootnoteReference1"/>
        </w:rPr>
        <w:footnoteRef/>
      </w:r>
      <w:r>
        <w:rPr>
          <w:rtl/>
        </w:rPr>
        <w:t xml:space="preserve"> </w:t>
      </w:r>
      <w:r>
        <w:rPr>
          <w:rtl/>
        </w:rPr>
        <w:tab/>
      </w:r>
      <w:r>
        <w:rPr>
          <w:rFonts w:hint="cs"/>
          <w:rtl/>
        </w:rPr>
        <w:t>חוק הג"א, סעיף 2(יא).</w:t>
      </w:r>
    </w:p>
  </w:footnote>
  <w:footnote w:id="36">
    <w:p w:rsidR="00725ABE" w:rsidP="00B54F36" w14:paraId="62FD6B48" w14:textId="77777777">
      <w:pPr>
        <w:pStyle w:val="FootnoteText"/>
        <w:spacing w:line="269" w:lineRule="auto"/>
        <w:contextualSpacing/>
        <w:rPr>
          <w:rtl/>
        </w:rPr>
      </w:pPr>
      <w:r>
        <w:rPr>
          <w:rStyle w:val="FootnoteReference1"/>
        </w:rPr>
        <w:footnoteRef/>
      </w:r>
      <w:r>
        <w:rPr>
          <w:rtl/>
        </w:rPr>
        <w:t xml:space="preserve"> </w:t>
      </w:r>
      <w:r>
        <w:rPr>
          <w:rtl/>
        </w:rPr>
        <w:tab/>
      </w:r>
      <w:r>
        <w:rPr>
          <w:rFonts w:hint="cs"/>
          <w:rtl/>
        </w:rPr>
        <w:t>החלטת הממשלה 4356, "הערכות לקראת התפרצות של שפעת פנדמית" (6.11.05).</w:t>
      </w:r>
    </w:p>
  </w:footnote>
  <w:footnote w:id="37">
    <w:p w:rsidR="00725ABE" w:rsidRPr="00753991" w:rsidP="00B54F36" w14:paraId="2F0984CB" w14:textId="77777777">
      <w:pPr>
        <w:pStyle w:val="FootnoteText"/>
        <w:spacing w:line="269" w:lineRule="auto"/>
        <w:ind w:left="707" w:right="0" w:hanging="707"/>
        <w:contextualSpacing/>
        <w:rPr>
          <w:rtl/>
        </w:rPr>
      </w:pPr>
      <w:r w:rsidRPr="006C1EA1">
        <w:rPr>
          <w:rStyle w:val="FootnoteReference1"/>
        </w:rPr>
        <w:footnoteRef/>
      </w:r>
      <w:r w:rsidRPr="006C1EA1">
        <w:rPr>
          <w:rtl/>
        </w:rPr>
        <w:t xml:space="preserve"> </w:t>
      </w:r>
      <w:r w:rsidRPr="006C1EA1">
        <w:rPr>
          <w:rtl/>
        </w:rPr>
        <w:tab/>
      </w:r>
      <w:r w:rsidRPr="006C1EA1">
        <w:rPr>
          <w:rFonts w:hint="cs"/>
          <w:rtl/>
        </w:rPr>
        <w:t xml:space="preserve">אישור שר הביטחון </w:t>
      </w:r>
      <w:r w:rsidRPr="006C1EA1">
        <w:rPr>
          <w:rtl/>
        </w:rPr>
        <w:t>לפי סעיף 2</w:t>
      </w:r>
      <w:r w:rsidRPr="006C1EA1">
        <w:rPr>
          <w:rFonts w:hint="cs"/>
          <w:rtl/>
        </w:rPr>
        <w:t>(</w:t>
      </w:r>
      <w:r w:rsidRPr="006C1EA1">
        <w:rPr>
          <w:rtl/>
        </w:rPr>
        <w:t>יא</w:t>
      </w:r>
      <w:r w:rsidRPr="006C1EA1">
        <w:rPr>
          <w:rFonts w:hint="cs"/>
          <w:rtl/>
        </w:rPr>
        <w:t>)</w:t>
      </w:r>
      <w:r w:rsidRPr="006C1EA1">
        <w:rPr>
          <w:rtl/>
        </w:rPr>
        <w:t xml:space="preserve"> לחוק </w:t>
      </w:r>
      <w:r w:rsidRPr="006C1EA1">
        <w:rPr>
          <w:rFonts w:hint="cs"/>
          <w:rtl/>
        </w:rPr>
        <w:t>הג"א.</w:t>
      </w:r>
      <w:r>
        <w:rPr>
          <w:rFonts w:hint="cs"/>
          <w:rtl/>
        </w:rPr>
        <w:t xml:space="preserve"> </w:t>
      </w:r>
    </w:p>
  </w:footnote>
  <w:footnote w:id="38">
    <w:p w:rsidR="00725ABE" w:rsidRPr="004C4FBE" w:rsidP="00B54F36" w14:paraId="1B383F35" w14:textId="77777777">
      <w:pPr>
        <w:pStyle w:val="FootnoteText"/>
        <w:spacing w:line="269" w:lineRule="auto"/>
        <w:ind w:right="0"/>
        <w:rPr>
          <w:rtl/>
        </w:rPr>
      </w:pPr>
      <w:r>
        <w:rPr>
          <w:rStyle w:val="FootnoteReference1"/>
        </w:rPr>
        <w:footnoteRef/>
      </w:r>
      <w:r>
        <w:rPr>
          <w:rtl/>
        </w:rPr>
        <w:t xml:space="preserve"> </w:t>
      </w:r>
      <w:r>
        <w:rPr>
          <w:rtl/>
        </w:rPr>
        <w:tab/>
      </w:r>
      <w:r w:rsidRPr="004C4FBE">
        <w:rPr>
          <w:rtl/>
        </w:rPr>
        <w:t>המסמך אינו חתום ולא צוין בו מי גיבש אותו.</w:t>
      </w:r>
    </w:p>
  </w:footnote>
  <w:footnote w:id="39">
    <w:p w:rsidR="00725ABE" w:rsidP="00B54F36" w14:paraId="57DD9777" w14:textId="77777777">
      <w:pPr>
        <w:pStyle w:val="FootnoteText"/>
        <w:spacing w:line="269" w:lineRule="auto"/>
        <w:contextualSpacing/>
        <w:rPr>
          <w:rtl/>
        </w:rPr>
      </w:pPr>
      <w:r>
        <w:rPr>
          <w:rStyle w:val="FootnoteReference1"/>
        </w:rPr>
        <w:footnoteRef/>
      </w:r>
      <w:r>
        <w:rPr>
          <w:rtl/>
        </w:rPr>
        <w:t xml:space="preserve"> </w:t>
      </w:r>
      <w:r>
        <w:rPr>
          <w:rtl/>
        </w:rPr>
        <w:tab/>
      </w:r>
      <w:r>
        <w:t>World Health Organization Outbreak Communication Planning Guide (2008)</w:t>
      </w:r>
      <w:r>
        <w:rPr>
          <w:rFonts w:hint="cs"/>
          <w:rtl/>
        </w:rPr>
        <w:t>.</w:t>
      </w:r>
    </w:p>
  </w:footnote>
  <w:footnote w:id="40">
    <w:p w:rsidR="00725ABE" w:rsidP="00B54F36" w14:paraId="6B088772" w14:textId="77777777">
      <w:pPr>
        <w:pStyle w:val="FootnoteText"/>
        <w:spacing w:line="269" w:lineRule="auto"/>
        <w:ind w:left="707" w:hanging="707"/>
        <w:contextualSpacing/>
      </w:pPr>
      <w:r>
        <w:rPr>
          <w:rStyle w:val="FootnoteReference1"/>
        </w:rPr>
        <w:footnoteRef/>
      </w:r>
      <w:r>
        <w:rPr>
          <w:rtl/>
        </w:rPr>
        <w:t xml:space="preserve"> </w:t>
      </w:r>
      <w:r>
        <w:rPr>
          <w:rtl/>
        </w:rPr>
        <w:tab/>
      </w:r>
      <w:r>
        <w:rPr>
          <w:rFonts w:hint="cs"/>
          <w:rtl/>
        </w:rPr>
        <w:t>החלטת הממשלה 1577, "הטלת האחריות הכוללת לטיפול בעורף במצבי חירום על שר הביטחון" (15.4.07).</w:t>
      </w:r>
    </w:p>
  </w:footnote>
  <w:footnote w:id="41">
    <w:p w:rsidR="00725ABE" w:rsidP="00B54F36" w14:paraId="41410ABD" w14:textId="77777777">
      <w:pPr>
        <w:pStyle w:val="FootnoteText"/>
        <w:spacing w:line="269" w:lineRule="auto"/>
        <w:contextualSpacing/>
      </w:pPr>
      <w:r>
        <w:rPr>
          <w:rStyle w:val="FootnoteReference1"/>
        </w:rPr>
        <w:footnoteRef/>
      </w:r>
      <w:r>
        <w:rPr>
          <w:rtl/>
        </w:rPr>
        <w:t xml:space="preserve"> </w:t>
      </w:r>
      <w:r>
        <w:rPr>
          <w:rtl/>
        </w:rPr>
        <w:tab/>
      </w:r>
      <w:r>
        <w:rPr>
          <w:rFonts w:hint="cs"/>
          <w:rtl/>
        </w:rPr>
        <w:t>החלטת הממשלה 4356, "הערכות לקראת התפרצות של שפעת פנדמית" (6.11.05).</w:t>
      </w:r>
    </w:p>
  </w:footnote>
  <w:footnote w:id="42">
    <w:p w:rsidR="00725ABE" w:rsidP="00B54F36" w14:paraId="7745C4E8" w14:textId="77777777">
      <w:pPr>
        <w:pStyle w:val="FootnoteText"/>
        <w:spacing w:line="269" w:lineRule="auto"/>
        <w:ind w:left="720" w:right="0" w:hanging="720"/>
        <w:contextualSpacing/>
        <w:rPr>
          <w:rtl/>
        </w:rPr>
      </w:pPr>
      <w:r>
        <w:rPr>
          <w:rStyle w:val="FootnoteReference1"/>
        </w:rPr>
        <w:footnoteRef/>
      </w:r>
      <w:r>
        <w:rPr>
          <w:rtl/>
        </w:rPr>
        <w:t xml:space="preserve"> </w:t>
      </w:r>
      <w:r>
        <w:rPr>
          <w:rtl/>
        </w:rPr>
        <w:tab/>
      </w:r>
      <w:r>
        <w:rPr>
          <w:rFonts w:hint="cs"/>
          <w:rtl/>
        </w:rPr>
        <w:t>תקציב הפורטל הוא חלק מתקציב האגף למערכות מידע ולא חלק מתקציב האגף להסברה וליחב"ל.</w:t>
      </w:r>
    </w:p>
  </w:footnote>
  <w:footnote w:id="43">
    <w:p w:rsidR="00725ABE" w:rsidP="00B54F36" w14:paraId="4A9FE6BA" w14:textId="77777777">
      <w:pPr>
        <w:pStyle w:val="FootnoteText"/>
        <w:spacing w:line="269" w:lineRule="auto"/>
        <w:rPr>
          <w:rtl/>
        </w:rPr>
      </w:pPr>
      <w:r>
        <w:rPr>
          <w:rStyle w:val="FootnoteReference1"/>
        </w:rPr>
        <w:footnoteRef/>
      </w:r>
      <w:r>
        <w:rPr>
          <w:rtl/>
        </w:rPr>
        <w:t xml:space="preserve"> </w:t>
      </w:r>
      <w:r>
        <w:rPr>
          <w:rtl/>
        </w:rPr>
        <w:tab/>
      </w:r>
      <w:r>
        <w:rPr>
          <w:rFonts w:hint="cs"/>
          <w:rtl/>
        </w:rPr>
        <w:t>התרשים לא כולל משרת מנהל לשכה ומשרות סטודנט.</w:t>
      </w:r>
    </w:p>
  </w:footnote>
  <w:footnote w:id="44">
    <w:p w:rsidR="00725ABE" w:rsidRPr="00661F57" w:rsidP="00B54F36" w14:paraId="73633D84" w14:textId="77777777">
      <w:pPr>
        <w:pStyle w:val="FootnoteText"/>
        <w:spacing w:line="269" w:lineRule="auto"/>
        <w:rPr>
          <w:rtl/>
        </w:rPr>
      </w:pPr>
      <w:r w:rsidRPr="00220A0F">
        <w:rPr>
          <w:rStyle w:val="FootnoteReference1"/>
        </w:rPr>
        <w:footnoteRef/>
      </w:r>
      <w:r w:rsidRPr="00220A0F">
        <w:rPr>
          <w:rtl/>
        </w:rPr>
        <w:t xml:space="preserve"> </w:t>
      </w:r>
      <w:r w:rsidRPr="00220A0F">
        <w:rPr>
          <w:rtl/>
        </w:rPr>
        <w:tab/>
      </w:r>
      <w:r w:rsidRPr="00220A0F">
        <w:rPr>
          <w:rFonts w:hint="cs"/>
          <w:rtl/>
        </w:rPr>
        <w:t>הנתון אינו כולל את</w:t>
      </w:r>
      <w:r w:rsidRPr="00220A0F">
        <w:rPr>
          <w:rtl/>
        </w:rPr>
        <w:t xml:space="preserve"> שכר עובדי </w:t>
      </w:r>
      <w:r>
        <w:rPr>
          <w:rFonts w:hint="cs"/>
          <w:rtl/>
        </w:rPr>
        <w:t>האגף</w:t>
      </w:r>
      <w:r w:rsidRPr="00220A0F">
        <w:rPr>
          <w:rFonts w:hint="cs"/>
          <w:rtl/>
        </w:rPr>
        <w:t>.</w:t>
      </w:r>
    </w:p>
  </w:footnote>
  <w:footnote w:id="45">
    <w:p w:rsidR="00725ABE" w:rsidP="00B54F36" w14:paraId="413BE9E3" w14:textId="77777777">
      <w:pPr>
        <w:pStyle w:val="FootnoteText"/>
        <w:spacing w:line="269" w:lineRule="auto"/>
        <w:ind w:left="707" w:hanging="707"/>
        <w:contextualSpacing/>
      </w:pPr>
      <w:r w:rsidRPr="00ED39E4">
        <w:rPr>
          <w:rStyle w:val="FootnoteReference1"/>
        </w:rPr>
        <w:footnoteRef/>
      </w:r>
      <w:r w:rsidRPr="00ED39E4">
        <w:rPr>
          <w:rtl/>
        </w:rPr>
        <w:t xml:space="preserve"> </w:t>
      </w:r>
      <w:r w:rsidRPr="00ED39E4">
        <w:rPr>
          <w:rtl/>
        </w:rPr>
        <w:tab/>
      </w:r>
      <w:r>
        <w:rPr>
          <w:rFonts w:hint="cs"/>
          <w:rtl/>
        </w:rPr>
        <w:t>התרשים מציג את מבנה המטה במסגרת מערך הכולל גם גורמי הסברה במחוזות, בנפות וביחידות קישור לרשויות המקומיות (יקל"רים).</w:t>
      </w:r>
    </w:p>
  </w:footnote>
  <w:footnote w:id="46">
    <w:p w:rsidR="00725ABE" w:rsidP="00B54F36" w14:paraId="328889E6" w14:textId="77777777">
      <w:pPr>
        <w:pStyle w:val="FootnoteText"/>
        <w:spacing w:line="269" w:lineRule="auto"/>
      </w:pPr>
      <w:r>
        <w:rPr>
          <w:rStyle w:val="FootnoteReference1"/>
        </w:rPr>
        <w:footnoteRef/>
      </w:r>
      <w:r>
        <w:rPr>
          <w:rtl/>
        </w:rPr>
        <w:t xml:space="preserve"> </w:t>
      </w:r>
      <w:r>
        <w:rPr>
          <w:rtl/>
        </w:rPr>
        <w:tab/>
      </w:r>
      <w:r>
        <w:rPr>
          <w:rFonts w:hint="cs"/>
          <w:rtl/>
        </w:rPr>
        <w:t>יובהר כי חלק מפרסומי פקע"ר וכל סקרי פקע"ר בוצעו באופן עצמאי וללא מעורבות לפ"ם.</w:t>
      </w:r>
    </w:p>
  </w:footnote>
  <w:footnote w:id="47">
    <w:p w:rsidR="00725ABE" w:rsidP="00B54F36" w14:paraId="654B85A0" w14:textId="77777777">
      <w:pPr>
        <w:pStyle w:val="FootnoteText"/>
        <w:spacing w:line="269" w:lineRule="auto"/>
        <w:ind w:left="707" w:right="0" w:hanging="707"/>
      </w:pPr>
      <w:r w:rsidRPr="00DD000D">
        <w:rPr>
          <w:rStyle w:val="FootnoteReference1"/>
        </w:rPr>
        <w:footnoteRef/>
      </w:r>
      <w:r w:rsidRPr="00DD000D">
        <w:rPr>
          <w:rtl/>
        </w:rPr>
        <w:t xml:space="preserve"> </w:t>
      </w:r>
      <w:r w:rsidRPr="00DD000D">
        <w:rPr>
          <w:rtl/>
        </w:rPr>
        <w:tab/>
      </w:r>
      <w:r w:rsidRPr="00DD000D">
        <w:rPr>
          <w:rFonts w:hint="cs"/>
          <w:rtl/>
        </w:rPr>
        <w:t>מרכז המידע והידע</w:t>
      </w:r>
      <w:r>
        <w:rPr>
          <w:rFonts w:hint="cs"/>
          <w:rtl/>
        </w:rPr>
        <w:t xml:space="preserve"> הלאומי למערכה בקורונה, </w:t>
      </w:r>
      <w:r w:rsidRPr="00DD000D">
        <w:rPr>
          <w:rFonts w:hint="cs"/>
          <w:rtl/>
        </w:rPr>
        <w:t>ההסברה לאזרח מ</w:t>
      </w:r>
      <w:r>
        <w:rPr>
          <w:rFonts w:hint="cs"/>
          <w:rtl/>
        </w:rPr>
        <w:t>שמשת</w:t>
      </w:r>
      <w:r w:rsidRPr="00DD000D">
        <w:rPr>
          <w:rFonts w:hint="cs"/>
          <w:rtl/>
        </w:rPr>
        <w:t xml:space="preserve"> כלי מרכזי בהתמודדות העולמית עם נגיף הקורונה, </w:t>
      </w:r>
      <w:r>
        <w:rPr>
          <w:rFonts w:hint="cs"/>
          <w:rtl/>
        </w:rPr>
        <w:t>(16.7.20). מהמחקר עולה כי נבחנו בו מדינות מזרח אסיה (סין והונג קונג, טיוואן, דרום קוריאה, יפן, סינגפור); מדינות מאירופה (גרמניה, אוסטרייה, ספרד, צרפת, קרואטיה, יוון, אנגלייה, צ'כיה, מונטנגרו); אוסטרליה וניו זילנד.</w:t>
      </w:r>
    </w:p>
  </w:footnote>
  <w:footnote w:id="48">
    <w:p w:rsidR="00725ABE" w:rsidP="00B54F36" w14:paraId="1D522D35" w14:textId="77777777">
      <w:pPr>
        <w:pStyle w:val="FootnoteText"/>
        <w:spacing w:line="269" w:lineRule="auto"/>
      </w:pPr>
      <w:r>
        <w:rPr>
          <w:rStyle w:val="FootnoteReference1"/>
        </w:rPr>
        <w:footnoteRef/>
      </w:r>
      <w:r>
        <w:rPr>
          <w:rtl/>
        </w:rPr>
        <w:t xml:space="preserve"> </w:t>
      </w:r>
      <w:r>
        <w:rPr>
          <w:rtl/>
        </w:rPr>
        <w:tab/>
      </w:r>
      <w:r>
        <w:rPr>
          <w:rFonts w:hint="cs"/>
          <w:rtl/>
        </w:rPr>
        <w:t>רתימת ידוענים נעשתה לדוגמה ביפן ובסינגפור.</w:t>
      </w:r>
    </w:p>
  </w:footnote>
  <w:footnote w:id="49">
    <w:p w:rsidR="00725ABE" w:rsidP="00B54F36" w14:paraId="749D1B2C" w14:textId="77777777">
      <w:pPr>
        <w:pStyle w:val="FootnoteText"/>
        <w:spacing w:line="269" w:lineRule="auto"/>
        <w:ind w:left="707" w:right="0" w:hanging="709"/>
        <w:rPr>
          <w:rtl/>
        </w:rPr>
      </w:pPr>
      <w:r>
        <w:rPr>
          <w:rStyle w:val="FootnoteReference1"/>
        </w:rPr>
        <w:footnoteRef/>
      </w:r>
      <w:r>
        <w:rPr>
          <w:rtl/>
        </w:rPr>
        <w:t xml:space="preserve"> </w:t>
      </w:r>
      <w:r>
        <w:rPr>
          <w:rtl/>
        </w:rPr>
        <w:tab/>
      </w:r>
      <w:r>
        <w:rPr>
          <w:rFonts w:hint="cs"/>
          <w:rtl/>
        </w:rPr>
        <w:t xml:space="preserve">בשנת 2014 רשות התקשוב הממשלתי הייתה יחידה במשרד רה"ם. בתקופת הביקורת הרשות היתה יחידת סמך במשרד הדיגיטל הלאומי. </w:t>
      </w:r>
    </w:p>
  </w:footnote>
  <w:footnote w:id="50">
    <w:p w:rsidR="00725ABE" w:rsidP="00B54F36" w14:paraId="4A286DC8" w14:textId="77777777">
      <w:pPr>
        <w:pStyle w:val="FootnoteText"/>
        <w:spacing w:line="269" w:lineRule="auto"/>
        <w:ind w:left="707" w:right="0" w:hanging="707"/>
        <w:rPr>
          <w:rtl/>
        </w:rPr>
      </w:pPr>
      <w:r>
        <w:rPr>
          <w:rStyle w:val="FootnoteReference1"/>
        </w:rPr>
        <w:footnoteRef/>
      </w:r>
      <w:r>
        <w:rPr>
          <w:rtl/>
        </w:rPr>
        <w:t xml:space="preserve"> </w:t>
      </w:r>
      <w:r>
        <w:rPr>
          <w:rtl/>
        </w:rPr>
        <w:tab/>
      </w:r>
      <w:r>
        <w:rPr>
          <w:rFonts w:hint="cs"/>
          <w:rtl/>
        </w:rPr>
        <w:t xml:space="preserve">ראו גם </w:t>
      </w:r>
      <w:r w:rsidRPr="00DA121A">
        <w:rPr>
          <w:rtl/>
        </w:rPr>
        <w:t xml:space="preserve">החלטת </w:t>
      </w:r>
      <w:r>
        <w:rPr>
          <w:rFonts w:hint="cs"/>
          <w:rtl/>
        </w:rPr>
        <w:t>ה</w:t>
      </w:r>
      <w:r w:rsidRPr="00DA121A">
        <w:rPr>
          <w:rtl/>
        </w:rPr>
        <w:t>ממשלה 2097</w:t>
      </w:r>
      <w:r>
        <w:rPr>
          <w:rFonts w:hint="cs"/>
          <w:rtl/>
        </w:rPr>
        <w:t>,</w:t>
      </w:r>
      <w:r w:rsidRPr="00DA121A">
        <w:rPr>
          <w:rtl/>
        </w:rPr>
        <w:t xml:space="preserve"> </w:t>
      </w:r>
      <w:r>
        <w:rPr>
          <w:rFonts w:hint="cs"/>
          <w:rtl/>
        </w:rPr>
        <w:t>"</w:t>
      </w:r>
      <w:r w:rsidRPr="00FB340F">
        <w:rPr>
          <w:rtl/>
        </w:rPr>
        <w:t>הרחבת תחומי פעילות התקשוב הממשלתי, עידוד חדשנות במגזר הציבורי וקידום המיזם הלאומי "ישראל דיגיטלית"</w:t>
      </w:r>
      <w:r>
        <w:rPr>
          <w:rFonts w:hint="cs"/>
          <w:rtl/>
        </w:rPr>
        <w:t>"</w:t>
      </w:r>
      <w:r w:rsidRPr="00DA121A">
        <w:rPr>
          <w:rtl/>
        </w:rPr>
        <w:t xml:space="preserve"> </w:t>
      </w:r>
      <w:r>
        <w:rPr>
          <w:rFonts w:hint="cs"/>
          <w:rtl/>
        </w:rPr>
        <w:t>(</w:t>
      </w:r>
      <w:r w:rsidRPr="00DA121A">
        <w:rPr>
          <w:rtl/>
        </w:rPr>
        <w:t>10.10.14</w:t>
      </w:r>
      <w:r>
        <w:rPr>
          <w:rFonts w:hint="cs"/>
          <w:rtl/>
        </w:rPr>
        <w:t>)</w:t>
      </w:r>
      <w:r w:rsidRPr="00DA121A">
        <w:rPr>
          <w:rtl/>
        </w:rPr>
        <w:t>.</w:t>
      </w:r>
    </w:p>
  </w:footnote>
  <w:footnote w:id="51">
    <w:p w:rsidR="00725ABE" w:rsidP="00B54F36" w14:paraId="36A6BB46" w14:textId="77777777">
      <w:pPr>
        <w:pStyle w:val="FootnoteText"/>
        <w:spacing w:line="269" w:lineRule="auto"/>
      </w:pPr>
      <w:r>
        <w:rPr>
          <w:rStyle w:val="FootnoteReference1"/>
        </w:rPr>
        <w:footnoteRef/>
      </w:r>
      <w:r>
        <w:rPr>
          <w:rtl/>
        </w:rPr>
        <w:t xml:space="preserve"> </w:t>
      </w:r>
      <w:r>
        <w:rPr>
          <w:rtl/>
        </w:rPr>
        <w:tab/>
      </w:r>
      <w:r>
        <w:rPr>
          <w:rFonts w:hint="cs"/>
          <w:rtl/>
        </w:rPr>
        <w:t xml:space="preserve">מלבד אתר זה, יש למשרד הבריאות אתרים נוספים, המנוהלים בתשתיות של יחידת ממשל זמין. </w:t>
      </w:r>
    </w:p>
  </w:footnote>
  <w:footnote w:id="52">
    <w:p w:rsidR="00725ABE" w:rsidP="00B54F36" w14:paraId="356B3590" w14:textId="77777777">
      <w:pPr>
        <w:pStyle w:val="FootnoteText"/>
        <w:spacing w:line="269" w:lineRule="auto"/>
        <w:rPr>
          <w:rtl/>
        </w:rPr>
      </w:pPr>
      <w:r>
        <w:rPr>
          <w:rStyle w:val="FootnoteReference1"/>
        </w:rPr>
        <w:footnoteRef/>
      </w:r>
      <w:r>
        <w:rPr>
          <w:rtl/>
        </w:rPr>
        <w:t xml:space="preserve"> </w:t>
      </w:r>
      <w:r>
        <w:rPr>
          <w:rtl/>
        </w:rPr>
        <w:tab/>
      </w:r>
      <w:r>
        <w:rPr>
          <w:rFonts w:hint="cs"/>
          <w:rtl/>
        </w:rPr>
        <w:t>לא כולל הוצאה על כוח אדם, לרבות שכר אנשי מילואים.</w:t>
      </w:r>
    </w:p>
  </w:footnote>
  <w:footnote w:id="53">
    <w:p w:rsidR="00725ABE" w:rsidP="00B54F36" w14:paraId="6CF29393" w14:textId="77777777">
      <w:pPr>
        <w:pStyle w:val="FootnoteText"/>
        <w:spacing w:line="269" w:lineRule="auto"/>
        <w:rPr>
          <w:rtl/>
        </w:rPr>
      </w:pPr>
      <w:r>
        <w:rPr>
          <w:rStyle w:val="FootnoteReference1"/>
        </w:rPr>
        <w:footnoteRef/>
      </w:r>
      <w:r>
        <w:rPr>
          <w:rtl/>
        </w:rPr>
        <w:t xml:space="preserve"> </w:t>
      </w:r>
      <w:r>
        <w:rPr>
          <w:rFonts w:hint="cs"/>
          <w:rtl/>
        </w:rPr>
        <w:tab/>
        <w:t>המידע נכון ליום 21.3.21.</w:t>
      </w:r>
    </w:p>
  </w:footnote>
  <w:footnote w:id="54">
    <w:p w:rsidR="00725ABE" w:rsidP="00B54F36" w14:paraId="31146C6F" w14:textId="77777777">
      <w:pPr>
        <w:pStyle w:val="FootnoteText"/>
        <w:spacing w:line="269" w:lineRule="auto"/>
        <w:ind w:left="707" w:right="0" w:hanging="707"/>
        <w:rPr>
          <w:rtl/>
        </w:rPr>
      </w:pPr>
      <w:r>
        <w:rPr>
          <w:rStyle w:val="FootnoteReference1"/>
        </w:rPr>
        <w:footnoteRef/>
      </w:r>
      <w:r>
        <w:rPr>
          <w:rtl/>
        </w:rPr>
        <w:t xml:space="preserve"> </w:t>
      </w:r>
      <w:r>
        <w:rPr>
          <w:rtl/>
        </w:rPr>
        <w:tab/>
      </w:r>
      <w:r>
        <w:rPr>
          <w:rFonts w:hint="cs"/>
          <w:rtl/>
        </w:rPr>
        <w:t xml:space="preserve">משרד הדיגיטל הלאומי, רשות התקשוב הממשלתי, "תקשוב ממשלתי - מבט על פעילות 2020" (אוגוסט 2020), </w:t>
      </w:r>
      <w:r>
        <w:rPr>
          <w:rtl/>
        </w:rPr>
        <w:t>עמ</w:t>
      </w:r>
      <w:r>
        <w:rPr>
          <w:rFonts w:hint="cs"/>
          <w:rtl/>
        </w:rPr>
        <w:t>'</w:t>
      </w:r>
      <w:r>
        <w:rPr>
          <w:rtl/>
        </w:rPr>
        <w:t xml:space="preserve"> </w:t>
      </w:r>
      <w:r>
        <w:rPr>
          <w:rFonts w:hint="cs"/>
          <w:rtl/>
        </w:rPr>
        <w:t>51.</w:t>
      </w:r>
    </w:p>
  </w:footnote>
  <w:footnote w:id="55">
    <w:p w:rsidR="00725ABE" w:rsidP="00B54F36" w14:paraId="7790A5E1" w14:textId="77777777">
      <w:pPr>
        <w:pStyle w:val="FootnoteText"/>
        <w:spacing w:line="269" w:lineRule="auto"/>
        <w:ind w:left="720" w:right="0" w:hanging="720"/>
        <w:rPr>
          <w:rtl/>
        </w:rPr>
      </w:pPr>
      <w:r>
        <w:rPr>
          <w:rStyle w:val="FootnoteReference1"/>
        </w:rPr>
        <w:footnoteRef/>
      </w:r>
      <w:r>
        <w:rPr>
          <w:rtl/>
        </w:rPr>
        <w:t xml:space="preserve"> </w:t>
      </w:r>
      <w:r>
        <w:rPr>
          <w:rtl/>
        </w:rPr>
        <w:tab/>
      </w:r>
      <w:r>
        <w:rPr>
          <w:rFonts w:hint="cs"/>
          <w:rtl/>
        </w:rPr>
        <w:t xml:space="preserve">נתונים אלו כוללים את מספר הכניסות לאתר הממשלתי האחוד, ובאתר </w:t>
      </w:r>
      <w:r>
        <w:t>govextra</w:t>
      </w:r>
      <w:r>
        <w:rPr>
          <w:rFonts w:hint="cs"/>
          <w:rtl/>
        </w:rPr>
        <w:t xml:space="preserve"> המקושר לאתר האחוד.</w:t>
      </w:r>
    </w:p>
  </w:footnote>
  <w:footnote w:id="56">
    <w:p w:rsidR="00725ABE" w:rsidP="00B54F36" w14:paraId="0338947D" w14:textId="77777777">
      <w:pPr>
        <w:pStyle w:val="FootnoteText"/>
        <w:spacing w:line="269" w:lineRule="auto"/>
        <w:ind w:left="707" w:right="142" w:hanging="707"/>
        <w:rPr>
          <w:rtl/>
        </w:rPr>
      </w:pPr>
      <w:r>
        <w:rPr>
          <w:rStyle w:val="FootnoteReference1"/>
        </w:rPr>
        <w:footnoteRef/>
      </w:r>
      <w:r>
        <w:rPr>
          <w:rtl/>
        </w:rPr>
        <w:t xml:space="preserve"> </w:t>
      </w:r>
      <w:r>
        <w:rPr>
          <w:rtl/>
        </w:rPr>
        <w:tab/>
      </w:r>
      <w:r>
        <w:rPr>
          <w:rFonts w:hint="cs"/>
          <w:rtl/>
        </w:rPr>
        <w:t xml:space="preserve">רשות התקשוב הממשלתי </w:t>
      </w:r>
      <w:r w:rsidRPr="00F95439">
        <w:rPr>
          <w:rtl/>
        </w:rPr>
        <w:t xml:space="preserve">הוקמה </w:t>
      </w:r>
      <w:r>
        <w:rPr>
          <w:rFonts w:hint="cs"/>
          <w:rtl/>
        </w:rPr>
        <w:t>כדי</w:t>
      </w:r>
      <w:r w:rsidRPr="00F95439">
        <w:rPr>
          <w:rtl/>
        </w:rPr>
        <w:t xml:space="preserve"> לעודד הטמעת חדשנות במגזר הציבורי ובשירותים הציבוריים, להביא ליעילות ולח</w:t>
      </w:r>
      <w:r>
        <w:rPr>
          <w:rFonts w:hint="cs"/>
          <w:rtl/>
        </w:rPr>
        <w:t>י</w:t>
      </w:r>
      <w:r w:rsidRPr="00F95439">
        <w:rPr>
          <w:rtl/>
        </w:rPr>
        <w:t>סכון בעבודת משרדי הממשלה, לשפר את השירות הממשלתי לציבור, לצמצם את הנטל הבירוקרטי ולקדם מדיניות של ממשל פתוח</w:t>
      </w:r>
      <w:r>
        <w:rPr>
          <w:rFonts w:hint="cs"/>
          <w:rtl/>
        </w:rPr>
        <w:t xml:space="preserve">. </w:t>
      </w:r>
    </w:p>
  </w:footnote>
  <w:footnote w:id="57">
    <w:p w:rsidR="00725ABE" w:rsidRPr="00E05B2E" w:rsidP="00B54F36" w14:paraId="2CA53AAE" w14:textId="77777777">
      <w:pPr>
        <w:pStyle w:val="FootnoteText"/>
        <w:spacing w:line="269" w:lineRule="auto"/>
        <w:ind w:left="707" w:right="0" w:hanging="707"/>
        <w:rPr>
          <w:rtl/>
        </w:rPr>
      </w:pPr>
      <w:r>
        <w:rPr>
          <w:rStyle w:val="FootnoteReference1"/>
        </w:rPr>
        <w:footnoteRef/>
      </w:r>
      <w:r>
        <w:rPr>
          <w:rtl/>
        </w:rPr>
        <w:t xml:space="preserve"> </w:t>
      </w:r>
      <w:r>
        <w:rPr>
          <w:rtl/>
        </w:rPr>
        <w:tab/>
      </w:r>
      <w:r>
        <w:rPr>
          <w:rFonts w:hint="cs"/>
          <w:rtl/>
        </w:rPr>
        <w:t>ה</w:t>
      </w:r>
      <w:r w:rsidRPr="00E05B2E">
        <w:rPr>
          <w:rtl/>
        </w:rPr>
        <w:t>שב"כ פעל מכוח החלטות הסמכה של ממשלת ישראל ומכוח חקיקה בשני סבבי הפעלה: סבב הפעלה ראשון מ-17.3.20 עד 8.6.20</w:t>
      </w:r>
      <w:r>
        <w:rPr>
          <w:rFonts w:hint="cs"/>
          <w:rtl/>
        </w:rPr>
        <w:t>, מכוח מספר החלטות ממשלה, שניתנו בזו אחר זו</w:t>
      </w:r>
      <w:r w:rsidRPr="00E05B2E">
        <w:rPr>
          <w:rtl/>
        </w:rPr>
        <w:t>; וסבב הפעלה שני, לאחר התגברות מחודשת של המגפה, מ-1.7.20 ואילך</w:t>
      </w:r>
      <w:r>
        <w:rPr>
          <w:rFonts w:hint="cs"/>
          <w:rtl/>
        </w:rPr>
        <w:t>, מכוח חקיקה. ב</w:t>
      </w:r>
      <w:r w:rsidRPr="00E05B2E">
        <w:rPr>
          <w:rtl/>
        </w:rPr>
        <w:t>-1.7.20 התקבל בכנסת חוק "הסמכת שירות הביטחון הכללי לסייע במאמץ הלאומי לצמצום התפשטות נגיף הקורונה החדש (הוראת שעה), התש"ף-2020".</w:t>
      </w:r>
      <w:r>
        <w:rPr>
          <w:rFonts w:hint="cs"/>
          <w:rtl/>
        </w:rPr>
        <w:t xml:space="preserve"> </w:t>
      </w:r>
      <w:r w:rsidRPr="00E05B2E">
        <w:rPr>
          <w:rtl/>
        </w:rPr>
        <w:t xml:space="preserve">ב-21.7.20 תוקן החוק האמור </w:t>
      </w:r>
      <w:r>
        <w:rPr>
          <w:rFonts w:hint="cs"/>
          <w:rtl/>
        </w:rPr>
        <w:t>ו</w:t>
      </w:r>
      <w:r w:rsidRPr="00E05B2E">
        <w:rPr>
          <w:rtl/>
        </w:rPr>
        <w:t>שמו שונה ל"חוק הסמכת שירות הביטחון הכללי לסייע במאמץ הלאומי לצמצום התפשטות נגיף הקורונה החדש וקידום השימוש בטכנולוגיה אזרחית לאיתור מי שהיו במגע קרוב עם חולים (הוראת שעה), התש"ף-2020"</w:t>
      </w:r>
      <w:r>
        <w:rPr>
          <w:rFonts w:hint="cs"/>
          <w:rtl/>
        </w:rPr>
        <w:t>.</w:t>
      </w:r>
    </w:p>
  </w:footnote>
  <w:footnote w:id="58">
    <w:p w:rsidR="00725ABE" w:rsidP="00B54F36" w14:paraId="59C8F2B0" w14:textId="252482B7">
      <w:pPr>
        <w:pStyle w:val="FootnoteText"/>
        <w:spacing w:line="269" w:lineRule="auto"/>
        <w:ind w:left="707" w:right="0" w:hanging="707"/>
        <w:rPr>
          <w:rtl/>
        </w:rPr>
      </w:pPr>
      <w:r>
        <w:rPr>
          <w:rStyle w:val="FootnoteReference1"/>
        </w:rPr>
        <w:footnoteRef/>
      </w:r>
      <w:r>
        <w:rPr>
          <w:rtl/>
        </w:rPr>
        <w:t xml:space="preserve"> </w:t>
      </w:r>
      <w:r>
        <w:rPr>
          <w:rtl/>
        </w:rPr>
        <w:tab/>
      </w:r>
      <w:r>
        <w:rPr>
          <w:rFonts w:hint="cs"/>
          <w:rtl/>
        </w:rPr>
        <w:t>מבקר המדינה, דוח ביניים מיוחד (2020), "הפעלת יכולות טכנולוגיות של שירות הביטחון הכללי לסיוע למשרד הבריאות בביצוע חקירות אפידמיולוגיות במאבק בקורונה",.</w:t>
      </w:r>
    </w:p>
  </w:footnote>
  <w:footnote w:id="59">
    <w:p w:rsidR="00725ABE" w:rsidP="00B54F36" w14:paraId="0D1333BD" w14:textId="77777777">
      <w:pPr>
        <w:pStyle w:val="FootnoteText"/>
        <w:spacing w:line="269" w:lineRule="auto"/>
        <w:ind w:left="707" w:right="0" w:hanging="707"/>
        <w:rPr>
          <w:rtl/>
        </w:rPr>
      </w:pPr>
      <w:r>
        <w:rPr>
          <w:rStyle w:val="FootnoteReference1"/>
        </w:rPr>
        <w:footnoteRef/>
      </w:r>
      <w:r>
        <w:rPr>
          <w:rtl/>
        </w:rPr>
        <w:t xml:space="preserve"> </w:t>
      </w:r>
      <w:r>
        <w:rPr>
          <w:rtl/>
        </w:rPr>
        <w:tab/>
      </w:r>
      <w:r>
        <w:rPr>
          <w:rFonts w:hint="cs"/>
          <w:rtl/>
        </w:rPr>
        <w:t>לאחר ששיחה עוברת את הנתב (ה-</w:t>
      </w:r>
      <w:r w:rsidRPr="008E19AB">
        <w:t>IVR</w:t>
      </w:r>
      <w:r>
        <w:rPr>
          <w:rFonts w:hint="cs"/>
          <w:rtl/>
        </w:rPr>
        <w:t>) היא מועברת</w:t>
      </w:r>
      <w:r w:rsidRPr="008E19AB">
        <w:rPr>
          <w:rtl/>
        </w:rPr>
        <w:t xml:space="preserve"> לשרתי התורים </w:t>
      </w:r>
      <w:r>
        <w:rPr>
          <w:rFonts w:hint="cs"/>
          <w:rtl/>
        </w:rPr>
        <w:t>הטלפוניים. לשרתים אלו יש מ</w:t>
      </w:r>
      <w:r w:rsidRPr="008E19AB">
        <w:rPr>
          <w:rtl/>
        </w:rPr>
        <w:t xml:space="preserve">גבלת מקסימום שיחות ממתינות בתור </w:t>
      </w:r>
      <w:r>
        <w:rPr>
          <w:rFonts w:hint="cs"/>
          <w:rtl/>
        </w:rPr>
        <w:t>שהוגדרו על ידי המשרד הרלוונטי עם ספק התשתית.</w:t>
      </w:r>
    </w:p>
  </w:footnote>
  <w:footnote w:id="60">
    <w:p w:rsidR="00725ABE" w:rsidP="00B54F36" w14:paraId="34B49F6B" w14:textId="77777777">
      <w:pPr>
        <w:pStyle w:val="FootnoteText"/>
        <w:spacing w:line="269" w:lineRule="auto"/>
        <w:ind w:left="720" w:right="-142" w:hanging="720"/>
        <w:rPr>
          <w:rtl/>
        </w:rPr>
      </w:pPr>
      <w:r>
        <w:rPr>
          <w:rStyle w:val="FootnoteReference1"/>
        </w:rPr>
        <w:footnoteRef/>
      </w:r>
      <w:r>
        <w:rPr>
          <w:rtl/>
        </w:rPr>
        <w:t xml:space="preserve"> </w:t>
      </w:r>
      <w:r>
        <w:rPr>
          <w:rtl/>
        </w:rPr>
        <w:tab/>
      </w:r>
      <w:r>
        <w:rPr>
          <w:rFonts w:hint="cs"/>
          <w:rtl/>
        </w:rPr>
        <w:t>מוקד משרד הבריאות ומוקד פקע"ר פועלים כל ימות השבוע, 24 שעות ביממה. מוקד המידע של המשטרה פועל בדרך כלל בימי ראשון עד חמישי, בין 8:00 - 22:00, בימי שישי בין 8:00 - 14:00 ובשבת בין 18:00 - 22:00. לעיתים, בהתאם להערכות, שעות הפעילות ארוכות יותר.</w:t>
      </w:r>
    </w:p>
  </w:footnote>
  <w:footnote w:id="61">
    <w:p w:rsidR="00725ABE" w:rsidP="00B54F36" w14:paraId="1054A9D6" w14:textId="77777777">
      <w:pPr>
        <w:pStyle w:val="FootnoteText"/>
        <w:spacing w:line="269" w:lineRule="auto"/>
        <w:ind w:right="-142"/>
        <w:rPr>
          <w:rtl/>
        </w:rPr>
      </w:pPr>
      <w:r>
        <w:rPr>
          <w:rStyle w:val="FootnoteReference1"/>
        </w:rPr>
        <w:footnoteRef/>
      </w:r>
      <w:r>
        <w:rPr>
          <w:rtl/>
        </w:rPr>
        <w:t xml:space="preserve"> </w:t>
      </w:r>
      <w:r>
        <w:rPr>
          <w:rtl/>
        </w:rPr>
        <w:tab/>
      </w:r>
      <w:r>
        <w:rPr>
          <w:rFonts w:hint="cs"/>
          <w:rtl/>
        </w:rPr>
        <w:t>לפיקוד העורף יש נתונים מיום 23.4.20.</w:t>
      </w:r>
    </w:p>
  </w:footnote>
  <w:footnote w:id="62">
    <w:p w:rsidR="00725ABE" w:rsidP="00B54F36" w14:paraId="1B0421AE" w14:textId="77777777">
      <w:pPr>
        <w:pStyle w:val="FootnoteText"/>
        <w:spacing w:line="269" w:lineRule="auto"/>
        <w:ind w:left="707" w:right="0" w:hanging="707"/>
        <w:rPr>
          <w:rtl/>
        </w:rPr>
      </w:pPr>
      <w:r>
        <w:rPr>
          <w:rStyle w:val="FootnoteReference1"/>
        </w:rPr>
        <w:footnoteRef/>
      </w:r>
      <w:r>
        <w:rPr>
          <w:rtl/>
        </w:rPr>
        <w:t xml:space="preserve"> </w:t>
      </w:r>
      <w:r>
        <w:rPr>
          <w:rtl/>
        </w:rPr>
        <w:tab/>
      </w:r>
      <w:r>
        <w:rPr>
          <w:rFonts w:hint="cs"/>
          <w:rtl/>
        </w:rPr>
        <w:t>על סמך מחקר איכותני שביצעה היחידה לשיפור השירות הממשלתי בשנת 2018.</w:t>
      </w:r>
      <w:r w:rsidRPr="00A86C0A">
        <w:rPr>
          <w:rtl/>
        </w:rPr>
        <w:t xml:space="preserve"> </w:t>
      </w:r>
    </w:p>
  </w:footnote>
  <w:footnote w:id="63">
    <w:p w:rsidR="00725ABE" w:rsidP="00B54F36" w14:paraId="088CC6C3" w14:textId="77777777">
      <w:pPr>
        <w:pStyle w:val="FootnoteText"/>
        <w:spacing w:line="269" w:lineRule="auto"/>
        <w:ind w:left="707" w:right="0" w:hanging="707"/>
        <w:rPr>
          <w:rtl/>
        </w:rPr>
      </w:pPr>
      <w:r>
        <w:rPr>
          <w:rStyle w:val="FootnoteReference1"/>
        </w:rPr>
        <w:footnoteRef/>
      </w:r>
      <w:r>
        <w:rPr>
          <w:rtl/>
        </w:rPr>
        <w:t xml:space="preserve"> </w:t>
      </w:r>
      <w:r>
        <w:rPr>
          <w:rtl/>
        </w:rPr>
        <w:tab/>
      </w:r>
      <w:r>
        <w:rPr>
          <w:rFonts w:hint="cs"/>
          <w:rtl/>
        </w:rPr>
        <w:t>השאלות הנוגעות למידת שביעות הרצון הופנו רק למשיבים על השאלונים שבסקר שציינו כי פנו למוקדים הטלפוניים.</w:t>
      </w:r>
    </w:p>
  </w:footnote>
  <w:footnote w:id="64">
    <w:p w:rsidR="00725ABE" w:rsidP="00B54F36" w14:paraId="1BB1E34F" w14:textId="77777777">
      <w:pPr>
        <w:pStyle w:val="FootnoteText"/>
        <w:tabs>
          <w:tab w:val="left" w:pos="8220"/>
        </w:tabs>
        <w:spacing w:line="269" w:lineRule="auto"/>
        <w:ind w:left="707" w:right="0" w:hanging="709"/>
        <w:rPr>
          <w:rtl/>
        </w:rPr>
      </w:pPr>
      <w:r>
        <w:rPr>
          <w:rStyle w:val="FootnoteReference1"/>
        </w:rPr>
        <w:footnoteRef/>
      </w:r>
      <w:r>
        <w:rPr>
          <w:rtl/>
        </w:rPr>
        <w:t xml:space="preserve"> </w:t>
      </w:r>
      <w:r>
        <w:rPr>
          <w:rtl/>
        </w:rPr>
        <w:tab/>
      </w:r>
      <w:r>
        <w:rPr>
          <w:rFonts w:hint="cs"/>
          <w:rtl/>
        </w:rPr>
        <w:t>הנתונים של משרד הבריאות והמשטרה מחושבים מיום 10.3.20 עד 31.3.20, והנתונים של פקע"ר מחושבים מיום 19.3.20 עד 31.3.20.</w:t>
      </w:r>
    </w:p>
  </w:footnote>
  <w:footnote w:id="65">
    <w:p w:rsidR="00725ABE" w:rsidP="00B54F36" w14:paraId="126A1795" w14:textId="77777777">
      <w:pPr>
        <w:pStyle w:val="FootnoteText"/>
        <w:spacing w:line="269" w:lineRule="auto"/>
        <w:ind w:left="720" w:right="0" w:hanging="720"/>
      </w:pPr>
      <w:r>
        <w:rPr>
          <w:rStyle w:val="FootnoteReference1"/>
        </w:rPr>
        <w:footnoteRef/>
      </w:r>
      <w:r>
        <w:rPr>
          <w:rtl/>
        </w:rPr>
        <w:t xml:space="preserve"> </w:t>
      </w:r>
      <w:r>
        <w:rPr>
          <w:rtl/>
        </w:rPr>
        <w:tab/>
      </w:r>
      <w:r w:rsidRPr="00CF5E3A">
        <w:rPr>
          <w:rtl/>
        </w:rPr>
        <w:t>השב"כ פעל מכוח החלטות הסמכה של ממשלת ישראל ומכוח חקיקה בשני סבבי הפעלה: סבב הפעלה ראשון מ-17.3.20 עד 8.6.20, מכוח החלטות ממשלה; וסבב הפעלה שני, לאחר התגברות מחודשת של המגפה, מ-1.7.20 ואילך, מכוח חקיקה</w:t>
      </w:r>
      <w:r>
        <w:rPr>
          <w:rFonts w:hint="cs"/>
          <w:rtl/>
        </w:rPr>
        <w:t>.</w:t>
      </w:r>
    </w:p>
  </w:footnote>
  <w:footnote w:id="66">
    <w:p w:rsidR="00725ABE" w:rsidP="00B54F36" w14:paraId="3939EDC7" w14:textId="77777777">
      <w:pPr>
        <w:pStyle w:val="FootnoteText"/>
        <w:spacing w:line="269" w:lineRule="auto"/>
        <w:ind w:left="720" w:right="0" w:hanging="720"/>
        <w:rPr>
          <w:rtl/>
        </w:rPr>
      </w:pPr>
      <w:r>
        <w:rPr>
          <w:rStyle w:val="FootnoteReference1"/>
        </w:rPr>
        <w:footnoteRef/>
      </w:r>
      <w:r>
        <w:rPr>
          <w:rtl/>
        </w:rPr>
        <w:t xml:space="preserve"> </w:t>
      </w:r>
      <w:r>
        <w:rPr>
          <w:rtl/>
        </w:rPr>
        <w:tab/>
      </w:r>
      <w:r>
        <w:rPr>
          <w:rFonts w:hint="cs"/>
          <w:rtl/>
        </w:rPr>
        <w:t>ראו גם המכון הישראלי לדמוקרטיה, שנתון החברה החרדית בישראל (2019), עמ' 9.</w:t>
      </w:r>
    </w:p>
  </w:footnote>
  <w:footnote w:id="67">
    <w:p w:rsidR="00725ABE" w:rsidP="00B54F36" w14:paraId="7E63B013" w14:textId="77777777">
      <w:pPr>
        <w:pStyle w:val="FootnoteText"/>
        <w:spacing w:line="269" w:lineRule="auto"/>
        <w:ind w:left="720" w:right="0" w:hanging="720"/>
        <w:rPr>
          <w:rtl/>
        </w:rPr>
      </w:pPr>
      <w:r>
        <w:rPr>
          <w:rStyle w:val="FootnoteReference1"/>
        </w:rPr>
        <w:footnoteRef/>
      </w:r>
      <w:r>
        <w:rPr>
          <w:rtl/>
        </w:rPr>
        <w:t xml:space="preserve"> </w:t>
      </w:r>
      <w:r>
        <w:rPr>
          <w:rtl/>
        </w:rPr>
        <w:tab/>
      </w:r>
      <w:r>
        <w:rPr>
          <w:rFonts w:hint="cs"/>
          <w:rtl/>
        </w:rPr>
        <w:t>הדוח עסק בדרכים ליציאה מהסגר השני ולהימנעות מסגר שלישי והציע מעבר למודל טיפול דיפרנציאלי באמצעות איתור מראש של מוקדי תחלואה בישראל, תוך שימוש במדדי צפיפות ומאפיינים דמוגרפיים, כלכליים וחברתיים נוספים, לצד המשתנים האפידמיולוגיים. בראש הוועדה עמדה המשנה ליו"ר המכון החרדי למחקרי מדיניות, ובין חבריה היו נציגים של משרדי הממשלה, לרבות משרד הבריאות.</w:t>
      </w:r>
    </w:p>
  </w:footnote>
  <w:footnote w:id="68">
    <w:p w:rsidR="00725ABE" w:rsidP="00B54F36" w14:paraId="5166CAD4" w14:textId="77777777">
      <w:pPr>
        <w:pStyle w:val="FootnoteText"/>
        <w:spacing w:line="269" w:lineRule="auto"/>
      </w:pPr>
      <w:r>
        <w:rPr>
          <w:rStyle w:val="FootnoteReference1"/>
        </w:rPr>
        <w:footnoteRef/>
      </w:r>
      <w:r>
        <w:rPr>
          <w:rtl/>
        </w:rPr>
        <w:t xml:space="preserve"> </w:t>
      </w:r>
      <w:r>
        <w:rPr>
          <w:rtl/>
        </w:rPr>
        <w:tab/>
      </w:r>
      <w:r>
        <w:rPr>
          <w:rFonts w:hint="cs"/>
          <w:rtl/>
        </w:rPr>
        <w:t>בין השאר על פי תכנית "נחשול בריא" והמדריך לגופים ציבוריים.</w:t>
      </w:r>
    </w:p>
  </w:footnote>
  <w:footnote w:id="69">
    <w:p w:rsidR="00725ABE" w:rsidP="00B54F36" w14:paraId="6F7FFFA7" w14:textId="77777777">
      <w:pPr>
        <w:pStyle w:val="FootnoteText"/>
        <w:spacing w:line="269" w:lineRule="auto"/>
        <w:ind w:left="720" w:right="0" w:hanging="720"/>
        <w:rPr>
          <w:rtl/>
        </w:rPr>
      </w:pPr>
      <w:r>
        <w:rPr>
          <w:rStyle w:val="FootnoteReference1"/>
        </w:rPr>
        <w:footnoteRef/>
      </w:r>
      <w:r>
        <w:rPr>
          <w:rtl/>
        </w:rPr>
        <w:t xml:space="preserve"> </w:t>
      </w:r>
      <w:r>
        <w:rPr>
          <w:rtl/>
        </w:rPr>
        <w:tab/>
      </w:r>
      <w:r>
        <w:rPr>
          <w:rFonts w:hint="cs"/>
          <w:rtl/>
        </w:rPr>
        <w:t xml:space="preserve">ההנחה היא כי החברה הערבית והחברה החרדית נחשפו באופן חלקי גם להסברה המיועדת "לחברה היהודית הכללית". עם זאת, הסברה זו לא הותאמה במידה מספקת בהיבטי שפה, תוכן ואמצעי תקשורת ולפיכך לא הגיעה לאוכלוסיות הייחודיות בהיקף הדומה לחברה היהודית הכללית, וגורמי ההסברה זיהו פערי מידע באוכלוסיות הייחודיות - כפי שפורט לעיל. </w:t>
      </w:r>
    </w:p>
  </w:footnote>
  <w:footnote w:id="70">
    <w:p w:rsidR="00725ABE" w:rsidP="00B54F36" w14:paraId="1C7FA54D" w14:textId="77777777">
      <w:pPr>
        <w:pStyle w:val="FootnoteText"/>
        <w:spacing w:line="269" w:lineRule="auto"/>
        <w:ind w:left="707" w:right="0" w:hanging="707"/>
        <w:rPr>
          <w:rtl/>
        </w:rPr>
      </w:pPr>
      <w:r>
        <w:rPr>
          <w:rStyle w:val="FootnoteReference1"/>
        </w:rPr>
        <w:footnoteRef/>
      </w:r>
      <w:r>
        <w:rPr>
          <w:rtl/>
        </w:rPr>
        <w:t xml:space="preserve"> </w:t>
      </w:r>
      <w:r>
        <w:rPr>
          <w:rtl/>
        </w:rPr>
        <w:tab/>
      </w:r>
      <w:r w:rsidRPr="00B5023A">
        <w:rPr>
          <w:rtl/>
        </w:rPr>
        <w:t xml:space="preserve">יצוין כי החל מחודש מרץ 2020, הפיץ גם פקע"ר </w:t>
      </w:r>
      <w:r>
        <w:rPr>
          <w:rFonts w:hint="cs"/>
          <w:rtl/>
        </w:rPr>
        <w:t>מסעות פרסום</w:t>
      </w:r>
      <w:r w:rsidRPr="00B5023A">
        <w:rPr>
          <w:rtl/>
        </w:rPr>
        <w:t xml:space="preserve"> בנושא משבר הקורונה, בסכום כולל של כ-22 מיליון ש"ח</w:t>
      </w:r>
      <w:r>
        <w:rPr>
          <w:rFonts w:hint="cs"/>
          <w:rtl/>
        </w:rPr>
        <w:t xml:space="preserve">, </w:t>
      </w:r>
      <w:r w:rsidRPr="00B5023A">
        <w:rPr>
          <w:rFonts w:hint="eastAsia"/>
          <w:rtl/>
        </w:rPr>
        <w:t>לרבות</w:t>
      </w:r>
      <w:r w:rsidRPr="00B5023A">
        <w:rPr>
          <w:rtl/>
        </w:rPr>
        <w:t xml:space="preserve"> </w:t>
      </w:r>
      <w:r>
        <w:rPr>
          <w:rFonts w:hint="cs"/>
          <w:rtl/>
        </w:rPr>
        <w:t>מסעות פרסום</w:t>
      </w:r>
      <w:r w:rsidRPr="00B5023A">
        <w:rPr>
          <w:rtl/>
        </w:rPr>
        <w:t xml:space="preserve"> </w:t>
      </w:r>
      <w:r w:rsidRPr="00B5023A">
        <w:rPr>
          <w:rFonts w:hint="eastAsia"/>
          <w:rtl/>
        </w:rPr>
        <w:t>לחברה</w:t>
      </w:r>
      <w:r w:rsidRPr="00B5023A">
        <w:rPr>
          <w:rtl/>
        </w:rPr>
        <w:t xml:space="preserve"> </w:t>
      </w:r>
      <w:r w:rsidRPr="00B5023A">
        <w:rPr>
          <w:rFonts w:hint="eastAsia"/>
          <w:rtl/>
        </w:rPr>
        <w:t>הערבית</w:t>
      </w:r>
      <w:r w:rsidRPr="00B5023A">
        <w:rPr>
          <w:rtl/>
        </w:rPr>
        <w:t xml:space="preserve"> </w:t>
      </w:r>
      <w:r w:rsidRPr="00B5023A">
        <w:rPr>
          <w:rFonts w:hint="eastAsia"/>
          <w:rtl/>
        </w:rPr>
        <w:t>ולחברה</w:t>
      </w:r>
      <w:r w:rsidRPr="00B5023A">
        <w:rPr>
          <w:rtl/>
        </w:rPr>
        <w:t xml:space="preserve"> </w:t>
      </w:r>
      <w:r w:rsidRPr="00B5023A">
        <w:rPr>
          <w:rFonts w:hint="eastAsia"/>
          <w:rtl/>
        </w:rPr>
        <w:t>החרדית</w:t>
      </w:r>
      <w:r w:rsidRPr="00B5023A">
        <w:rPr>
          <w:rtl/>
        </w:rPr>
        <w:t xml:space="preserve"> ובהעדר פילוח לפי מגזרים נתונים אלו אינם כלולים בפרק זה.</w:t>
      </w:r>
    </w:p>
  </w:footnote>
  <w:footnote w:id="71">
    <w:p w:rsidR="00725ABE" w:rsidP="00B54F36" w14:paraId="67F549B8" w14:textId="77777777">
      <w:pPr>
        <w:pStyle w:val="FootnoteText"/>
        <w:spacing w:line="269" w:lineRule="auto"/>
        <w:ind w:left="707" w:right="0" w:hanging="707"/>
      </w:pPr>
      <w:r>
        <w:rPr>
          <w:rStyle w:val="FootnoteReference1"/>
        </w:rPr>
        <w:footnoteRef/>
      </w:r>
      <w:r>
        <w:rPr>
          <w:rtl/>
        </w:rPr>
        <w:t xml:space="preserve"> </w:t>
      </w:r>
      <w:r>
        <w:rPr>
          <w:rtl/>
        </w:rPr>
        <w:tab/>
      </w:r>
      <w:r>
        <w:rPr>
          <w:rFonts w:hint="cs"/>
          <w:rtl/>
        </w:rPr>
        <w:t>הנתונים: מס' נפשות לחדר בממוצע בקרב הציבור הכללי - 0.78, הציבור הערבי - 1.38, הציבור החרדי - 1.42.</w:t>
      </w:r>
    </w:p>
  </w:footnote>
  <w:footnote w:id="72">
    <w:p w:rsidR="00725ABE" w:rsidP="00B54F36" w14:paraId="481A1460" w14:textId="132EE8A2">
      <w:pPr>
        <w:pStyle w:val="FootnoteText"/>
        <w:spacing w:line="269" w:lineRule="auto"/>
        <w:ind w:left="707" w:right="0" w:hanging="707"/>
        <w:rPr>
          <w:rtl/>
        </w:rPr>
      </w:pPr>
      <w:r>
        <w:rPr>
          <w:rStyle w:val="FootnoteReference1"/>
        </w:rPr>
        <w:footnoteRef/>
      </w:r>
      <w:r>
        <w:rPr>
          <w:rtl/>
        </w:rPr>
        <w:t xml:space="preserve"> </w:t>
      </w:r>
      <w:r>
        <w:rPr>
          <w:rtl/>
        </w:rPr>
        <w:tab/>
      </w:r>
      <w:r>
        <w:rPr>
          <w:rFonts w:hint="cs"/>
          <w:rtl/>
        </w:rPr>
        <w:t xml:space="preserve">ראו גם מבקר המדינה, </w:t>
      </w:r>
      <w:r>
        <w:rPr>
          <w:rFonts w:hint="cs"/>
          <w:b/>
          <w:bCs/>
          <w:rtl/>
        </w:rPr>
        <w:t>התמודדות מדינת ישראל עם משבר הקורונה - דוח ביניים מיוחד</w:t>
      </w:r>
      <w:r>
        <w:rPr>
          <w:rFonts w:hint="cs"/>
          <w:rtl/>
        </w:rPr>
        <w:t xml:space="preserve"> (2020), "תשתיות מחשוב ללמידה מרחוק ומרחבי למידה חלופיים בתקופת משבר הקורונה - ממצאי ביניים".</w:t>
      </w:r>
    </w:p>
  </w:footnote>
  <w:footnote w:id="73">
    <w:p w:rsidR="00725ABE" w:rsidRPr="00166364" w:rsidP="00B54F36" w14:paraId="2B8C7C5F" w14:textId="77777777">
      <w:pPr>
        <w:pStyle w:val="FootnoteText"/>
        <w:spacing w:line="269" w:lineRule="auto"/>
        <w:ind w:left="720" w:right="0" w:hanging="720"/>
        <w:rPr>
          <w:rtl/>
        </w:rPr>
      </w:pPr>
      <w:r w:rsidRPr="0092532A">
        <w:rPr>
          <w:rStyle w:val="FootnoteReference1"/>
        </w:rPr>
        <w:footnoteRef/>
      </w:r>
      <w:r w:rsidRPr="0092532A">
        <w:rPr>
          <w:rtl/>
        </w:rPr>
        <w:t xml:space="preserve"> </w:t>
      </w:r>
      <w:r w:rsidRPr="0092532A">
        <w:rPr>
          <w:rtl/>
        </w:rPr>
        <w:tab/>
      </w:r>
      <w:r w:rsidRPr="0092532A">
        <w:rPr>
          <w:rFonts w:hint="cs"/>
          <w:rtl/>
        </w:rPr>
        <w:t>בקרב המשיבים על סקר משרד מבקר המדינה שהסכימו מאוד עם ההיגד וסברו כי הקורונה מאיימת במידה פחותה, לא נמצא פער מהותי בין משיבים מן הציבור הליטאי (20%) ובין משיבים המשתייכים לזרמים אחרים בחברה החרדית (21% עד 25%). שיעורים אלה גבוהים בהשוואה לחברה היהודית הכללית (11%).</w:t>
      </w:r>
    </w:p>
  </w:footnote>
  <w:footnote w:id="74">
    <w:p w:rsidR="00725ABE" w:rsidP="00B54F36" w14:paraId="478C05A7" w14:textId="77777777">
      <w:pPr>
        <w:pStyle w:val="FootnoteText"/>
        <w:spacing w:line="269" w:lineRule="auto"/>
        <w:rPr>
          <w:rtl/>
        </w:rPr>
      </w:pPr>
      <w:r>
        <w:rPr>
          <w:rStyle w:val="FootnoteReference1"/>
        </w:rPr>
        <w:footnoteRef/>
      </w:r>
      <w:r>
        <w:rPr>
          <w:rtl/>
        </w:rPr>
        <w:t xml:space="preserve"> </w:t>
      </w:r>
      <w:r>
        <w:rPr>
          <w:rtl/>
        </w:rPr>
        <w:tab/>
      </w:r>
      <w:r>
        <w:rPr>
          <w:rFonts w:hint="cs"/>
          <w:rtl/>
        </w:rPr>
        <w:t>החלטת הממשלה 182 (5.7.20).</w:t>
      </w:r>
    </w:p>
  </w:footnote>
  <w:footnote w:id="75">
    <w:p w:rsidR="00725ABE" w:rsidP="00B54F36" w14:paraId="61C1B9E6" w14:textId="77777777">
      <w:pPr>
        <w:pStyle w:val="FootnoteText"/>
        <w:spacing w:line="269" w:lineRule="auto"/>
        <w:rPr>
          <w:rtl/>
        </w:rPr>
      </w:pPr>
      <w:r>
        <w:rPr>
          <w:rStyle w:val="FootnoteReference1"/>
        </w:rPr>
        <w:footnoteRef/>
      </w:r>
      <w:r>
        <w:rPr>
          <w:rtl/>
        </w:rPr>
        <w:t xml:space="preserve"> </w:t>
      </w:r>
      <w:r>
        <w:rPr>
          <w:rtl/>
        </w:rPr>
        <w:tab/>
      </w:r>
      <w:r>
        <w:rPr>
          <w:rFonts w:hint="cs"/>
          <w:rtl/>
        </w:rPr>
        <w:t>החלטת הממשלה 620 (6.12.20).</w:t>
      </w:r>
    </w:p>
  </w:footnote>
  <w:footnote w:id="76">
    <w:p w:rsidR="00725ABE" w:rsidRPr="00CA2B30" w:rsidP="00B54F36" w14:paraId="60058B6A" w14:textId="1DA53564">
      <w:pPr>
        <w:pStyle w:val="FootnoteText"/>
        <w:spacing w:line="269" w:lineRule="auto"/>
        <w:ind w:left="707" w:right="0" w:hanging="707"/>
        <w:rPr>
          <w:rtl/>
        </w:rPr>
      </w:pPr>
      <w:r>
        <w:rPr>
          <w:rStyle w:val="FootnoteReference1"/>
        </w:rPr>
        <w:footnoteRef/>
      </w:r>
      <w:r>
        <w:rPr>
          <w:rtl/>
        </w:rPr>
        <w:t xml:space="preserve"> </w:t>
      </w:r>
      <w:r>
        <w:rPr>
          <w:rtl/>
        </w:rPr>
        <w:tab/>
      </w:r>
      <w:r>
        <w:t>World Health Organization,</w:t>
      </w:r>
      <w:r w:rsidRPr="00CA2B30">
        <w:t xml:space="preserve"> </w:t>
      </w:r>
      <w:r>
        <w:t>Coronavirus disease 2019 (COVID-19)</w:t>
      </w:r>
      <w:r w:rsidRPr="00CA2B30">
        <w:t xml:space="preserve"> Situation Report</w:t>
      </w:r>
      <w:r>
        <w:t xml:space="preserve"> 86, </w:t>
      </w:r>
      <w:r w:rsidRPr="00CA2B30">
        <w:t>SUBJECT IN FOCUS: providing timely and accurate information to dispel the ‘infodemic’</w:t>
      </w:r>
      <w:r>
        <w:t>, 15.4.20.</w:t>
      </w:r>
    </w:p>
  </w:footnote>
  <w:footnote w:id="77">
    <w:p w:rsidR="00725ABE" w:rsidP="00B54F36" w14:paraId="4FC239B3" w14:textId="77777777">
      <w:pPr>
        <w:pStyle w:val="FootnoteText"/>
        <w:spacing w:line="269" w:lineRule="auto"/>
        <w:rPr>
          <w:rtl/>
        </w:rPr>
      </w:pPr>
      <w:r>
        <w:rPr>
          <w:rStyle w:val="FootnoteReference1"/>
        </w:rPr>
        <w:footnoteRef/>
      </w:r>
      <w:r>
        <w:rPr>
          <w:rtl/>
        </w:rPr>
        <w:t xml:space="preserve"> </w:t>
      </w:r>
      <w:r>
        <w:rPr>
          <w:rtl/>
        </w:rPr>
        <w:tab/>
      </w:r>
      <w:r>
        <w:rPr>
          <w:rFonts w:hint="cs"/>
          <w:rtl/>
        </w:rPr>
        <w:t>המכון למחקרי ביטחון לאומי, "</w:t>
      </w:r>
      <w:r w:rsidRPr="005F3C1D">
        <w:rPr>
          <w:rtl/>
        </w:rPr>
        <w:t>קונספירציית הקורונה - נשק ביולוגי או תרופות פלא</w:t>
      </w:r>
      <w:r>
        <w:rPr>
          <w:rFonts w:hint="cs"/>
          <w:rtl/>
        </w:rPr>
        <w:t>" (17.3.20).</w:t>
      </w:r>
    </w:p>
  </w:footnote>
  <w:footnote w:id="78">
    <w:p w:rsidR="00725ABE" w:rsidP="00B54F36" w14:paraId="692C59D9" w14:textId="77777777">
      <w:pPr>
        <w:pStyle w:val="FootnoteText"/>
        <w:spacing w:line="269" w:lineRule="auto"/>
        <w:rPr>
          <w:rtl/>
        </w:rPr>
      </w:pPr>
      <w:r>
        <w:rPr>
          <w:rStyle w:val="FootnoteReference1"/>
        </w:rPr>
        <w:footnoteRef/>
      </w:r>
      <w:r>
        <w:rPr>
          <w:rtl/>
        </w:rPr>
        <w:t xml:space="preserve"> </w:t>
      </w:r>
      <w:r>
        <w:rPr>
          <w:rtl/>
        </w:rPr>
        <w:tab/>
      </w:r>
      <w:r>
        <w:rPr>
          <w:rFonts w:hint="cs"/>
          <w:rtl/>
        </w:rPr>
        <w:t>שם.</w:t>
      </w:r>
    </w:p>
  </w:footnote>
  <w:footnote w:id="79">
    <w:p w:rsidR="00725ABE" w:rsidP="00B54F36" w14:paraId="657FC128" w14:textId="701DCB51">
      <w:pPr>
        <w:pStyle w:val="FootnoteText"/>
        <w:spacing w:line="269" w:lineRule="auto"/>
        <w:rPr>
          <w:rtl/>
        </w:rPr>
      </w:pPr>
      <w:r>
        <w:rPr>
          <w:rStyle w:val="FootnoteReference1"/>
        </w:rPr>
        <w:footnoteRef/>
      </w:r>
      <w:r>
        <w:rPr>
          <w:rtl/>
        </w:rPr>
        <w:t xml:space="preserve"> </w:t>
      </w:r>
      <w:r>
        <w:rPr>
          <w:rtl/>
        </w:rPr>
        <w:tab/>
      </w:r>
      <w:r>
        <w:rPr>
          <w:rFonts w:hint="cs"/>
          <w:rtl/>
        </w:rPr>
        <w:t>עמ' 2 ,</w:t>
      </w:r>
      <w:r>
        <w:t>Combatting COVID-19 disinformation on online platforms"</w:t>
      </w:r>
      <w:r>
        <w:rPr>
          <w:rFonts w:hint="cs"/>
          <w:rtl/>
        </w:rPr>
        <w:t>"</w:t>
      </w:r>
      <w:r>
        <w:t>,</w:t>
      </w:r>
      <w:r>
        <w:rPr>
          <w:rFonts w:hint="cs"/>
          <w:rtl/>
        </w:rPr>
        <w:t xml:space="preserve"> </w:t>
      </w:r>
      <w:r>
        <w:t>OECD</w:t>
      </w:r>
      <w:r>
        <w:rPr>
          <w:rFonts w:hint="cs"/>
          <w:rtl/>
        </w:rPr>
        <w:t>.</w:t>
      </w:r>
    </w:p>
  </w:footnote>
  <w:footnote w:id="80">
    <w:p w:rsidR="00725ABE" w:rsidP="00B54F36" w14:paraId="712207E0" w14:textId="77777777">
      <w:pPr>
        <w:pStyle w:val="FootnoteText"/>
        <w:spacing w:line="269" w:lineRule="auto"/>
        <w:rPr>
          <w:rtl/>
        </w:rPr>
      </w:pPr>
      <w:r>
        <w:rPr>
          <w:rStyle w:val="FootnoteReference1"/>
        </w:rPr>
        <w:footnoteRef/>
      </w:r>
      <w:r>
        <w:rPr>
          <w:rtl/>
        </w:rPr>
        <w:t xml:space="preserve"> </w:t>
      </w:r>
      <w:r>
        <w:rPr>
          <w:rtl/>
        </w:rPr>
        <w:tab/>
      </w:r>
      <w:r>
        <w:rPr>
          <w:rFonts w:hint="cs"/>
          <w:rtl/>
        </w:rPr>
        <w:t xml:space="preserve">בזק, "דוח האינטרנט 2020", עמ' 36. </w:t>
      </w:r>
    </w:p>
  </w:footnote>
  <w:footnote w:id="81">
    <w:p w:rsidR="00725ABE" w:rsidP="00B54F36" w14:paraId="41950F3E" w14:textId="77777777">
      <w:pPr>
        <w:pStyle w:val="FootnoteText"/>
        <w:spacing w:line="269" w:lineRule="auto"/>
        <w:rPr>
          <w:rtl/>
        </w:rPr>
      </w:pPr>
      <w:r>
        <w:rPr>
          <w:rStyle w:val="FootnoteReference1"/>
        </w:rPr>
        <w:footnoteRef/>
      </w:r>
      <w:r>
        <w:rPr>
          <w:rtl/>
        </w:rPr>
        <w:t xml:space="preserve"> </w:t>
      </w:r>
      <w:r>
        <w:rPr>
          <w:rtl/>
        </w:rPr>
        <w:tab/>
      </w:r>
      <w:r w:rsidRPr="006574FE">
        <w:rPr>
          <w:rtl/>
        </w:rPr>
        <w:t xml:space="preserve">המכון למחקרי ביטחון לאומי, "קונספירציית הקורונה - נשק ביולוגי או תרופות פלא" </w:t>
      </w:r>
      <w:r>
        <w:rPr>
          <w:rFonts w:hint="cs"/>
          <w:rtl/>
        </w:rPr>
        <w:t>(</w:t>
      </w:r>
      <w:r w:rsidRPr="006574FE">
        <w:rPr>
          <w:rtl/>
        </w:rPr>
        <w:t>17.3.20</w:t>
      </w:r>
      <w:r>
        <w:rPr>
          <w:rFonts w:hint="cs"/>
          <w:rtl/>
        </w:rPr>
        <w:t>)</w:t>
      </w:r>
      <w:r w:rsidRPr="006574FE">
        <w:rPr>
          <w:rtl/>
        </w:rPr>
        <w:t>.</w:t>
      </w:r>
    </w:p>
  </w:footnote>
  <w:footnote w:id="82">
    <w:p w:rsidR="00725ABE" w:rsidP="00B54F36" w14:paraId="0E768289" w14:textId="77777777">
      <w:pPr>
        <w:pStyle w:val="FootnoteText"/>
        <w:spacing w:line="269" w:lineRule="auto"/>
        <w:rPr>
          <w:rtl/>
        </w:rPr>
      </w:pPr>
      <w:r>
        <w:rPr>
          <w:rStyle w:val="FootnoteReference1"/>
        </w:rPr>
        <w:footnoteRef/>
      </w:r>
      <w:r>
        <w:rPr>
          <w:rtl/>
        </w:rPr>
        <w:t xml:space="preserve"> </w:t>
      </w:r>
      <w:r>
        <w:rPr>
          <w:rtl/>
        </w:rPr>
        <w:tab/>
      </w:r>
      <w:r>
        <w:rPr>
          <w:rFonts w:hint="cs"/>
          <w:rtl/>
        </w:rPr>
        <w:t xml:space="preserve">צה"ל </w:t>
      </w:r>
      <w:r>
        <w:rPr>
          <w:rtl/>
        </w:rPr>
        <w:t>מערכות עורף</w:t>
      </w:r>
      <w:r>
        <w:rPr>
          <w:rFonts w:hint="cs"/>
          <w:rtl/>
        </w:rPr>
        <w:t xml:space="preserve">, </w:t>
      </w:r>
      <w:r>
        <w:rPr>
          <w:rtl/>
        </w:rPr>
        <w:t>"מה מתפשט מהר יותר: וירוס הקורונה או פייק ניו</w:t>
      </w:r>
      <w:r w:rsidRPr="00881D13">
        <w:rPr>
          <w:rtl/>
        </w:rPr>
        <w:t>ז</w:t>
      </w:r>
      <w:r w:rsidRPr="00E146CC">
        <w:rPr>
          <w:rtl/>
        </w:rPr>
        <w:t>?"</w:t>
      </w:r>
      <w:r>
        <w:rPr>
          <w:rFonts w:hint="cs"/>
          <w:rtl/>
        </w:rPr>
        <w:t xml:space="preserve"> (13.4.20).</w:t>
      </w:r>
    </w:p>
  </w:footnote>
  <w:footnote w:id="83">
    <w:p w:rsidR="00725ABE" w:rsidP="00B54F36" w14:paraId="737A8068" w14:textId="77777777">
      <w:pPr>
        <w:pStyle w:val="FootnoteText"/>
        <w:spacing w:line="269" w:lineRule="auto"/>
        <w:ind w:left="707" w:right="0" w:hanging="707"/>
      </w:pPr>
      <w:r>
        <w:rPr>
          <w:rStyle w:val="FootnoteReference1"/>
        </w:rPr>
        <w:footnoteRef/>
      </w:r>
      <w:r>
        <w:rPr>
          <w:rtl/>
        </w:rPr>
        <w:t xml:space="preserve"> </w:t>
      </w:r>
      <w:r>
        <w:rPr>
          <w:rtl/>
        </w:rPr>
        <w:tab/>
      </w:r>
      <w:r w:rsidRPr="00E57180">
        <w:rPr>
          <w:rtl/>
        </w:rPr>
        <w:t>מיזם "פייק ריפורטר"</w:t>
      </w:r>
      <w:r>
        <w:rPr>
          <w:rFonts w:hint="cs"/>
          <w:rtl/>
        </w:rPr>
        <w:t xml:space="preserve"> - </w:t>
      </w:r>
      <w:r w:rsidRPr="000A01D8">
        <w:rPr>
          <w:rtl/>
        </w:rPr>
        <w:t xml:space="preserve">פלטפורמת מחקר בשיתוף הציבור </w:t>
      </w:r>
      <w:r>
        <w:rPr>
          <w:rFonts w:hint="cs"/>
          <w:rtl/>
        </w:rPr>
        <w:t xml:space="preserve">שהוקמה </w:t>
      </w:r>
      <w:r w:rsidRPr="000A01D8">
        <w:rPr>
          <w:rtl/>
        </w:rPr>
        <w:t>במטרה להוביל את המאבק האזרחי נגד הפצה שיטתית של דיסאינפורמציה, זיופים והסתה ברשתות.</w:t>
      </w:r>
      <w:r>
        <w:rPr>
          <w:rFonts w:hint="cs"/>
          <w:rtl/>
        </w:rPr>
        <w:t xml:space="preserve"> </w:t>
      </w:r>
    </w:p>
  </w:footnote>
  <w:footnote w:id="84">
    <w:p w:rsidR="00725ABE" w:rsidP="00B54F36" w14:paraId="3D9D104A" w14:textId="77777777">
      <w:pPr>
        <w:pStyle w:val="FootnoteText"/>
        <w:spacing w:line="269" w:lineRule="auto"/>
        <w:ind w:left="707" w:right="0" w:hanging="707"/>
      </w:pPr>
      <w:r>
        <w:rPr>
          <w:rStyle w:val="FootnoteReference1"/>
        </w:rPr>
        <w:footnoteRef/>
      </w:r>
      <w:r>
        <w:rPr>
          <w:rtl/>
        </w:rPr>
        <w:t xml:space="preserve"> </w:t>
      </w:r>
      <w:r>
        <w:rPr>
          <w:rtl/>
        </w:rPr>
        <w:tab/>
      </w:r>
      <w:r>
        <w:rPr>
          <w:rFonts w:hint="cs"/>
          <w:rtl/>
        </w:rPr>
        <w:t>תוצאות המחקר פורסמו בעיתון "ידיעות אחרונות" ב-12.2.21 ובאתר הפייסבוק של "פייק ריפורטר".</w:t>
      </w:r>
    </w:p>
  </w:footnote>
  <w:footnote w:id="85">
    <w:p w:rsidR="00725ABE" w:rsidP="00B54F36" w14:paraId="4D86C01F" w14:textId="77777777">
      <w:pPr>
        <w:pStyle w:val="FootnoteText"/>
        <w:spacing w:line="269" w:lineRule="auto"/>
        <w:ind w:left="707" w:right="0" w:hanging="707"/>
        <w:rPr>
          <w:rtl/>
        </w:rPr>
      </w:pPr>
      <w:r>
        <w:rPr>
          <w:rStyle w:val="FootnoteReference1"/>
        </w:rPr>
        <w:footnoteRef/>
      </w:r>
      <w:r>
        <w:rPr>
          <w:rtl/>
        </w:rPr>
        <w:t xml:space="preserve"> </w:t>
      </w:r>
      <w:r>
        <w:rPr>
          <w:rtl/>
        </w:rPr>
        <w:tab/>
      </w:r>
      <w:r>
        <w:rPr>
          <w:rFonts w:hint="cs"/>
          <w:rtl/>
        </w:rPr>
        <w:t>ה</w:t>
      </w:r>
      <w:r w:rsidRPr="00F731C7">
        <w:rPr>
          <w:rtl/>
        </w:rPr>
        <w:t>ארגון לשיתוף פעולה ולפיתוח כלכלי</w:t>
      </w:r>
      <w:r>
        <w:rPr>
          <w:rFonts w:hint="cs"/>
          <w:rtl/>
        </w:rPr>
        <w:t>. בארגון חברות 37 מדינות המוגדרות כ</w:t>
      </w:r>
      <w:r w:rsidRPr="00F731C7">
        <w:rPr>
          <w:rtl/>
        </w:rPr>
        <w:t>מדינות מפותחות המקבלות את עקרונות ה</w:t>
      </w:r>
      <w:r>
        <w:rPr>
          <w:rtl/>
        </w:rPr>
        <w:t>דמוקרטיה הליברלית והשוק החופשי</w:t>
      </w:r>
      <w:r>
        <w:rPr>
          <w:rFonts w:hint="cs"/>
          <w:rtl/>
        </w:rPr>
        <w:t>, ובהם מדינת ישראל.</w:t>
      </w:r>
    </w:p>
  </w:footnote>
  <w:footnote w:id="86">
    <w:p w:rsidR="00725ABE" w:rsidP="00B54F36" w14:paraId="45854BEA" w14:textId="29BC0C3D">
      <w:pPr>
        <w:pStyle w:val="FootnoteText"/>
        <w:spacing w:line="269" w:lineRule="auto"/>
        <w:ind w:right="0"/>
        <w:rPr>
          <w:rtl/>
        </w:rPr>
      </w:pPr>
      <w:r>
        <w:rPr>
          <w:rStyle w:val="FootnoteReference1"/>
        </w:rPr>
        <w:footnoteRef/>
      </w:r>
      <w:r>
        <w:rPr>
          <w:rtl/>
        </w:rPr>
        <w:t xml:space="preserve"> </w:t>
      </w:r>
      <w:r>
        <w:rPr>
          <w:rtl/>
        </w:rPr>
        <w:tab/>
      </w:r>
      <w:r>
        <w:rPr>
          <w:rFonts w:hint="cs"/>
          <w:rtl/>
        </w:rPr>
        <w:t xml:space="preserve">יולי 2020, </w:t>
      </w:r>
      <w:r w:rsidRPr="00055A69">
        <w:rPr>
          <w:rtl/>
        </w:rPr>
        <w:t>עמ' 2</w:t>
      </w:r>
      <w:r>
        <w:rPr>
          <w:rtl/>
        </w:rPr>
        <w:t xml:space="preserve"> ,</w:t>
      </w:r>
      <w:r w:rsidRPr="00055A69">
        <w:t>Combatting COVID-19 disinformation on online platforms"" OECD</w:t>
      </w:r>
      <w:r>
        <w:rPr>
          <w:rFonts w:hint="cs"/>
          <w:rtl/>
        </w:rPr>
        <w:t>.</w:t>
      </w:r>
    </w:p>
  </w:footnote>
  <w:footnote w:id="87">
    <w:p w:rsidR="00725ABE" w:rsidP="00B54F36" w14:paraId="25BE2401" w14:textId="77777777">
      <w:pPr>
        <w:pStyle w:val="FootnoteText"/>
        <w:spacing w:line="269" w:lineRule="auto"/>
        <w:ind w:left="707" w:right="0" w:hanging="707"/>
        <w:rPr>
          <w:rtl/>
        </w:rPr>
      </w:pPr>
      <w:r>
        <w:rPr>
          <w:rStyle w:val="FootnoteReference1"/>
        </w:rPr>
        <w:footnoteRef/>
      </w:r>
      <w:r>
        <w:rPr>
          <w:rtl/>
        </w:rPr>
        <w:t xml:space="preserve"> </w:t>
      </w:r>
      <w:r>
        <w:rPr>
          <w:rtl/>
        </w:rPr>
        <w:tab/>
      </w:r>
      <w:r>
        <w:rPr>
          <w:rFonts w:hint="cs"/>
          <w:rtl/>
        </w:rPr>
        <w:t>ה</w:t>
      </w:r>
      <w:r w:rsidRPr="0053207F">
        <w:rPr>
          <w:rtl/>
        </w:rPr>
        <w:t xml:space="preserve">מכון למחקרי ביטחון לאומי נוסד </w:t>
      </w:r>
      <w:r>
        <w:rPr>
          <w:rFonts w:hint="cs"/>
          <w:rtl/>
        </w:rPr>
        <w:t xml:space="preserve">בשנת </w:t>
      </w:r>
      <w:r w:rsidRPr="0053207F">
        <w:rPr>
          <w:rtl/>
        </w:rPr>
        <w:t>2006 והוא משלב בתוכו את מרכז יפה למחקרים אסטרטגיים, שנוסד והוקם באוניברסיטת תל אביב</w:t>
      </w:r>
      <w:r>
        <w:rPr>
          <w:rFonts w:hint="cs"/>
          <w:rtl/>
        </w:rPr>
        <w:t xml:space="preserve">. </w:t>
      </w:r>
      <w:r w:rsidRPr="0053207F">
        <w:rPr>
          <w:rtl/>
        </w:rPr>
        <w:t xml:space="preserve">המכון יוזם ומנהל מחקרים במגוון של תחומים, תוך התמקדות בסוגיות הרלוונטיות לביטחונה הלאומי של ישראל. </w:t>
      </w:r>
    </w:p>
  </w:footnote>
  <w:footnote w:id="88">
    <w:p w:rsidR="00725ABE" w:rsidP="00B54F36" w14:paraId="0A780598" w14:textId="77777777">
      <w:pPr>
        <w:pStyle w:val="FootnoteText"/>
        <w:spacing w:line="269" w:lineRule="auto"/>
        <w:ind w:left="707" w:right="0" w:hanging="707"/>
      </w:pPr>
      <w:r>
        <w:rPr>
          <w:rStyle w:val="FootnoteReference1"/>
        </w:rPr>
        <w:footnoteRef/>
      </w:r>
      <w:r>
        <w:rPr>
          <w:rtl/>
        </w:rPr>
        <w:t xml:space="preserve"> </w:t>
      </w:r>
      <w:r>
        <w:rPr>
          <w:rtl/>
        </w:rPr>
        <w:tab/>
      </w:r>
      <w:r>
        <w:rPr>
          <w:rFonts w:hint="cs"/>
          <w:rtl/>
        </w:rPr>
        <w:t>מקור הנתונים: העין השביעית, "</w:t>
      </w:r>
      <w:r w:rsidRPr="002C7A1D">
        <w:rPr>
          <w:rtl/>
        </w:rPr>
        <w:t>כך בנו קשת ורשת את דמותו של פרובוקטור הקורונה</w:t>
      </w:r>
      <w:r>
        <w:rPr>
          <w:rFonts w:hint="cs"/>
          <w:rtl/>
        </w:rPr>
        <w:t xml:space="preserve">" (7.10.20). </w:t>
      </w:r>
    </w:p>
  </w:footnote>
  <w:footnote w:id="89">
    <w:p w:rsidR="00725ABE" w:rsidP="00B54F36" w14:paraId="397B59C8" w14:textId="77777777">
      <w:pPr>
        <w:pStyle w:val="FootnoteText"/>
        <w:spacing w:line="269" w:lineRule="auto"/>
        <w:rPr>
          <w:rtl/>
        </w:rPr>
      </w:pPr>
      <w:r>
        <w:rPr>
          <w:rStyle w:val="FootnoteReference1"/>
        </w:rPr>
        <w:footnoteRef/>
      </w:r>
      <w:r>
        <w:rPr>
          <w:rtl/>
        </w:rPr>
        <w:t xml:space="preserve"> </w:t>
      </w:r>
      <w:r>
        <w:rPr>
          <w:rtl/>
        </w:rPr>
        <w:tab/>
      </w:r>
      <w:r>
        <w:rPr>
          <w:rFonts w:hint="cs"/>
          <w:rtl/>
        </w:rPr>
        <w:t>מדד השכנוע לא נבחן כיוון שלא היה רלוונטי דיו כדי להעיד על הסוגיה שנבחנה.</w:t>
      </w:r>
    </w:p>
  </w:footnote>
  <w:footnote w:id="90">
    <w:p w:rsidR="00725ABE" w:rsidP="00B54F36" w14:paraId="4C302506" w14:textId="77777777">
      <w:pPr>
        <w:pStyle w:val="FootnoteText"/>
        <w:spacing w:line="269" w:lineRule="auto"/>
        <w:rPr>
          <w:rtl/>
        </w:rPr>
      </w:pPr>
      <w:r>
        <w:rPr>
          <w:rStyle w:val="FootnoteReference1"/>
        </w:rPr>
        <w:footnoteRef/>
      </w:r>
      <w:r>
        <w:rPr>
          <w:rtl/>
        </w:rPr>
        <w:t xml:space="preserve"> </w:t>
      </w:r>
      <w:r>
        <w:rPr>
          <w:rtl/>
        </w:rPr>
        <w:tab/>
      </w:r>
      <w:r>
        <w:rPr>
          <w:rFonts w:hint="cs"/>
          <w:rtl/>
        </w:rPr>
        <w:t>מדד השכנוע לא נבחן כיוון שלא היה רלוונטי דיו כדי להעיד על הסוגיה שנבחנה.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tl/>
      </w:rPr>
      <w:id w:val="-812719786"/>
      <w:docPartObj>
        <w:docPartGallery w:val="Page Numbers (Top of Page)"/>
        <w:docPartUnique/>
      </w:docPartObj>
    </w:sdtPr>
    <w:sdtEndPr>
      <w:rPr>
        <w:cs/>
      </w:rPr>
    </w:sdtEndPr>
    <w:sdtContent>
      <w:p w:rsidR="00725ABE" w14:paraId="51A1ABF0" w14:textId="5AFF02CE">
        <w:pPr>
          <w:pStyle w:val="Header"/>
          <w:jc w:val="center"/>
          <w:rPr>
            <w:rtl/>
            <w:cs/>
          </w:rPr>
        </w:pPr>
        <w:r>
          <w:fldChar w:fldCharType="begin"/>
        </w:r>
        <w:r>
          <w:rPr>
            <w:rtl/>
            <w:cs/>
          </w:rPr>
          <w:instrText>PAGE   \* MERGEFORMAT</w:instrText>
        </w:r>
        <w:r>
          <w:fldChar w:fldCharType="separate"/>
        </w:r>
        <w:r w:rsidRPr="00E266F2" w:rsidR="00E266F2">
          <w:rPr>
            <w:noProof/>
            <w:rtl/>
            <w:lang w:val="he-IL"/>
          </w:rPr>
          <w:t>15</w:t>
        </w:r>
        <w:r>
          <w:fldChar w:fldCharType="end"/>
        </w:r>
      </w:p>
    </w:sdtContent>
  </w:sdt>
  <w:p w:rsidR="00725ABE" w:rsidP="009A11FC" w14:paraId="52898F2B" w14:textId="77777777">
    <w:pPr>
      <w:pStyle w:val="Header"/>
      <w:jc w:val="right"/>
      <w:rPr>
        <w:rtl/>
      </w:rPr>
    </w:pPr>
    <w:r>
      <w:rPr>
        <w:rFonts w:hint="cs"/>
        <w:rtl/>
      </w:rPr>
      <w:t>דוח קורונה</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tl/>
      </w:rPr>
      <w:id w:val="63614889"/>
      <w:docPartObj>
        <w:docPartGallery w:val="Page Numbers (Top of Page)"/>
        <w:docPartUnique/>
      </w:docPartObj>
    </w:sdtPr>
    <w:sdtContent>
      <w:p w:rsidR="00725ABE" w14:paraId="13F2D04E" w14:textId="6DE02863">
        <w:pPr>
          <w:pStyle w:val="Header"/>
          <w:jc w:val="center"/>
          <w:rPr>
            <w:rtl/>
            <w:cs/>
          </w:rPr>
        </w:pPr>
        <w:r>
          <w:fldChar w:fldCharType="begin"/>
        </w:r>
        <w:r>
          <w:rPr>
            <w:rtl/>
            <w:cs/>
          </w:rPr>
          <w:instrText>PAGE   \* MERGEFORMAT</w:instrText>
        </w:r>
        <w:r>
          <w:fldChar w:fldCharType="separate"/>
        </w:r>
        <w:r w:rsidRPr="00E266F2" w:rsidR="00E266F2">
          <w:rPr>
            <w:noProof/>
            <w:rtl/>
            <w:lang w:val="he-IL"/>
          </w:rPr>
          <w:t>1</w:t>
        </w:r>
        <w:r>
          <w:fldChar w:fldCharType="end"/>
        </w:r>
      </w:p>
    </w:sdtContent>
  </w:sdt>
  <w:p w:rsidR="00725ABE" w:rsidP="009A11FC" w14:paraId="652E0F75" w14:textId="47592867">
    <w:pPr>
      <w:pStyle w:val="Header"/>
      <w:jc w:val="right"/>
      <w:rPr>
        <w:rtl/>
      </w:rPr>
    </w:pPr>
    <w:r>
      <w:rPr>
        <w:rFonts w:hint="cs"/>
        <w:rtl/>
      </w:rPr>
      <w:t>דוח קורונה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E72CBB"/>
    <w:multiLevelType w:val="multilevel"/>
    <w:tmpl w:val="6E400E0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B6C6C9C"/>
    <w:multiLevelType w:val="multilevel"/>
    <w:tmpl w:val="872ACE8A"/>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C2F29D0"/>
    <w:multiLevelType w:val="multilevel"/>
    <w:tmpl w:val="28A4A7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E632C0E"/>
    <w:multiLevelType w:val="hybridMultilevel"/>
    <w:tmpl w:val="41326F78"/>
    <w:lvl w:ilvl="0">
      <w:start w:val="1"/>
      <w:numFmt w:val="hebrew1"/>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18432BA"/>
    <w:multiLevelType w:val="multilevel"/>
    <w:tmpl w:val="022CA132"/>
    <w:lvl w:ilvl="0">
      <w:start w:val="1"/>
      <w:numFmt w:val="decimal"/>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4AE0C79"/>
    <w:multiLevelType w:val="hybridMultilevel"/>
    <w:tmpl w:val="193ED4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6F56002"/>
    <w:multiLevelType w:val="multilevel"/>
    <w:tmpl w:val="22AC8702"/>
    <w:lvl w:ilvl="0">
      <w:start w:val="1"/>
      <w:numFmt w:val="decimal"/>
      <w:lvlText w:val="%1."/>
      <w:lvlJc w:val="left"/>
      <w:pPr>
        <w:ind w:left="340" w:hanging="340"/>
      </w:pPr>
      <w:rPr>
        <w:rFonts w:hint="default"/>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7BF2F3D"/>
    <w:multiLevelType w:val="hybridMultilevel"/>
    <w:tmpl w:val="4ABA57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A2B18F5"/>
    <w:multiLevelType w:val="hybridMultilevel"/>
    <w:tmpl w:val="7D1E84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C040009"/>
    <w:multiLevelType w:val="multilevel"/>
    <w:tmpl w:val="648223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260005C8"/>
    <w:multiLevelType w:val="multilevel"/>
    <w:tmpl w:val="22AC8702"/>
    <w:lvl w:ilvl="0">
      <w:start w:val="1"/>
      <w:numFmt w:val="decimal"/>
      <w:lvlText w:val="%1."/>
      <w:lvlJc w:val="left"/>
      <w:pPr>
        <w:ind w:left="340" w:hanging="340"/>
      </w:pPr>
      <w:rPr>
        <w:rFonts w:hint="default"/>
        <w:b/>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28A74124"/>
    <w:multiLevelType w:val="hybridMultilevel"/>
    <w:tmpl w:val="7430D90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28BA304B"/>
    <w:multiLevelType w:val="multilevel"/>
    <w:tmpl w:val="1800FBB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2A4E1CA2"/>
    <w:multiLevelType w:val="hybridMultilevel"/>
    <w:tmpl w:val="7B6EC99E"/>
    <w:lvl w:ilvl="0">
      <w:start w:val="1"/>
      <w:numFmt w:val="decimal"/>
      <w:lvlText w:val="%1."/>
      <w:lvlJc w:val="left"/>
      <w:pPr>
        <w:ind w:left="360" w:hanging="360"/>
      </w:pPr>
      <w:rPr>
        <w:rFonts w:hint="default"/>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326505D6"/>
    <w:multiLevelType w:val="multilevel"/>
    <w:tmpl w:val="097E8212"/>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339E6C53"/>
    <w:multiLevelType w:val="multilevel"/>
    <w:tmpl w:val="D47C240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3DBE6D20"/>
    <w:multiLevelType w:val="multilevel"/>
    <w:tmpl w:val="1800FBB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407E736B"/>
    <w:multiLevelType w:val="hybridMultilevel"/>
    <w:tmpl w:val="37CC20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0984A04"/>
    <w:multiLevelType w:val="multilevel"/>
    <w:tmpl w:val="25964E0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40F077D4"/>
    <w:multiLevelType w:val="multilevel"/>
    <w:tmpl w:val="ED985DB0"/>
    <w:lvl w:ilvl="0">
      <w:start w:val="1"/>
      <w:numFmt w:val="decimal"/>
      <w:lvlText w:val="%1."/>
      <w:lvlJc w:val="left"/>
      <w:pPr>
        <w:ind w:left="340" w:hanging="340"/>
      </w:pPr>
      <w:rPr>
        <w:rFonts w:hint="default"/>
        <w:b/>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42C8273E"/>
    <w:multiLevelType w:val="multilevel"/>
    <w:tmpl w:val="B11A9E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43D3453A"/>
    <w:multiLevelType w:val="hybridMultilevel"/>
    <w:tmpl w:val="19AAEF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A1C471A"/>
    <w:multiLevelType w:val="multilevel"/>
    <w:tmpl w:val="5AC830D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4ADD4DA2"/>
    <w:multiLevelType w:val="multilevel"/>
    <w:tmpl w:val="EACE8A60"/>
    <w:lvl w:ilvl="0">
      <w:start w:val="1"/>
      <w:numFmt w:val="bullet"/>
      <w:lvlText w:val=""/>
      <w:lvlJc w:val="left"/>
      <w:pPr>
        <w:ind w:left="340" w:hanging="340"/>
      </w:pPr>
      <w:rPr>
        <w:rFonts w:ascii="Symbol" w:hAnsi="Symbol"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4BE26B2C"/>
    <w:multiLevelType w:val="hybridMultilevel"/>
    <w:tmpl w:val="D37485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D9C1939"/>
    <w:multiLevelType w:val="hybridMultilevel"/>
    <w:tmpl w:val="74F2C61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DDC2B91"/>
    <w:multiLevelType w:val="hybridMultilevel"/>
    <w:tmpl w:val="A9BE586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1242BAE"/>
    <w:multiLevelType w:val="hybridMultilevel"/>
    <w:tmpl w:val="61F0C4E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4F207DF"/>
    <w:multiLevelType w:val="hybridMultilevel"/>
    <w:tmpl w:val="E5824CE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9EF73A5"/>
    <w:multiLevelType w:val="multilevel"/>
    <w:tmpl w:val="8AC2C7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nsid w:val="5B9C4700"/>
    <w:multiLevelType w:val="hybridMultilevel"/>
    <w:tmpl w:val="190EA04E"/>
    <w:lvl w:ilvl="0">
      <w:start w:val="1"/>
      <w:numFmt w:val="hebrew1"/>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5D2C2CC7"/>
    <w:multiLevelType w:val="multilevel"/>
    <w:tmpl w:val="9564B7B0"/>
    <w:lvl w:ilvl="0">
      <w:start w:val="1"/>
      <w:numFmt w:val="decimal"/>
      <w:lvlText w:val="%1."/>
      <w:lvlJc w:val="left"/>
      <w:pPr>
        <w:ind w:left="340" w:hanging="340"/>
      </w:pPr>
    </w:lvl>
    <w:lvl w:ilvl="1">
      <w:start w:val="1"/>
      <w:numFmt w:val="hebrew1"/>
      <w:lvlText w:val="%2."/>
      <w:lvlJc w:val="left"/>
      <w:pPr>
        <w:ind w:left="765" w:hanging="340"/>
      </w:pPr>
    </w:lvl>
    <w:lvl w:ilvl="2">
      <w:start w:val="1"/>
      <w:numFmt w:val="hebrew1"/>
      <w:lvlText w:val="%3."/>
      <w:lvlJc w:val="left"/>
      <w:pPr>
        <w:ind w:left="1077" w:hanging="397"/>
      </w:pPr>
      <w:rPr>
        <w:rFonts w:ascii="Times New Roman" w:hAnsi="Times New Roman" w:eastAsiaTheme="minorHAnsi" w:cs="David"/>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nsid w:val="5E566530"/>
    <w:multiLevelType w:val="multilevel"/>
    <w:tmpl w:val="EF2615A4"/>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65CB579D"/>
    <w:multiLevelType w:val="multilevel"/>
    <w:tmpl w:val="6D8E6642"/>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nsid w:val="66982EB2"/>
    <w:multiLevelType w:val="multilevel"/>
    <w:tmpl w:val="C780FBE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nsid w:val="6F7351AF"/>
    <w:multiLevelType w:val="multilevel"/>
    <w:tmpl w:val="A928CEE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nsid w:val="712F77ED"/>
    <w:multiLevelType w:val="multilevel"/>
    <w:tmpl w:val="B5F644E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nsid w:val="767422A4"/>
    <w:multiLevelType w:val="multilevel"/>
    <w:tmpl w:val="E1BEE0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30"/>
  </w:num>
  <w:num w:numId="2">
    <w:abstractNumId w:val="19"/>
  </w:num>
  <w:num w:numId="3">
    <w:abstractNumId w:val="31"/>
  </w:num>
  <w:num w:numId="4">
    <w:abstractNumId w:val="0"/>
  </w:num>
  <w:num w:numId="5">
    <w:abstractNumId w:val="35"/>
  </w:num>
  <w:num w:numId="6">
    <w:abstractNumId w:val="13"/>
  </w:num>
  <w:num w:numId="7">
    <w:abstractNumId w:val="15"/>
  </w:num>
  <w:num w:numId="8">
    <w:abstractNumId w:val="20"/>
  </w:num>
  <w:num w:numId="9">
    <w:abstractNumId w:val="3"/>
  </w:num>
  <w:num w:numId="10">
    <w:abstractNumId w:val="36"/>
  </w:num>
  <w:num w:numId="11">
    <w:abstractNumId w:val="4"/>
  </w:num>
  <w:num w:numId="12">
    <w:abstractNumId w:val="16"/>
  </w:num>
  <w:num w:numId="13">
    <w:abstractNumId w:val="12"/>
  </w:num>
  <w:num w:numId="14">
    <w:abstractNumId w:val="29"/>
  </w:num>
  <w:num w:numId="15">
    <w:abstractNumId w:val="9"/>
  </w:num>
  <w:num w:numId="16">
    <w:abstractNumId w:val="14"/>
  </w:num>
  <w:num w:numId="17">
    <w:abstractNumId w:val="2"/>
  </w:num>
  <w:num w:numId="18">
    <w:abstractNumId w:val="18"/>
  </w:num>
  <w:num w:numId="19">
    <w:abstractNumId w:val="1"/>
  </w:num>
  <w:num w:numId="20">
    <w:abstractNumId w:val="23"/>
  </w:num>
  <w:num w:numId="21">
    <w:abstractNumId w:val="37"/>
  </w:num>
  <w:num w:numId="22">
    <w:abstractNumId w:val="22"/>
  </w:num>
  <w:num w:numId="23">
    <w:abstractNumId w:val="33"/>
  </w:num>
  <w:num w:numId="24">
    <w:abstractNumId w:val="32"/>
  </w:num>
  <w:num w:numId="25">
    <w:abstractNumId w:val="21"/>
  </w:num>
  <w:num w:numId="26">
    <w:abstractNumId w:val="28"/>
  </w:num>
  <w:num w:numId="27">
    <w:abstractNumId w:val="8"/>
  </w:num>
  <w:num w:numId="28">
    <w:abstractNumId w:val="25"/>
  </w:num>
  <w:num w:numId="29">
    <w:abstractNumId w:val="26"/>
  </w:num>
  <w:num w:numId="30">
    <w:abstractNumId w:val="17"/>
  </w:num>
  <w:num w:numId="31">
    <w:abstractNumId w:val="5"/>
  </w:num>
  <w:num w:numId="32">
    <w:abstractNumId w:val="34"/>
  </w:num>
  <w:num w:numId="33">
    <w:abstractNumId w:val="27"/>
  </w:num>
  <w:num w:numId="34">
    <w:abstractNumId w:val="11"/>
  </w:num>
  <w:num w:numId="35">
    <w:abstractNumId w:val="7"/>
  </w:num>
  <w:num w:numId="36">
    <w:abstractNumId w:val="24"/>
  </w:num>
  <w:num w:numId="37">
    <w:abstractNumId w:val="10"/>
  </w:num>
  <w:num w:numId="38">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stylePaneFormatFilter w:val="1721" w:allStyles="1" w:alternateStyleNames="0" w:clearFormatting="1" w:customStyles="0" w:directFormattingOnNumbering="1" w:directFormattingOnParagraphs="1" w:directFormattingOnRuns="1" w:directFormattingOnTables="0" w:headingStyles="1" w:latentStyles="0" w:numberingStyles="0" w:stylesInUse="0" w:tableStyles="0" w:top3HeadingStyles="0" w:visibleStyles="0"/>
  <w:stylePaneSortMethod w:val="name"/>
  <w:defaultTabStop w:val="720"/>
  <w:drawingGridHorizontalSpacing w:val="100"/>
  <w:displayHorizontalDrawingGridEvery w:val="2"/>
  <w:displayVerticalDrawingGridEvery w:val="2"/>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000"/>
    <w:rsid w:val="00000407"/>
    <w:rsid w:val="0000089C"/>
    <w:rsid w:val="00001832"/>
    <w:rsid w:val="00002442"/>
    <w:rsid w:val="0000279A"/>
    <w:rsid w:val="00002F90"/>
    <w:rsid w:val="000036ED"/>
    <w:rsid w:val="00003B77"/>
    <w:rsid w:val="00003D71"/>
    <w:rsid w:val="0000550F"/>
    <w:rsid w:val="00007626"/>
    <w:rsid w:val="0000768A"/>
    <w:rsid w:val="00010A18"/>
    <w:rsid w:val="00011C63"/>
    <w:rsid w:val="00011F28"/>
    <w:rsid w:val="000128CD"/>
    <w:rsid w:val="000142B8"/>
    <w:rsid w:val="00015D06"/>
    <w:rsid w:val="000164EA"/>
    <w:rsid w:val="00016B0D"/>
    <w:rsid w:val="0001735B"/>
    <w:rsid w:val="00017A25"/>
    <w:rsid w:val="00017CA5"/>
    <w:rsid w:val="00020236"/>
    <w:rsid w:val="00020728"/>
    <w:rsid w:val="00020A90"/>
    <w:rsid w:val="00020AFB"/>
    <w:rsid w:val="000211DE"/>
    <w:rsid w:val="0002144E"/>
    <w:rsid w:val="00021630"/>
    <w:rsid w:val="00022518"/>
    <w:rsid w:val="00023382"/>
    <w:rsid w:val="00023769"/>
    <w:rsid w:val="00023E69"/>
    <w:rsid w:val="00024407"/>
    <w:rsid w:val="000248AA"/>
    <w:rsid w:val="00025A61"/>
    <w:rsid w:val="0002647E"/>
    <w:rsid w:val="00026CFA"/>
    <w:rsid w:val="00026D2B"/>
    <w:rsid w:val="0002701A"/>
    <w:rsid w:val="00027C5F"/>
    <w:rsid w:val="00030A12"/>
    <w:rsid w:val="000319E7"/>
    <w:rsid w:val="00031C51"/>
    <w:rsid w:val="0003350B"/>
    <w:rsid w:val="000337C8"/>
    <w:rsid w:val="00033E99"/>
    <w:rsid w:val="00035572"/>
    <w:rsid w:val="00035BE4"/>
    <w:rsid w:val="00036512"/>
    <w:rsid w:val="00036D36"/>
    <w:rsid w:val="00037021"/>
    <w:rsid w:val="00037265"/>
    <w:rsid w:val="00040022"/>
    <w:rsid w:val="000408E5"/>
    <w:rsid w:val="00041D62"/>
    <w:rsid w:val="00042837"/>
    <w:rsid w:val="000428B3"/>
    <w:rsid w:val="00042D4F"/>
    <w:rsid w:val="00042F75"/>
    <w:rsid w:val="00043441"/>
    <w:rsid w:val="00043DA9"/>
    <w:rsid w:val="000447D6"/>
    <w:rsid w:val="000454AF"/>
    <w:rsid w:val="000455AB"/>
    <w:rsid w:val="000456A3"/>
    <w:rsid w:val="0004573A"/>
    <w:rsid w:val="00045D33"/>
    <w:rsid w:val="000460A9"/>
    <w:rsid w:val="000460EE"/>
    <w:rsid w:val="00046662"/>
    <w:rsid w:val="000501A4"/>
    <w:rsid w:val="00050569"/>
    <w:rsid w:val="000514AB"/>
    <w:rsid w:val="000529D3"/>
    <w:rsid w:val="00053011"/>
    <w:rsid w:val="000532AA"/>
    <w:rsid w:val="000538CB"/>
    <w:rsid w:val="00054905"/>
    <w:rsid w:val="00054C55"/>
    <w:rsid w:val="00054CBB"/>
    <w:rsid w:val="0005529E"/>
    <w:rsid w:val="000554E2"/>
    <w:rsid w:val="00055A69"/>
    <w:rsid w:val="00056C06"/>
    <w:rsid w:val="000574A0"/>
    <w:rsid w:val="0006033E"/>
    <w:rsid w:val="00060595"/>
    <w:rsid w:val="00060FD5"/>
    <w:rsid w:val="00061B98"/>
    <w:rsid w:val="00062950"/>
    <w:rsid w:val="00062DB5"/>
    <w:rsid w:val="00062E5D"/>
    <w:rsid w:val="00063D44"/>
    <w:rsid w:val="00064589"/>
    <w:rsid w:val="0006486E"/>
    <w:rsid w:val="00064EC9"/>
    <w:rsid w:val="00065863"/>
    <w:rsid w:val="00065BEB"/>
    <w:rsid w:val="00066576"/>
    <w:rsid w:val="00066F61"/>
    <w:rsid w:val="00067031"/>
    <w:rsid w:val="00067308"/>
    <w:rsid w:val="0006750D"/>
    <w:rsid w:val="0007050D"/>
    <w:rsid w:val="00070E35"/>
    <w:rsid w:val="000724D3"/>
    <w:rsid w:val="0007272A"/>
    <w:rsid w:val="00073CD5"/>
    <w:rsid w:val="000769B9"/>
    <w:rsid w:val="00077F07"/>
    <w:rsid w:val="0008010C"/>
    <w:rsid w:val="000802BE"/>
    <w:rsid w:val="00080861"/>
    <w:rsid w:val="00080F72"/>
    <w:rsid w:val="000813B6"/>
    <w:rsid w:val="000819C0"/>
    <w:rsid w:val="000820E8"/>
    <w:rsid w:val="00082258"/>
    <w:rsid w:val="00082469"/>
    <w:rsid w:val="00082685"/>
    <w:rsid w:val="000829FC"/>
    <w:rsid w:val="00082F95"/>
    <w:rsid w:val="000831D6"/>
    <w:rsid w:val="000838B9"/>
    <w:rsid w:val="000839D0"/>
    <w:rsid w:val="00084A43"/>
    <w:rsid w:val="00085CB7"/>
    <w:rsid w:val="00085D4A"/>
    <w:rsid w:val="00085F71"/>
    <w:rsid w:val="00086338"/>
    <w:rsid w:val="000872A4"/>
    <w:rsid w:val="0008747C"/>
    <w:rsid w:val="00087AEB"/>
    <w:rsid w:val="0009020F"/>
    <w:rsid w:val="000908AB"/>
    <w:rsid w:val="00090AFD"/>
    <w:rsid w:val="00090C70"/>
    <w:rsid w:val="00090E32"/>
    <w:rsid w:val="000917B8"/>
    <w:rsid w:val="0009189D"/>
    <w:rsid w:val="00091AC7"/>
    <w:rsid w:val="00091B2A"/>
    <w:rsid w:val="00091D95"/>
    <w:rsid w:val="000923C3"/>
    <w:rsid w:val="00093E74"/>
    <w:rsid w:val="00094183"/>
    <w:rsid w:val="00094303"/>
    <w:rsid w:val="000947C0"/>
    <w:rsid w:val="00094AA5"/>
    <w:rsid w:val="00094DD9"/>
    <w:rsid w:val="00094E3E"/>
    <w:rsid w:val="00095209"/>
    <w:rsid w:val="00095B32"/>
    <w:rsid w:val="00095BCC"/>
    <w:rsid w:val="000965BB"/>
    <w:rsid w:val="00096A34"/>
    <w:rsid w:val="00096CF2"/>
    <w:rsid w:val="00096F03"/>
    <w:rsid w:val="00096F23"/>
    <w:rsid w:val="00097603"/>
    <w:rsid w:val="00097AC7"/>
    <w:rsid w:val="000A01D8"/>
    <w:rsid w:val="000A09A1"/>
    <w:rsid w:val="000A1DF6"/>
    <w:rsid w:val="000A2F6B"/>
    <w:rsid w:val="000A32A1"/>
    <w:rsid w:val="000A36A7"/>
    <w:rsid w:val="000A3E04"/>
    <w:rsid w:val="000A54B5"/>
    <w:rsid w:val="000A5E19"/>
    <w:rsid w:val="000A64D9"/>
    <w:rsid w:val="000A708E"/>
    <w:rsid w:val="000A7565"/>
    <w:rsid w:val="000A7745"/>
    <w:rsid w:val="000A7E47"/>
    <w:rsid w:val="000B07A6"/>
    <w:rsid w:val="000B1102"/>
    <w:rsid w:val="000B1376"/>
    <w:rsid w:val="000B15B7"/>
    <w:rsid w:val="000B2718"/>
    <w:rsid w:val="000B2DB6"/>
    <w:rsid w:val="000B32D9"/>
    <w:rsid w:val="000B3614"/>
    <w:rsid w:val="000B3705"/>
    <w:rsid w:val="000B395E"/>
    <w:rsid w:val="000B3B0B"/>
    <w:rsid w:val="000B5004"/>
    <w:rsid w:val="000B5579"/>
    <w:rsid w:val="000B7817"/>
    <w:rsid w:val="000B7F52"/>
    <w:rsid w:val="000C00C2"/>
    <w:rsid w:val="000C025B"/>
    <w:rsid w:val="000C069B"/>
    <w:rsid w:val="000C2ACB"/>
    <w:rsid w:val="000C3EDB"/>
    <w:rsid w:val="000C4119"/>
    <w:rsid w:val="000C4EB0"/>
    <w:rsid w:val="000C4F16"/>
    <w:rsid w:val="000C4F4D"/>
    <w:rsid w:val="000C6289"/>
    <w:rsid w:val="000C641F"/>
    <w:rsid w:val="000C64FE"/>
    <w:rsid w:val="000C7459"/>
    <w:rsid w:val="000D1DE9"/>
    <w:rsid w:val="000D1E3C"/>
    <w:rsid w:val="000D387E"/>
    <w:rsid w:val="000D3D08"/>
    <w:rsid w:val="000D3FEC"/>
    <w:rsid w:val="000D47A3"/>
    <w:rsid w:val="000E013E"/>
    <w:rsid w:val="000E0219"/>
    <w:rsid w:val="000E067F"/>
    <w:rsid w:val="000E08AA"/>
    <w:rsid w:val="000E0F1E"/>
    <w:rsid w:val="000E15B9"/>
    <w:rsid w:val="000E2031"/>
    <w:rsid w:val="000E21C0"/>
    <w:rsid w:val="000E2BE5"/>
    <w:rsid w:val="000E2F8C"/>
    <w:rsid w:val="000E301A"/>
    <w:rsid w:val="000E3286"/>
    <w:rsid w:val="000E3A6C"/>
    <w:rsid w:val="000E4411"/>
    <w:rsid w:val="000E5693"/>
    <w:rsid w:val="000E5F87"/>
    <w:rsid w:val="000E6324"/>
    <w:rsid w:val="000E6644"/>
    <w:rsid w:val="000E6718"/>
    <w:rsid w:val="000E75C2"/>
    <w:rsid w:val="000F0B99"/>
    <w:rsid w:val="000F299A"/>
    <w:rsid w:val="000F2C98"/>
    <w:rsid w:val="000F4249"/>
    <w:rsid w:val="000F5088"/>
    <w:rsid w:val="000F50BA"/>
    <w:rsid w:val="000F6FF0"/>
    <w:rsid w:val="000F7725"/>
    <w:rsid w:val="000F7AC6"/>
    <w:rsid w:val="000F7D13"/>
    <w:rsid w:val="000F7D1A"/>
    <w:rsid w:val="001007B1"/>
    <w:rsid w:val="00100A76"/>
    <w:rsid w:val="0010143F"/>
    <w:rsid w:val="001015AB"/>
    <w:rsid w:val="00101D0F"/>
    <w:rsid w:val="00101ECD"/>
    <w:rsid w:val="00102BC6"/>
    <w:rsid w:val="0010305F"/>
    <w:rsid w:val="0010364F"/>
    <w:rsid w:val="0010373A"/>
    <w:rsid w:val="00103DE6"/>
    <w:rsid w:val="0010446D"/>
    <w:rsid w:val="00104F47"/>
    <w:rsid w:val="001052C1"/>
    <w:rsid w:val="0010589F"/>
    <w:rsid w:val="00107328"/>
    <w:rsid w:val="00107537"/>
    <w:rsid w:val="0010757B"/>
    <w:rsid w:val="00107644"/>
    <w:rsid w:val="00110523"/>
    <w:rsid w:val="0011068A"/>
    <w:rsid w:val="00112573"/>
    <w:rsid w:val="001133FA"/>
    <w:rsid w:val="001139A3"/>
    <w:rsid w:val="00113E28"/>
    <w:rsid w:val="00113F03"/>
    <w:rsid w:val="00114325"/>
    <w:rsid w:val="00114EAF"/>
    <w:rsid w:val="0011548D"/>
    <w:rsid w:val="00115620"/>
    <w:rsid w:val="001172C4"/>
    <w:rsid w:val="00117420"/>
    <w:rsid w:val="00117A49"/>
    <w:rsid w:val="00120184"/>
    <w:rsid w:val="001210DD"/>
    <w:rsid w:val="00121C56"/>
    <w:rsid w:val="00121FE3"/>
    <w:rsid w:val="001235EF"/>
    <w:rsid w:val="00123978"/>
    <w:rsid w:val="0012471E"/>
    <w:rsid w:val="00124B6B"/>
    <w:rsid w:val="00125A14"/>
    <w:rsid w:val="00125A37"/>
    <w:rsid w:val="00125B32"/>
    <w:rsid w:val="00125BDA"/>
    <w:rsid w:val="00125D41"/>
    <w:rsid w:val="00125D5A"/>
    <w:rsid w:val="001267FA"/>
    <w:rsid w:val="00126884"/>
    <w:rsid w:val="00127B07"/>
    <w:rsid w:val="00130E12"/>
    <w:rsid w:val="00131A97"/>
    <w:rsid w:val="001321FB"/>
    <w:rsid w:val="00132361"/>
    <w:rsid w:val="00132D5D"/>
    <w:rsid w:val="001336C3"/>
    <w:rsid w:val="001339DA"/>
    <w:rsid w:val="00134F3D"/>
    <w:rsid w:val="001357D7"/>
    <w:rsid w:val="00136449"/>
    <w:rsid w:val="001367FE"/>
    <w:rsid w:val="001371A1"/>
    <w:rsid w:val="001373F6"/>
    <w:rsid w:val="001374A7"/>
    <w:rsid w:val="00137B26"/>
    <w:rsid w:val="00137E1B"/>
    <w:rsid w:val="00140365"/>
    <w:rsid w:val="00140F4B"/>
    <w:rsid w:val="001411F9"/>
    <w:rsid w:val="0014233A"/>
    <w:rsid w:val="00142B68"/>
    <w:rsid w:val="00142FC7"/>
    <w:rsid w:val="0014318F"/>
    <w:rsid w:val="00144742"/>
    <w:rsid w:val="001453CC"/>
    <w:rsid w:val="00146A67"/>
    <w:rsid w:val="00147B61"/>
    <w:rsid w:val="00150090"/>
    <w:rsid w:val="0015186E"/>
    <w:rsid w:val="0015194E"/>
    <w:rsid w:val="001519D7"/>
    <w:rsid w:val="00151CA9"/>
    <w:rsid w:val="001527FF"/>
    <w:rsid w:val="0015320B"/>
    <w:rsid w:val="00154AE4"/>
    <w:rsid w:val="00154C6D"/>
    <w:rsid w:val="00155952"/>
    <w:rsid w:val="00156B5B"/>
    <w:rsid w:val="00157990"/>
    <w:rsid w:val="00157E2E"/>
    <w:rsid w:val="00161360"/>
    <w:rsid w:val="001626D1"/>
    <w:rsid w:val="001635BA"/>
    <w:rsid w:val="0016364E"/>
    <w:rsid w:val="001643AE"/>
    <w:rsid w:val="001646FD"/>
    <w:rsid w:val="001649B7"/>
    <w:rsid w:val="00165934"/>
    <w:rsid w:val="00166063"/>
    <w:rsid w:val="00166275"/>
    <w:rsid w:val="00166364"/>
    <w:rsid w:val="0016636B"/>
    <w:rsid w:val="00166477"/>
    <w:rsid w:val="0016676D"/>
    <w:rsid w:val="001670DE"/>
    <w:rsid w:val="0017093A"/>
    <w:rsid w:val="00170959"/>
    <w:rsid w:val="00170F7B"/>
    <w:rsid w:val="00171ABB"/>
    <w:rsid w:val="00171EC0"/>
    <w:rsid w:val="00172F3D"/>
    <w:rsid w:val="001730B0"/>
    <w:rsid w:val="00173FB9"/>
    <w:rsid w:val="0017438B"/>
    <w:rsid w:val="00174562"/>
    <w:rsid w:val="0017475C"/>
    <w:rsid w:val="00176186"/>
    <w:rsid w:val="00176484"/>
    <w:rsid w:val="00177C02"/>
    <w:rsid w:val="00180608"/>
    <w:rsid w:val="00180A31"/>
    <w:rsid w:val="00180C18"/>
    <w:rsid w:val="001810CE"/>
    <w:rsid w:val="0018137F"/>
    <w:rsid w:val="001813FA"/>
    <w:rsid w:val="001819D3"/>
    <w:rsid w:val="00181B85"/>
    <w:rsid w:val="001820CF"/>
    <w:rsid w:val="0018303F"/>
    <w:rsid w:val="00183868"/>
    <w:rsid w:val="0018431F"/>
    <w:rsid w:val="00184CE4"/>
    <w:rsid w:val="001861D3"/>
    <w:rsid w:val="001868DC"/>
    <w:rsid w:val="00187027"/>
    <w:rsid w:val="00187037"/>
    <w:rsid w:val="001875EA"/>
    <w:rsid w:val="00187671"/>
    <w:rsid w:val="00187B3E"/>
    <w:rsid w:val="00190486"/>
    <w:rsid w:val="0019072E"/>
    <w:rsid w:val="00190DE3"/>
    <w:rsid w:val="00190F28"/>
    <w:rsid w:val="001913AC"/>
    <w:rsid w:val="0019192B"/>
    <w:rsid w:val="001926FA"/>
    <w:rsid w:val="001933A4"/>
    <w:rsid w:val="0019386E"/>
    <w:rsid w:val="00193924"/>
    <w:rsid w:val="00193A40"/>
    <w:rsid w:val="001940B0"/>
    <w:rsid w:val="00195007"/>
    <w:rsid w:val="00195038"/>
    <w:rsid w:val="001950F6"/>
    <w:rsid w:val="00195502"/>
    <w:rsid w:val="001960B4"/>
    <w:rsid w:val="00196F94"/>
    <w:rsid w:val="001A02E5"/>
    <w:rsid w:val="001A03BA"/>
    <w:rsid w:val="001A0404"/>
    <w:rsid w:val="001A05DB"/>
    <w:rsid w:val="001A088F"/>
    <w:rsid w:val="001A0C78"/>
    <w:rsid w:val="001A1265"/>
    <w:rsid w:val="001A1444"/>
    <w:rsid w:val="001A1876"/>
    <w:rsid w:val="001A308B"/>
    <w:rsid w:val="001A3B58"/>
    <w:rsid w:val="001A3C2B"/>
    <w:rsid w:val="001A4B4F"/>
    <w:rsid w:val="001A5A15"/>
    <w:rsid w:val="001A5A60"/>
    <w:rsid w:val="001A613C"/>
    <w:rsid w:val="001A7580"/>
    <w:rsid w:val="001A7BAE"/>
    <w:rsid w:val="001B04AE"/>
    <w:rsid w:val="001B04F0"/>
    <w:rsid w:val="001B0DC9"/>
    <w:rsid w:val="001B1641"/>
    <w:rsid w:val="001B1A48"/>
    <w:rsid w:val="001B1D1B"/>
    <w:rsid w:val="001B20B4"/>
    <w:rsid w:val="001B2100"/>
    <w:rsid w:val="001B2821"/>
    <w:rsid w:val="001B2BC7"/>
    <w:rsid w:val="001B30BD"/>
    <w:rsid w:val="001B3D49"/>
    <w:rsid w:val="001B427B"/>
    <w:rsid w:val="001B4406"/>
    <w:rsid w:val="001B473E"/>
    <w:rsid w:val="001B4891"/>
    <w:rsid w:val="001B55E3"/>
    <w:rsid w:val="001B63E0"/>
    <w:rsid w:val="001B6432"/>
    <w:rsid w:val="001B7283"/>
    <w:rsid w:val="001B7742"/>
    <w:rsid w:val="001B79DA"/>
    <w:rsid w:val="001C057E"/>
    <w:rsid w:val="001C06CC"/>
    <w:rsid w:val="001C1380"/>
    <w:rsid w:val="001C21E5"/>
    <w:rsid w:val="001C2780"/>
    <w:rsid w:val="001C2781"/>
    <w:rsid w:val="001C2FE7"/>
    <w:rsid w:val="001C37A1"/>
    <w:rsid w:val="001C4E94"/>
    <w:rsid w:val="001C5E44"/>
    <w:rsid w:val="001C6663"/>
    <w:rsid w:val="001C6904"/>
    <w:rsid w:val="001C6AA4"/>
    <w:rsid w:val="001C6B53"/>
    <w:rsid w:val="001D03D9"/>
    <w:rsid w:val="001D057B"/>
    <w:rsid w:val="001D159C"/>
    <w:rsid w:val="001D1E0B"/>
    <w:rsid w:val="001D3EDA"/>
    <w:rsid w:val="001D4154"/>
    <w:rsid w:val="001D49C0"/>
    <w:rsid w:val="001D5876"/>
    <w:rsid w:val="001D5D3B"/>
    <w:rsid w:val="001D6AB9"/>
    <w:rsid w:val="001D727D"/>
    <w:rsid w:val="001D7E0B"/>
    <w:rsid w:val="001E073A"/>
    <w:rsid w:val="001E0774"/>
    <w:rsid w:val="001E0A32"/>
    <w:rsid w:val="001E18C8"/>
    <w:rsid w:val="001E21A8"/>
    <w:rsid w:val="001E24BB"/>
    <w:rsid w:val="001E327D"/>
    <w:rsid w:val="001E39AC"/>
    <w:rsid w:val="001E5660"/>
    <w:rsid w:val="001E76BA"/>
    <w:rsid w:val="001E76EC"/>
    <w:rsid w:val="001E7C87"/>
    <w:rsid w:val="001F0042"/>
    <w:rsid w:val="001F01C3"/>
    <w:rsid w:val="001F06EE"/>
    <w:rsid w:val="001F09BB"/>
    <w:rsid w:val="001F1C5A"/>
    <w:rsid w:val="001F1E0A"/>
    <w:rsid w:val="001F1F79"/>
    <w:rsid w:val="001F2231"/>
    <w:rsid w:val="001F2254"/>
    <w:rsid w:val="001F3076"/>
    <w:rsid w:val="001F31FB"/>
    <w:rsid w:val="001F370B"/>
    <w:rsid w:val="001F3B4B"/>
    <w:rsid w:val="001F4F21"/>
    <w:rsid w:val="001F50B3"/>
    <w:rsid w:val="001F5625"/>
    <w:rsid w:val="001F5BB8"/>
    <w:rsid w:val="001F74E1"/>
    <w:rsid w:val="001F7E27"/>
    <w:rsid w:val="00200DF7"/>
    <w:rsid w:val="0020126D"/>
    <w:rsid w:val="00201499"/>
    <w:rsid w:val="00201DF5"/>
    <w:rsid w:val="00203163"/>
    <w:rsid w:val="00203604"/>
    <w:rsid w:val="00204585"/>
    <w:rsid w:val="00204896"/>
    <w:rsid w:val="00204977"/>
    <w:rsid w:val="00205C39"/>
    <w:rsid w:val="002064F7"/>
    <w:rsid w:val="00206FC2"/>
    <w:rsid w:val="002072B1"/>
    <w:rsid w:val="002104F4"/>
    <w:rsid w:val="00212D9F"/>
    <w:rsid w:val="0021313E"/>
    <w:rsid w:val="00213BAE"/>
    <w:rsid w:val="00213CDE"/>
    <w:rsid w:val="0021462C"/>
    <w:rsid w:val="002146ED"/>
    <w:rsid w:val="002148B4"/>
    <w:rsid w:val="00214F8C"/>
    <w:rsid w:val="00215595"/>
    <w:rsid w:val="002166A7"/>
    <w:rsid w:val="00216919"/>
    <w:rsid w:val="00217C63"/>
    <w:rsid w:val="00220A0F"/>
    <w:rsid w:val="00220E12"/>
    <w:rsid w:val="002213F1"/>
    <w:rsid w:val="002214F8"/>
    <w:rsid w:val="002216F2"/>
    <w:rsid w:val="0022170C"/>
    <w:rsid w:val="002219C1"/>
    <w:rsid w:val="00221FD5"/>
    <w:rsid w:val="002223A2"/>
    <w:rsid w:val="00222AC9"/>
    <w:rsid w:val="00223FC4"/>
    <w:rsid w:val="002240A2"/>
    <w:rsid w:val="002242EE"/>
    <w:rsid w:val="002243FC"/>
    <w:rsid w:val="00225004"/>
    <w:rsid w:val="00225364"/>
    <w:rsid w:val="00225A5A"/>
    <w:rsid w:val="002273EF"/>
    <w:rsid w:val="00227A53"/>
    <w:rsid w:val="00227DA1"/>
    <w:rsid w:val="00230A48"/>
    <w:rsid w:val="0023110F"/>
    <w:rsid w:val="00231F78"/>
    <w:rsid w:val="00232941"/>
    <w:rsid w:val="00232B27"/>
    <w:rsid w:val="0023321C"/>
    <w:rsid w:val="002336BF"/>
    <w:rsid w:val="00233DFD"/>
    <w:rsid w:val="00234495"/>
    <w:rsid w:val="002349CA"/>
    <w:rsid w:val="00234A28"/>
    <w:rsid w:val="002353A9"/>
    <w:rsid w:val="00235B8B"/>
    <w:rsid w:val="00235C0E"/>
    <w:rsid w:val="00235F12"/>
    <w:rsid w:val="00236256"/>
    <w:rsid w:val="0024082E"/>
    <w:rsid w:val="00240887"/>
    <w:rsid w:val="0024228B"/>
    <w:rsid w:val="002427B0"/>
    <w:rsid w:val="00244840"/>
    <w:rsid w:val="00244A47"/>
    <w:rsid w:val="00244FEF"/>
    <w:rsid w:val="00245A69"/>
    <w:rsid w:val="00245B2C"/>
    <w:rsid w:val="00245CF8"/>
    <w:rsid w:val="002464BF"/>
    <w:rsid w:val="002465B3"/>
    <w:rsid w:val="00246B5A"/>
    <w:rsid w:val="00246DB9"/>
    <w:rsid w:val="002474CF"/>
    <w:rsid w:val="00247796"/>
    <w:rsid w:val="0025000F"/>
    <w:rsid w:val="00251011"/>
    <w:rsid w:val="0025121F"/>
    <w:rsid w:val="00251886"/>
    <w:rsid w:val="00252649"/>
    <w:rsid w:val="00253001"/>
    <w:rsid w:val="00254D99"/>
    <w:rsid w:val="002552A4"/>
    <w:rsid w:val="00255D84"/>
    <w:rsid w:val="002563C7"/>
    <w:rsid w:val="00256DA1"/>
    <w:rsid w:val="00256DA7"/>
    <w:rsid w:val="0025758A"/>
    <w:rsid w:val="00260EFD"/>
    <w:rsid w:val="00260F70"/>
    <w:rsid w:val="002614B4"/>
    <w:rsid w:val="00262834"/>
    <w:rsid w:val="00263521"/>
    <w:rsid w:val="0026492B"/>
    <w:rsid w:val="00264ED2"/>
    <w:rsid w:val="00264F1F"/>
    <w:rsid w:val="00264FF8"/>
    <w:rsid w:val="002651E6"/>
    <w:rsid w:val="00265556"/>
    <w:rsid w:val="00266288"/>
    <w:rsid w:val="002665B3"/>
    <w:rsid w:val="0026667E"/>
    <w:rsid w:val="00270576"/>
    <w:rsid w:val="00270F15"/>
    <w:rsid w:val="0027171C"/>
    <w:rsid w:val="00272C08"/>
    <w:rsid w:val="00272E39"/>
    <w:rsid w:val="00272ED7"/>
    <w:rsid w:val="00272FC6"/>
    <w:rsid w:val="002735A3"/>
    <w:rsid w:val="002735CF"/>
    <w:rsid w:val="00274066"/>
    <w:rsid w:val="0027412B"/>
    <w:rsid w:val="002749EE"/>
    <w:rsid w:val="00274B7C"/>
    <w:rsid w:val="00274EF6"/>
    <w:rsid w:val="002755A0"/>
    <w:rsid w:val="00277507"/>
    <w:rsid w:val="0027781D"/>
    <w:rsid w:val="002778AB"/>
    <w:rsid w:val="00277C1A"/>
    <w:rsid w:val="00277C3D"/>
    <w:rsid w:val="00280084"/>
    <w:rsid w:val="0028155A"/>
    <w:rsid w:val="00281BAD"/>
    <w:rsid w:val="00281F8A"/>
    <w:rsid w:val="00282413"/>
    <w:rsid w:val="002838BD"/>
    <w:rsid w:val="00284C36"/>
    <w:rsid w:val="00284C77"/>
    <w:rsid w:val="00285A0D"/>
    <w:rsid w:val="00285B61"/>
    <w:rsid w:val="00285B65"/>
    <w:rsid w:val="00285CFB"/>
    <w:rsid w:val="002868DA"/>
    <w:rsid w:val="00286FD8"/>
    <w:rsid w:val="002925DE"/>
    <w:rsid w:val="002934A4"/>
    <w:rsid w:val="00293ACB"/>
    <w:rsid w:val="00293B67"/>
    <w:rsid w:val="00293E4A"/>
    <w:rsid w:val="002942DC"/>
    <w:rsid w:val="00294696"/>
    <w:rsid w:val="00294B8C"/>
    <w:rsid w:val="00294E60"/>
    <w:rsid w:val="0029568A"/>
    <w:rsid w:val="0029602A"/>
    <w:rsid w:val="00297144"/>
    <w:rsid w:val="00297164"/>
    <w:rsid w:val="002975AF"/>
    <w:rsid w:val="00297B80"/>
    <w:rsid w:val="00297E7F"/>
    <w:rsid w:val="002A0439"/>
    <w:rsid w:val="002A1172"/>
    <w:rsid w:val="002A1FB9"/>
    <w:rsid w:val="002A2851"/>
    <w:rsid w:val="002A2DC9"/>
    <w:rsid w:val="002A3E73"/>
    <w:rsid w:val="002A41BA"/>
    <w:rsid w:val="002A4966"/>
    <w:rsid w:val="002A4A28"/>
    <w:rsid w:val="002A63FC"/>
    <w:rsid w:val="002A6E03"/>
    <w:rsid w:val="002A73CD"/>
    <w:rsid w:val="002A7584"/>
    <w:rsid w:val="002A76B5"/>
    <w:rsid w:val="002A7D21"/>
    <w:rsid w:val="002B03D6"/>
    <w:rsid w:val="002B1D70"/>
    <w:rsid w:val="002B35C2"/>
    <w:rsid w:val="002B3D36"/>
    <w:rsid w:val="002B3ECD"/>
    <w:rsid w:val="002B467F"/>
    <w:rsid w:val="002B4DAD"/>
    <w:rsid w:val="002B5693"/>
    <w:rsid w:val="002B6024"/>
    <w:rsid w:val="002B6267"/>
    <w:rsid w:val="002B6A69"/>
    <w:rsid w:val="002B6E66"/>
    <w:rsid w:val="002B713E"/>
    <w:rsid w:val="002B7860"/>
    <w:rsid w:val="002B7C00"/>
    <w:rsid w:val="002C038F"/>
    <w:rsid w:val="002C0577"/>
    <w:rsid w:val="002C05AF"/>
    <w:rsid w:val="002C0BBD"/>
    <w:rsid w:val="002C13EF"/>
    <w:rsid w:val="002C14A2"/>
    <w:rsid w:val="002C1EE0"/>
    <w:rsid w:val="002C34D5"/>
    <w:rsid w:val="002C3835"/>
    <w:rsid w:val="002C3980"/>
    <w:rsid w:val="002C4139"/>
    <w:rsid w:val="002C4E0A"/>
    <w:rsid w:val="002C5F4F"/>
    <w:rsid w:val="002C604E"/>
    <w:rsid w:val="002C61C1"/>
    <w:rsid w:val="002C686F"/>
    <w:rsid w:val="002C771F"/>
    <w:rsid w:val="002C7A1D"/>
    <w:rsid w:val="002C7A57"/>
    <w:rsid w:val="002D010E"/>
    <w:rsid w:val="002D0AA8"/>
    <w:rsid w:val="002D0EBE"/>
    <w:rsid w:val="002D0F2A"/>
    <w:rsid w:val="002D0F34"/>
    <w:rsid w:val="002D141D"/>
    <w:rsid w:val="002D1F70"/>
    <w:rsid w:val="002D2103"/>
    <w:rsid w:val="002D23C1"/>
    <w:rsid w:val="002D25A7"/>
    <w:rsid w:val="002D3094"/>
    <w:rsid w:val="002D3647"/>
    <w:rsid w:val="002D3676"/>
    <w:rsid w:val="002D4AD4"/>
    <w:rsid w:val="002D4DA7"/>
    <w:rsid w:val="002D5688"/>
    <w:rsid w:val="002D56FC"/>
    <w:rsid w:val="002D5724"/>
    <w:rsid w:val="002D69F2"/>
    <w:rsid w:val="002D75BF"/>
    <w:rsid w:val="002D77A7"/>
    <w:rsid w:val="002D796F"/>
    <w:rsid w:val="002E0167"/>
    <w:rsid w:val="002E0BD0"/>
    <w:rsid w:val="002E1818"/>
    <w:rsid w:val="002E1D96"/>
    <w:rsid w:val="002E1E80"/>
    <w:rsid w:val="002E3395"/>
    <w:rsid w:val="002E494E"/>
    <w:rsid w:val="002E4AE8"/>
    <w:rsid w:val="002E6589"/>
    <w:rsid w:val="002E7412"/>
    <w:rsid w:val="002E74C0"/>
    <w:rsid w:val="002F04E7"/>
    <w:rsid w:val="002F0596"/>
    <w:rsid w:val="002F15A3"/>
    <w:rsid w:val="002F1A0C"/>
    <w:rsid w:val="002F1C84"/>
    <w:rsid w:val="002F2067"/>
    <w:rsid w:val="002F2855"/>
    <w:rsid w:val="002F2981"/>
    <w:rsid w:val="002F345B"/>
    <w:rsid w:val="002F3DB0"/>
    <w:rsid w:val="002F40E2"/>
    <w:rsid w:val="002F495F"/>
    <w:rsid w:val="002F4C9F"/>
    <w:rsid w:val="002F5568"/>
    <w:rsid w:val="002F5B90"/>
    <w:rsid w:val="002F5E52"/>
    <w:rsid w:val="002F6616"/>
    <w:rsid w:val="002F7101"/>
    <w:rsid w:val="002F79C8"/>
    <w:rsid w:val="00300064"/>
    <w:rsid w:val="0030111F"/>
    <w:rsid w:val="00301153"/>
    <w:rsid w:val="00302BCF"/>
    <w:rsid w:val="00303288"/>
    <w:rsid w:val="003045A5"/>
    <w:rsid w:val="00304792"/>
    <w:rsid w:val="00304826"/>
    <w:rsid w:val="00304D81"/>
    <w:rsid w:val="00304D92"/>
    <w:rsid w:val="0030559B"/>
    <w:rsid w:val="00305BEB"/>
    <w:rsid w:val="00305C27"/>
    <w:rsid w:val="00305C65"/>
    <w:rsid w:val="00306244"/>
    <w:rsid w:val="0030677C"/>
    <w:rsid w:val="003073BB"/>
    <w:rsid w:val="003119B3"/>
    <w:rsid w:val="00315200"/>
    <w:rsid w:val="00315BE8"/>
    <w:rsid w:val="00315F87"/>
    <w:rsid w:val="003163DA"/>
    <w:rsid w:val="00316A53"/>
    <w:rsid w:val="00316D68"/>
    <w:rsid w:val="00316D77"/>
    <w:rsid w:val="00317DA5"/>
    <w:rsid w:val="0032023D"/>
    <w:rsid w:val="00321E52"/>
    <w:rsid w:val="00322999"/>
    <w:rsid w:val="00322B13"/>
    <w:rsid w:val="00322D4C"/>
    <w:rsid w:val="00323027"/>
    <w:rsid w:val="00323656"/>
    <w:rsid w:val="003245CD"/>
    <w:rsid w:val="00324A1A"/>
    <w:rsid w:val="003252A5"/>
    <w:rsid w:val="00326363"/>
    <w:rsid w:val="00326485"/>
    <w:rsid w:val="0032650F"/>
    <w:rsid w:val="00332273"/>
    <w:rsid w:val="00332384"/>
    <w:rsid w:val="003328DD"/>
    <w:rsid w:val="00332F20"/>
    <w:rsid w:val="003345A1"/>
    <w:rsid w:val="00335DE8"/>
    <w:rsid w:val="00336293"/>
    <w:rsid w:val="003363AA"/>
    <w:rsid w:val="003368F1"/>
    <w:rsid w:val="00337DE2"/>
    <w:rsid w:val="00340756"/>
    <w:rsid w:val="00340C15"/>
    <w:rsid w:val="0034275F"/>
    <w:rsid w:val="00342776"/>
    <w:rsid w:val="003429EE"/>
    <w:rsid w:val="00342AEA"/>
    <w:rsid w:val="00342D35"/>
    <w:rsid w:val="0034447D"/>
    <w:rsid w:val="00344BF6"/>
    <w:rsid w:val="00345FFA"/>
    <w:rsid w:val="00347640"/>
    <w:rsid w:val="003478D6"/>
    <w:rsid w:val="003502D9"/>
    <w:rsid w:val="00350DC5"/>
    <w:rsid w:val="00350F38"/>
    <w:rsid w:val="003514DC"/>
    <w:rsid w:val="00352496"/>
    <w:rsid w:val="00352C63"/>
    <w:rsid w:val="00353567"/>
    <w:rsid w:val="00353584"/>
    <w:rsid w:val="00354DE3"/>
    <w:rsid w:val="003566EB"/>
    <w:rsid w:val="00356935"/>
    <w:rsid w:val="00356EDE"/>
    <w:rsid w:val="00356EEE"/>
    <w:rsid w:val="00356F45"/>
    <w:rsid w:val="00357175"/>
    <w:rsid w:val="00357D49"/>
    <w:rsid w:val="00357F73"/>
    <w:rsid w:val="003605D9"/>
    <w:rsid w:val="0036092A"/>
    <w:rsid w:val="00361091"/>
    <w:rsid w:val="0036210D"/>
    <w:rsid w:val="00363484"/>
    <w:rsid w:val="00363487"/>
    <w:rsid w:val="003641E5"/>
    <w:rsid w:val="0036433C"/>
    <w:rsid w:val="00364F26"/>
    <w:rsid w:val="003655F1"/>
    <w:rsid w:val="00366479"/>
    <w:rsid w:val="00366F08"/>
    <w:rsid w:val="003671D0"/>
    <w:rsid w:val="003673C6"/>
    <w:rsid w:val="0036777F"/>
    <w:rsid w:val="00367ECA"/>
    <w:rsid w:val="00370471"/>
    <w:rsid w:val="003714A1"/>
    <w:rsid w:val="003717AE"/>
    <w:rsid w:val="0037190B"/>
    <w:rsid w:val="003736B2"/>
    <w:rsid w:val="0037370B"/>
    <w:rsid w:val="00375634"/>
    <w:rsid w:val="00376E98"/>
    <w:rsid w:val="0037752D"/>
    <w:rsid w:val="0037752E"/>
    <w:rsid w:val="00377906"/>
    <w:rsid w:val="00380052"/>
    <w:rsid w:val="00380784"/>
    <w:rsid w:val="0038146F"/>
    <w:rsid w:val="00381478"/>
    <w:rsid w:val="00381EBF"/>
    <w:rsid w:val="00382006"/>
    <w:rsid w:val="00382296"/>
    <w:rsid w:val="00383009"/>
    <w:rsid w:val="00383795"/>
    <w:rsid w:val="0038463E"/>
    <w:rsid w:val="00384936"/>
    <w:rsid w:val="0038563F"/>
    <w:rsid w:val="00385B33"/>
    <w:rsid w:val="003869B3"/>
    <w:rsid w:val="00386FFB"/>
    <w:rsid w:val="003874EF"/>
    <w:rsid w:val="00387697"/>
    <w:rsid w:val="00387B30"/>
    <w:rsid w:val="0039000C"/>
    <w:rsid w:val="0039010C"/>
    <w:rsid w:val="00390A3C"/>
    <w:rsid w:val="003914AA"/>
    <w:rsid w:val="00391902"/>
    <w:rsid w:val="00392889"/>
    <w:rsid w:val="003931E7"/>
    <w:rsid w:val="0039358D"/>
    <w:rsid w:val="003938E9"/>
    <w:rsid w:val="00394992"/>
    <w:rsid w:val="00394A79"/>
    <w:rsid w:val="00394D89"/>
    <w:rsid w:val="003956B2"/>
    <w:rsid w:val="00397E2D"/>
    <w:rsid w:val="003A016F"/>
    <w:rsid w:val="003A0E6E"/>
    <w:rsid w:val="003A139E"/>
    <w:rsid w:val="003A246A"/>
    <w:rsid w:val="003A3292"/>
    <w:rsid w:val="003A33DD"/>
    <w:rsid w:val="003A3541"/>
    <w:rsid w:val="003A48F9"/>
    <w:rsid w:val="003A504E"/>
    <w:rsid w:val="003A5512"/>
    <w:rsid w:val="003A70D9"/>
    <w:rsid w:val="003A723C"/>
    <w:rsid w:val="003B0EB2"/>
    <w:rsid w:val="003B1063"/>
    <w:rsid w:val="003B15F7"/>
    <w:rsid w:val="003B1675"/>
    <w:rsid w:val="003B1919"/>
    <w:rsid w:val="003B3005"/>
    <w:rsid w:val="003B3148"/>
    <w:rsid w:val="003B36DD"/>
    <w:rsid w:val="003B39C5"/>
    <w:rsid w:val="003B4509"/>
    <w:rsid w:val="003B48E4"/>
    <w:rsid w:val="003B55C9"/>
    <w:rsid w:val="003B7184"/>
    <w:rsid w:val="003B78AD"/>
    <w:rsid w:val="003C0452"/>
    <w:rsid w:val="003C0DFB"/>
    <w:rsid w:val="003C1802"/>
    <w:rsid w:val="003C2124"/>
    <w:rsid w:val="003C275D"/>
    <w:rsid w:val="003C4834"/>
    <w:rsid w:val="003C4A54"/>
    <w:rsid w:val="003C4ADE"/>
    <w:rsid w:val="003C5BD7"/>
    <w:rsid w:val="003C670D"/>
    <w:rsid w:val="003C696E"/>
    <w:rsid w:val="003C7CEF"/>
    <w:rsid w:val="003D03F5"/>
    <w:rsid w:val="003D0445"/>
    <w:rsid w:val="003D057A"/>
    <w:rsid w:val="003D1F68"/>
    <w:rsid w:val="003D2CA7"/>
    <w:rsid w:val="003D3864"/>
    <w:rsid w:val="003D46D5"/>
    <w:rsid w:val="003D56CA"/>
    <w:rsid w:val="003D5C22"/>
    <w:rsid w:val="003D601D"/>
    <w:rsid w:val="003D6C32"/>
    <w:rsid w:val="003D72F2"/>
    <w:rsid w:val="003D72F8"/>
    <w:rsid w:val="003E0648"/>
    <w:rsid w:val="003E0B0A"/>
    <w:rsid w:val="003E0CAC"/>
    <w:rsid w:val="003E133F"/>
    <w:rsid w:val="003E14EE"/>
    <w:rsid w:val="003E3244"/>
    <w:rsid w:val="003E341C"/>
    <w:rsid w:val="003E3D85"/>
    <w:rsid w:val="003E4F79"/>
    <w:rsid w:val="003E5361"/>
    <w:rsid w:val="003E587B"/>
    <w:rsid w:val="003E58C2"/>
    <w:rsid w:val="003E594B"/>
    <w:rsid w:val="003E5DB5"/>
    <w:rsid w:val="003E6120"/>
    <w:rsid w:val="003E628C"/>
    <w:rsid w:val="003E72CB"/>
    <w:rsid w:val="003E73E1"/>
    <w:rsid w:val="003E78DE"/>
    <w:rsid w:val="003E7E61"/>
    <w:rsid w:val="003F0A5B"/>
    <w:rsid w:val="003F0D24"/>
    <w:rsid w:val="003F28E2"/>
    <w:rsid w:val="003F2CF0"/>
    <w:rsid w:val="003F3657"/>
    <w:rsid w:val="003F3F2A"/>
    <w:rsid w:val="003F4222"/>
    <w:rsid w:val="003F551B"/>
    <w:rsid w:val="003F5786"/>
    <w:rsid w:val="003F5C46"/>
    <w:rsid w:val="003F6748"/>
    <w:rsid w:val="003F7066"/>
    <w:rsid w:val="00400131"/>
    <w:rsid w:val="004010FE"/>
    <w:rsid w:val="00401341"/>
    <w:rsid w:val="004019F3"/>
    <w:rsid w:val="00401C15"/>
    <w:rsid w:val="00402603"/>
    <w:rsid w:val="00403A5A"/>
    <w:rsid w:val="00404F25"/>
    <w:rsid w:val="0040588F"/>
    <w:rsid w:val="0040695C"/>
    <w:rsid w:val="0041024A"/>
    <w:rsid w:val="0041091E"/>
    <w:rsid w:val="00410E14"/>
    <w:rsid w:val="00412198"/>
    <w:rsid w:val="004122BC"/>
    <w:rsid w:val="00412731"/>
    <w:rsid w:val="00412767"/>
    <w:rsid w:val="00413406"/>
    <w:rsid w:val="0041361C"/>
    <w:rsid w:val="004137AF"/>
    <w:rsid w:val="004141F1"/>
    <w:rsid w:val="004142E2"/>
    <w:rsid w:val="00414655"/>
    <w:rsid w:val="00414817"/>
    <w:rsid w:val="00414B15"/>
    <w:rsid w:val="00414D71"/>
    <w:rsid w:val="0041575F"/>
    <w:rsid w:val="004159B0"/>
    <w:rsid w:val="00415FB3"/>
    <w:rsid w:val="004169E1"/>
    <w:rsid w:val="004204F4"/>
    <w:rsid w:val="0042116C"/>
    <w:rsid w:val="004211A0"/>
    <w:rsid w:val="0042138F"/>
    <w:rsid w:val="0042239B"/>
    <w:rsid w:val="00422662"/>
    <w:rsid w:val="00422EE3"/>
    <w:rsid w:val="004234B0"/>
    <w:rsid w:val="0042353A"/>
    <w:rsid w:val="00424C8C"/>
    <w:rsid w:val="00425449"/>
    <w:rsid w:val="004256BC"/>
    <w:rsid w:val="00426F4E"/>
    <w:rsid w:val="004305B9"/>
    <w:rsid w:val="004355BE"/>
    <w:rsid w:val="004357B1"/>
    <w:rsid w:val="004359A2"/>
    <w:rsid w:val="00435B65"/>
    <w:rsid w:val="004378F3"/>
    <w:rsid w:val="00437AC6"/>
    <w:rsid w:val="00440133"/>
    <w:rsid w:val="0044108E"/>
    <w:rsid w:val="00442640"/>
    <w:rsid w:val="00443A9D"/>
    <w:rsid w:val="00444447"/>
    <w:rsid w:val="00445CD4"/>
    <w:rsid w:val="004461EC"/>
    <w:rsid w:val="00446DE8"/>
    <w:rsid w:val="0044706D"/>
    <w:rsid w:val="004470DC"/>
    <w:rsid w:val="004475B8"/>
    <w:rsid w:val="004477CD"/>
    <w:rsid w:val="00450FD5"/>
    <w:rsid w:val="00452A52"/>
    <w:rsid w:val="00453550"/>
    <w:rsid w:val="00455F18"/>
    <w:rsid w:val="0045724D"/>
    <w:rsid w:val="0045750B"/>
    <w:rsid w:val="004608CE"/>
    <w:rsid w:val="004608F6"/>
    <w:rsid w:val="00460A0E"/>
    <w:rsid w:val="00460FEA"/>
    <w:rsid w:val="00462A9F"/>
    <w:rsid w:val="00463DAB"/>
    <w:rsid w:val="0046440B"/>
    <w:rsid w:val="00465584"/>
    <w:rsid w:val="00466F37"/>
    <w:rsid w:val="004672C7"/>
    <w:rsid w:val="004676A7"/>
    <w:rsid w:val="004676DD"/>
    <w:rsid w:val="004677D9"/>
    <w:rsid w:val="00467F36"/>
    <w:rsid w:val="0047094C"/>
    <w:rsid w:val="00470952"/>
    <w:rsid w:val="00470EEE"/>
    <w:rsid w:val="004712F6"/>
    <w:rsid w:val="00473954"/>
    <w:rsid w:val="00474325"/>
    <w:rsid w:val="0047516A"/>
    <w:rsid w:val="00476715"/>
    <w:rsid w:val="0047704D"/>
    <w:rsid w:val="0047709A"/>
    <w:rsid w:val="004779AA"/>
    <w:rsid w:val="00477A78"/>
    <w:rsid w:val="00480FBE"/>
    <w:rsid w:val="0048168D"/>
    <w:rsid w:val="00482AF0"/>
    <w:rsid w:val="00483394"/>
    <w:rsid w:val="004852C3"/>
    <w:rsid w:val="00485D4E"/>
    <w:rsid w:val="00485E6D"/>
    <w:rsid w:val="00485EBE"/>
    <w:rsid w:val="004860DB"/>
    <w:rsid w:val="004860F8"/>
    <w:rsid w:val="00486A8B"/>
    <w:rsid w:val="0048779D"/>
    <w:rsid w:val="00487EB3"/>
    <w:rsid w:val="00490601"/>
    <w:rsid w:val="004921D3"/>
    <w:rsid w:val="004930AE"/>
    <w:rsid w:val="004934F9"/>
    <w:rsid w:val="00493BC9"/>
    <w:rsid w:val="0049453A"/>
    <w:rsid w:val="00496045"/>
    <w:rsid w:val="0049715B"/>
    <w:rsid w:val="00497CA9"/>
    <w:rsid w:val="004A0385"/>
    <w:rsid w:val="004A175F"/>
    <w:rsid w:val="004A1894"/>
    <w:rsid w:val="004A2CA6"/>
    <w:rsid w:val="004A3A1B"/>
    <w:rsid w:val="004A3FC5"/>
    <w:rsid w:val="004A4107"/>
    <w:rsid w:val="004A6387"/>
    <w:rsid w:val="004A65E5"/>
    <w:rsid w:val="004A683C"/>
    <w:rsid w:val="004A6BE0"/>
    <w:rsid w:val="004A7084"/>
    <w:rsid w:val="004A798C"/>
    <w:rsid w:val="004B08AE"/>
    <w:rsid w:val="004B15E5"/>
    <w:rsid w:val="004B1BA7"/>
    <w:rsid w:val="004B2587"/>
    <w:rsid w:val="004B3184"/>
    <w:rsid w:val="004B3522"/>
    <w:rsid w:val="004B3941"/>
    <w:rsid w:val="004B3DC0"/>
    <w:rsid w:val="004B4538"/>
    <w:rsid w:val="004B4718"/>
    <w:rsid w:val="004B49ED"/>
    <w:rsid w:val="004B54A0"/>
    <w:rsid w:val="004B5615"/>
    <w:rsid w:val="004B600E"/>
    <w:rsid w:val="004B6377"/>
    <w:rsid w:val="004B6DB5"/>
    <w:rsid w:val="004B7667"/>
    <w:rsid w:val="004B76DD"/>
    <w:rsid w:val="004B7EE9"/>
    <w:rsid w:val="004C011C"/>
    <w:rsid w:val="004C23DE"/>
    <w:rsid w:val="004C319A"/>
    <w:rsid w:val="004C4FBE"/>
    <w:rsid w:val="004C5215"/>
    <w:rsid w:val="004C531B"/>
    <w:rsid w:val="004C5585"/>
    <w:rsid w:val="004C5952"/>
    <w:rsid w:val="004C6A24"/>
    <w:rsid w:val="004C6A8C"/>
    <w:rsid w:val="004C6DBD"/>
    <w:rsid w:val="004C73D2"/>
    <w:rsid w:val="004C7597"/>
    <w:rsid w:val="004C7720"/>
    <w:rsid w:val="004C7D9F"/>
    <w:rsid w:val="004D0F0C"/>
    <w:rsid w:val="004D0FBC"/>
    <w:rsid w:val="004D11B0"/>
    <w:rsid w:val="004D3077"/>
    <w:rsid w:val="004D3D93"/>
    <w:rsid w:val="004D52B7"/>
    <w:rsid w:val="004D6731"/>
    <w:rsid w:val="004D6D8C"/>
    <w:rsid w:val="004E1BBB"/>
    <w:rsid w:val="004E27B8"/>
    <w:rsid w:val="004E2862"/>
    <w:rsid w:val="004E2BBC"/>
    <w:rsid w:val="004E2F73"/>
    <w:rsid w:val="004E3BED"/>
    <w:rsid w:val="004E3F6D"/>
    <w:rsid w:val="004E4FEE"/>
    <w:rsid w:val="004E5A85"/>
    <w:rsid w:val="004E5C63"/>
    <w:rsid w:val="004E5EDC"/>
    <w:rsid w:val="004E68D1"/>
    <w:rsid w:val="004E78F9"/>
    <w:rsid w:val="004E7921"/>
    <w:rsid w:val="004E7C9A"/>
    <w:rsid w:val="004E7FC0"/>
    <w:rsid w:val="004F100D"/>
    <w:rsid w:val="004F176F"/>
    <w:rsid w:val="004F1799"/>
    <w:rsid w:val="004F1A1E"/>
    <w:rsid w:val="004F1A9D"/>
    <w:rsid w:val="004F2A82"/>
    <w:rsid w:val="004F32B0"/>
    <w:rsid w:val="004F33E6"/>
    <w:rsid w:val="004F3A83"/>
    <w:rsid w:val="004F3AF8"/>
    <w:rsid w:val="004F48CA"/>
    <w:rsid w:val="004F4EA4"/>
    <w:rsid w:val="004F5151"/>
    <w:rsid w:val="004F5846"/>
    <w:rsid w:val="004F61B2"/>
    <w:rsid w:val="004F642D"/>
    <w:rsid w:val="004F7220"/>
    <w:rsid w:val="0050036A"/>
    <w:rsid w:val="0050064E"/>
    <w:rsid w:val="005006C5"/>
    <w:rsid w:val="0050092B"/>
    <w:rsid w:val="00501BA4"/>
    <w:rsid w:val="00501C0C"/>
    <w:rsid w:val="00501DDE"/>
    <w:rsid w:val="00502281"/>
    <w:rsid w:val="00502485"/>
    <w:rsid w:val="00502DBC"/>
    <w:rsid w:val="00503A1D"/>
    <w:rsid w:val="00504B1E"/>
    <w:rsid w:val="00504C06"/>
    <w:rsid w:val="00505883"/>
    <w:rsid w:val="00505E9D"/>
    <w:rsid w:val="00505F44"/>
    <w:rsid w:val="00506C06"/>
    <w:rsid w:val="005070F7"/>
    <w:rsid w:val="0050722B"/>
    <w:rsid w:val="005074A9"/>
    <w:rsid w:val="00507960"/>
    <w:rsid w:val="00510B78"/>
    <w:rsid w:val="00511AA2"/>
    <w:rsid w:val="00512B1C"/>
    <w:rsid w:val="00513021"/>
    <w:rsid w:val="005134E6"/>
    <w:rsid w:val="00513D92"/>
    <w:rsid w:val="00514725"/>
    <w:rsid w:val="00514756"/>
    <w:rsid w:val="005147B9"/>
    <w:rsid w:val="00514A30"/>
    <w:rsid w:val="00515D86"/>
    <w:rsid w:val="005165EB"/>
    <w:rsid w:val="005173D2"/>
    <w:rsid w:val="005178BF"/>
    <w:rsid w:val="00517AAD"/>
    <w:rsid w:val="00517E9C"/>
    <w:rsid w:val="005205D6"/>
    <w:rsid w:val="00520CAF"/>
    <w:rsid w:val="005231D9"/>
    <w:rsid w:val="005233AF"/>
    <w:rsid w:val="0052417C"/>
    <w:rsid w:val="005241CC"/>
    <w:rsid w:val="0052506A"/>
    <w:rsid w:val="00525755"/>
    <w:rsid w:val="005258A1"/>
    <w:rsid w:val="00525D47"/>
    <w:rsid w:val="00526894"/>
    <w:rsid w:val="005271C9"/>
    <w:rsid w:val="005277B9"/>
    <w:rsid w:val="00530A23"/>
    <w:rsid w:val="00530C40"/>
    <w:rsid w:val="0053207F"/>
    <w:rsid w:val="0053235A"/>
    <w:rsid w:val="005326D6"/>
    <w:rsid w:val="00532FB7"/>
    <w:rsid w:val="005337EC"/>
    <w:rsid w:val="0053383B"/>
    <w:rsid w:val="00533ACB"/>
    <w:rsid w:val="00534985"/>
    <w:rsid w:val="00534E17"/>
    <w:rsid w:val="00534E27"/>
    <w:rsid w:val="00535698"/>
    <w:rsid w:val="005356B1"/>
    <w:rsid w:val="005358CC"/>
    <w:rsid w:val="00535A13"/>
    <w:rsid w:val="00536841"/>
    <w:rsid w:val="00536CF2"/>
    <w:rsid w:val="0053711F"/>
    <w:rsid w:val="005404F5"/>
    <w:rsid w:val="0054078F"/>
    <w:rsid w:val="005409CA"/>
    <w:rsid w:val="00540AAB"/>
    <w:rsid w:val="00540EF0"/>
    <w:rsid w:val="00541060"/>
    <w:rsid w:val="00541FBD"/>
    <w:rsid w:val="00543139"/>
    <w:rsid w:val="005434A4"/>
    <w:rsid w:val="005436D9"/>
    <w:rsid w:val="00544394"/>
    <w:rsid w:val="005447A2"/>
    <w:rsid w:val="0054480B"/>
    <w:rsid w:val="00544DCF"/>
    <w:rsid w:val="00545065"/>
    <w:rsid w:val="005450F4"/>
    <w:rsid w:val="00545FFB"/>
    <w:rsid w:val="005469CA"/>
    <w:rsid w:val="00547150"/>
    <w:rsid w:val="005500A1"/>
    <w:rsid w:val="005507D1"/>
    <w:rsid w:val="005517D1"/>
    <w:rsid w:val="00551B42"/>
    <w:rsid w:val="00552DF3"/>
    <w:rsid w:val="00552F86"/>
    <w:rsid w:val="00553D25"/>
    <w:rsid w:val="00554C04"/>
    <w:rsid w:val="005551DC"/>
    <w:rsid w:val="0055616E"/>
    <w:rsid w:val="00557015"/>
    <w:rsid w:val="0055703D"/>
    <w:rsid w:val="0056077F"/>
    <w:rsid w:val="00560B61"/>
    <w:rsid w:val="00560F47"/>
    <w:rsid w:val="005611B6"/>
    <w:rsid w:val="00561223"/>
    <w:rsid w:val="00561528"/>
    <w:rsid w:val="0056175C"/>
    <w:rsid w:val="00561BE5"/>
    <w:rsid w:val="00562B77"/>
    <w:rsid w:val="00562E39"/>
    <w:rsid w:val="00562FCD"/>
    <w:rsid w:val="00563B06"/>
    <w:rsid w:val="0056591C"/>
    <w:rsid w:val="00565E49"/>
    <w:rsid w:val="0056621C"/>
    <w:rsid w:val="0056768A"/>
    <w:rsid w:val="00567A5D"/>
    <w:rsid w:val="00567BDA"/>
    <w:rsid w:val="00567C24"/>
    <w:rsid w:val="00570425"/>
    <w:rsid w:val="005706BB"/>
    <w:rsid w:val="005709AB"/>
    <w:rsid w:val="0057169B"/>
    <w:rsid w:val="00572D07"/>
    <w:rsid w:val="00572D08"/>
    <w:rsid w:val="00573015"/>
    <w:rsid w:val="0057394A"/>
    <w:rsid w:val="00573E3E"/>
    <w:rsid w:val="00574579"/>
    <w:rsid w:val="00574D3F"/>
    <w:rsid w:val="00575811"/>
    <w:rsid w:val="00577CB8"/>
    <w:rsid w:val="00580578"/>
    <w:rsid w:val="00580C5C"/>
    <w:rsid w:val="00580DA7"/>
    <w:rsid w:val="005812A3"/>
    <w:rsid w:val="00581EC3"/>
    <w:rsid w:val="005823DD"/>
    <w:rsid w:val="005828BB"/>
    <w:rsid w:val="00582C14"/>
    <w:rsid w:val="00583595"/>
    <w:rsid w:val="00583EB9"/>
    <w:rsid w:val="0058408A"/>
    <w:rsid w:val="005846F6"/>
    <w:rsid w:val="00584AF2"/>
    <w:rsid w:val="00585748"/>
    <w:rsid w:val="00586477"/>
    <w:rsid w:val="0058687D"/>
    <w:rsid w:val="00587A6E"/>
    <w:rsid w:val="00590224"/>
    <w:rsid w:val="00590A22"/>
    <w:rsid w:val="00591165"/>
    <w:rsid w:val="00591417"/>
    <w:rsid w:val="005916BF"/>
    <w:rsid w:val="00592BAA"/>
    <w:rsid w:val="00592C10"/>
    <w:rsid w:val="00593354"/>
    <w:rsid w:val="0059555F"/>
    <w:rsid w:val="0059763F"/>
    <w:rsid w:val="005978CC"/>
    <w:rsid w:val="005A021D"/>
    <w:rsid w:val="005A0694"/>
    <w:rsid w:val="005A11B6"/>
    <w:rsid w:val="005A2D1F"/>
    <w:rsid w:val="005A3D97"/>
    <w:rsid w:val="005A4B00"/>
    <w:rsid w:val="005A4EE2"/>
    <w:rsid w:val="005A7E6B"/>
    <w:rsid w:val="005B0379"/>
    <w:rsid w:val="005B13A1"/>
    <w:rsid w:val="005B3328"/>
    <w:rsid w:val="005B3C39"/>
    <w:rsid w:val="005B4211"/>
    <w:rsid w:val="005B4D75"/>
    <w:rsid w:val="005B504B"/>
    <w:rsid w:val="005B54FA"/>
    <w:rsid w:val="005B746C"/>
    <w:rsid w:val="005C00D0"/>
    <w:rsid w:val="005C0578"/>
    <w:rsid w:val="005C19EF"/>
    <w:rsid w:val="005C2013"/>
    <w:rsid w:val="005C23FC"/>
    <w:rsid w:val="005C2BA6"/>
    <w:rsid w:val="005C3029"/>
    <w:rsid w:val="005C47E9"/>
    <w:rsid w:val="005C66AB"/>
    <w:rsid w:val="005C6C7D"/>
    <w:rsid w:val="005C7A32"/>
    <w:rsid w:val="005C7B4B"/>
    <w:rsid w:val="005D07B8"/>
    <w:rsid w:val="005D1B4C"/>
    <w:rsid w:val="005D256D"/>
    <w:rsid w:val="005D42CE"/>
    <w:rsid w:val="005D46CC"/>
    <w:rsid w:val="005D4D65"/>
    <w:rsid w:val="005D582D"/>
    <w:rsid w:val="005D6141"/>
    <w:rsid w:val="005D6298"/>
    <w:rsid w:val="005D642B"/>
    <w:rsid w:val="005D663A"/>
    <w:rsid w:val="005D6B23"/>
    <w:rsid w:val="005D79A5"/>
    <w:rsid w:val="005E05CE"/>
    <w:rsid w:val="005E09BA"/>
    <w:rsid w:val="005E0B4A"/>
    <w:rsid w:val="005E1070"/>
    <w:rsid w:val="005E3706"/>
    <w:rsid w:val="005E4353"/>
    <w:rsid w:val="005E6C4E"/>
    <w:rsid w:val="005E71A8"/>
    <w:rsid w:val="005E72D7"/>
    <w:rsid w:val="005F0BDC"/>
    <w:rsid w:val="005F1A8F"/>
    <w:rsid w:val="005F2423"/>
    <w:rsid w:val="005F2F86"/>
    <w:rsid w:val="005F3477"/>
    <w:rsid w:val="005F36ED"/>
    <w:rsid w:val="005F3C1D"/>
    <w:rsid w:val="005F3C69"/>
    <w:rsid w:val="005F48D1"/>
    <w:rsid w:val="005F4F02"/>
    <w:rsid w:val="005F55A7"/>
    <w:rsid w:val="005F562B"/>
    <w:rsid w:val="005F5B88"/>
    <w:rsid w:val="005F7D3E"/>
    <w:rsid w:val="00600145"/>
    <w:rsid w:val="0060202A"/>
    <w:rsid w:val="006020E5"/>
    <w:rsid w:val="0060381A"/>
    <w:rsid w:val="00603A12"/>
    <w:rsid w:val="0060462B"/>
    <w:rsid w:val="00605089"/>
    <w:rsid w:val="0060584F"/>
    <w:rsid w:val="00605D80"/>
    <w:rsid w:val="00605E9F"/>
    <w:rsid w:val="006064D2"/>
    <w:rsid w:val="0060663C"/>
    <w:rsid w:val="0061067D"/>
    <w:rsid w:val="00610E31"/>
    <w:rsid w:val="00610E3D"/>
    <w:rsid w:val="00611B0D"/>
    <w:rsid w:val="00612F9F"/>
    <w:rsid w:val="00613B90"/>
    <w:rsid w:val="00613F24"/>
    <w:rsid w:val="00613F33"/>
    <w:rsid w:val="0061412C"/>
    <w:rsid w:val="00615266"/>
    <w:rsid w:val="0061527C"/>
    <w:rsid w:val="0061657A"/>
    <w:rsid w:val="00616857"/>
    <w:rsid w:val="00616EA5"/>
    <w:rsid w:val="00616F4D"/>
    <w:rsid w:val="006173CE"/>
    <w:rsid w:val="00620A62"/>
    <w:rsid w:val="00621BC8"/>
    <w:rsid w:val="00623247"/>
    <w:rsid w:val="0062338F"/>
    <w:rsid w:val="00624B3D"/>
    <w:rsid w:val="00624C59"/>
    <w:rsid w:val="006254CF"/>
    <w:rsid w:val="00625806"/>
    <w:rsid w:val="00626017"/>
    <w:rsid w:val="00626A76"/>
    <w:rsid w:val="006301AC"/>
    <w:rsid w:val="0063078D"/>
    <w:rsid w:val="00630797"/>
    <w:rsid w:val="00630BBC"/>
    <w:rsid w:val="0063128B"/>
    <w:rsid w:val="006312DD"/>
    <w:rsid w:val="006312FB"/>
    <w:rsid w:val="006315DC"/>
    <w:rsid w:val="0063215F"/>
    <w:rsid w:val="00632F2D"/>
    <w:rsid w:val="0063316C"/>
    <w:rsid w:val="00633E33"/>
    <w:rsid w:val="00634DAD"/>
    <w:rsid w:val="00635189"/>
    <w:rsid w:val="006355DB"/>
    <w:rsid w:val="00635658"/>
    <w:rsid w:val="006356A3"/>
    <w:rsid w:val="00635832"/>
    <w:rsid w:val="00637375"/>
    <w:rsid w:val="00637CA1"/>
    <w:rsid w:val="00637DAB"/>
    <w:rsid w:val="00637E33"/>
    <w:rsid w:val="006402DC"/>
    <w:rsid w:val="006405A2"/>
    <w:rsid w:val="00642C33"/>
    <w:rsid w:val="006433A2"/>
    <w:rsid w:val="00644F7C"/>
    <w:rsid w:val="006457EB"/>
    <w:rsid w:val="00645944"/>
    <w:rsid w:val="0064651B"/>
    <w:rsid w:val="00646FAF"/>
    <w:rsid w:val="00647AB3"/>
    <w:rsid w:val="006500AE"/>
    <w:rsid w:val="006503C8"/>
    <w:rsid w:val="0065185B"/>
    <w:rsid w:val="00652017"/>
    <w:rsid w:val="00652D8A"/>
    <w:rsid w:val="006531CB"/>
    <w:rsid w:val="006535C6"/>
    <w:rsid w:val="00654428"/>
    <w:rsid w:val="0065519F"/>
    <w:rsid w:val="006555B1"/>
    <w:rsid w:val="006558C1"/>
    <w:rsid w:val="006574FE"/>
    <w:rsid w:val="00657ACB"/>
    <w:rsid w:val="00660A03"/>
    <w:rsid w:val="00661F57"/>
    <w:rsid w:val="006625CC"/>
    <w:rsid w:val="00663833"/>
    <w:rsid w:val="006638DF"/>
    <w:rsid w:val="00663CC2"/>
    <w:rsid w:val="00663E1E"/>
    <w:rsid w:val="00664B97"/>
    <w:rsid w:val="00664FBF"/>
    <w:rsid w:val="00665B9E"/>
    <w:rsid w:val="00665F09"/>
    <w:rsid w:val="00666F39"/>
    <w:rsid w:val="0067038C"/>
    <w:rsid w:val="0067095B"/>
    <w:rsid w:val="006709D1"/>
    <w:rsid w:val="006714ED"/>
    <w:rsid w:val="0067163D"/>
    <w:rsid w:val="0067189D"/>
    <w:rsid w:val="0067215A"/>
    <w:rsid w:val="00672967"/>
    <w:rsid w:val="00672C1B"/>
    <w:rsid w:val="00673070"/>
    <w:rsid w:val="00674844"/>
    <w:rsid w:val="00674B24"/>
    <w:rsid w:val="00675608"/>
    <w:rsid w:val="00675729"/>
    <w:rsid w:val="006759EB"/>
    <w:rsid w:val="00675BC2"/>
    <w:rsid w:val="00676EDE"/>
    <w:rsid w:val="00680246"/>
    <w:rsid w:val="006803D8"/>
    <w:rsid w:val="00681151"/>
    <w:rsid w:val="006817C0"/>
    <w:rsid w:val="0068218A"/>
    <w:rsid w:val="006828B8"/>
    <w:rsid w:val="00684700"/>
    <w:rsid w:val="00685024"/>
    <w:rsid w:val="0068551B"/>
    <w:rsid w:val="00685E76"/>
    <w:rsid w:val="006867F6"/>
    <w:rsid w:val="00687DCB"/>
    <w:rsid w:val="00687E8B"/>
    <w:rsid w:val="00690716"/>
    <w:rsid w:val="006908AC"/>
    <w:rsid w:val="00690A9F"/>
    <w:rsid w:val="006923F2"/>
    <w:rsid w:val="00692A0E"/>
    <w:rsid w:val="006934B5"/>
    <w:rsid w:val="006939DD"/>
    <w:rsid w:val="00694178"/>
    <w:rsid w:val="006954E0"/>
    <w:rsid w:val="006955B8"/>
    <w:rsid w:val="00695EBE"/>
    <w:rsid w:val="0069622B"/>
    <w:rsid w:val="006963CE"/>
    <w:rsid w:val="006966E1"/>
    <w:rsid w:val="006967CD"/>
    <w:rsid w:val="00696ECA"/>
    <w:rsid w:val="00697587"/>
    <w:rsid w:val="00697D4B"/>
    <w:rsid w:val="006A0B86"/>
    <w:rsid w:val="006A1159"/>
    <w:rsid w:val="006A122F"/>
    <w:rsid w:val="006A1E72"/>
    <w:rsid w:val="006A3114"/>
    <w:rsid w:val="006A3144"/>
    <w:rsid w:val="006A37AD"/>
    <w:rsid w:val="006A398B"/>
    <w:rsid w:val="006A4705"/>
    <w:rsid w:val="006A48C2"/>
    <w:rsid w:val="006A4EFF"/>
    <w:rsid w:val="006A5130"/>
    <w:rsid w:val="006A522E"/>
    <w:rsid w:val="006A5D4A"/>
    <w:rsid w:val="006A6299"/>
    <w:rsid w:val="006A759C"/>
    <w:rsid w:val="006B0023"/>
    <w:rsid w:val="006B0EED"/>
    <w:rsid w:val="006B0FCC"/>
    <w:rsid w:val="006B12C6"/>
    <w:rsid w:val="006B1DAB"/>
    <w:rsid w:val="006B1EFE"/>
    <w:rsid w:val="006B455D"/>
    <w:rsid w:val="006B45A9"/>
    <w:rsid w:val="006B48BD"/>
    <w:rsid w:val="006B5CF2"/>
    <w:rsid w:val="006B6845"/>
    <w:rsid w:val="006B6E33"/>
    <w:rsid w:val="006B78CC"/>
    <w:rsid w:val="006B7B31"/>
    <w:rsid w:val="006C157E"/>
    <w:rsid w:val="006C1D9D"/>
    <w:rsid w:val="006C1EA1"/>
    <w:rsid w:val="006C2F63"/>
    <w:rsid w:val="006C316B"/>
    <w:rsid w:val="006C336F"/>
    <w:rsid w:val="006C3AA1"/>
    <w:rsid w:val="006C4721"/>
    <w:rsid w:val="006C4736"/>
    <w:rsid w:val="006C5546"/>
    <w:rsid w:val="006C721B"/>
    <w:rsid w:val="006C7670"/>
    <w:rsid w:val="006C76B1"/>
    <w:rsid w:val="006D0833"/>
    <w:rsid w:val="006D0ADD"/>
    <w:rsid w:val="006D17B4"/>
    <w:rsid w:val="006D219E"/>
    <w:rsid w:val="006D4161"/>
    <w:rsid w:val="006D468F"/>
    <w:rsid w:val="006D58DC"/>
    <w:rsid w:val="006D667F"/>
    <w:rsid w:val="006D6B6B"/>
    <w:rsid w:val="006D755B"/>
    <w:rsid w:val="006D786C"/>
    <w:rsid w:val="006E015C"/>
    <w:rsid w:val="006E01C2"/>
    <w:rsid w:val="006E0800"/>
    <w:rsid w:val="006E08B0"/>
    <w:rsid w:val="006E0AA4"/>
    <w:rsid w:val="006E181A"/>
    <w:rsid w:val="006E1D03"/>
    <w:rsid w:val="006E1D73"/>
    <w:rsid w:val="006E2038"/>
    <w:rsid w:val="006E266C"/>
    <w:rsid w:val="006E35DB"/>
    <w:rsid w:val="006E4ACA"/>
    <w:rsid w:val="006E53D2"/>
    <w:rsid w:val="006E55F7"/>
    <w:rsid w:val="006E657E"/>
    <w:rsid w:val="006E66D9"/>
    <w:rsid w:val="006E6E0A"/>
    <w:rsid w:val="006E6ECC"/>
    <w:rsid w:val="006E713F"/>
    <w:rsid w:val="006F00A1"/>
    <w:rsid w:val="006F011C"/>
    <w:rsid w:val="006F0FE2"/>
    <w:rsid w:val="006F285F"/>
    <w:rsid w:val="006F2E7D"/>
    <w:rsid w:val="006F32BF"/>
    <w:rsid w:val="006F3343"/>
    <w:rsid w:val="006F334B"/>
    <w:rsid w:val="006F393A"/>
    <w:rsid w:val="006F4BC8"/>
    <w:rsid w:val="006F4D55"/>
    <w:rsid w:val="006F4D6C"/>
    <w:rsid w:val="006F5773"/>
    <w:rsid w:val="006F5B86"/>
    <w:rsid w:val="006F7012"/>
    <w:rsid w:val="006F7E1B"/>
    <w:rsid w:val="0070007A"/>
    <w:rsid w:val="007011BF"/>
    <w:rsid w:val="00702870"/>
    <w:rsid w:val="00702B67"/>
    <w:rsid w:val="00702D2F"/>
    <w:rsid w:val="00702D32"/>
    <w:rsid w:val="00702E1B"/>
    <w:rsid w:val="007034EC"/>
    <w:rsid w:val="00703869"/>
    <w:rsid w:val="00704A95"/>
    <w:rsid w:val="00705875"/>
    <w:rsid w:val="00705F26"/>
    <w:rsid w:val="00705F49"/>
    <w:rsid w:val="007060BC"/>
    <w:rsid w:val="007064DF"/>
    <w:rsid w:val="007077CE"/>
    <w:rsid w:val="00707F5A"/>
    <w:rsid w:val="00710039"/>
    <w:rsid w:val="007109A9"/>
    <w:rsid w:val="00712239"/>
    <w:rsid w:val="007140DE"/>
    <w:rsid w:val="007146D2"/>
    <w:rsid w:val="00714CF9"/>
    <w:rsid w:val="00715609"/>
    <w:rsid w:val="007157D8"/>
    <w:rsid w:val="0071685D"/>
    <w:rsid w:val="00716EDB"/>
    <w:rsid w:val="0071718B"/>
    <w:rsid w:val="007205BE"/>
    <w:rsid w:val="00720D63"/>
    <w:rsid w:val="0072113A"/>
    <w:rsid w:val="0072219B"/>
    <w:rsid w:val="007223ED"/>
    <w:rsid w:val="00722504"/>
    <w:rsid w:val="0072296F"/>
    <w:rsid w:val="007232FB"/>
    <w:rsid w:val="007237D8"/>
    <w:rsid w:val="00723A66"/>
    <w:rsid w:val="00723CC7"/>
    <w:rsid w:val="0072430A"/>
    <w:rsid w:val="00724383"/>
    <w:rsid w:val="007243C7"/>
    <w:rsid w:val="00724468"/>
    <w:rsid w:val="00724A87"/>
    <w:rsid w:val="00725ABE"/>
    <w:rsid w:val="00725B06"/>
    <w:rsid w:val="00725B0C"/>
    <w:rsid w:val="007273F1"/>
    <w:rsid w:val="00727657"/>
    <w:rsid w:val="00727F0F"/>
    <w:rsid w:val="00730064"/>
    <w:rsid w:val="007306D1"/>
    <w:rsid w:val="007309BE"/>
    <w:rsid w:val="00730A5F"/>
    <w:rsid w:val="00730B5C"/>
    <w:rsid w:val="00730CEA"/>
    <w:rsid w:val="00731459"/>
    <w:rsid w:val="00731E34"/>
    <w:rsid w:val="0073216A"/>
    <w:rsid w:val="00732181"/>
    <w:rsid w:val="00732650"/>
    <w:rsid w:val="00733544"/>
    <w:rsid w:val="00734006"/>
    <w:rsid w:val="00734B81"/>
    <w:rsid w:val="007352CD"/>
    <w:rsid w:val="007355A6"/>
    <w:rsid w:val="007355AA"/>
    <w:rsid w:val="007355E2"/>
    <w:rsid w:val="00735968"/>
    <w:rsid w:val="00735EDC"/>
    <w:rsid w:val="0073638E"/>
    <w:rsid w:val="00736F20"/>
    <w:rsid w:val="00740375"/>
    <w:rsid w:val="007405B4"/>
    <w:rsid w:val="00740B14"/>
    <w:rsid w:val="00740F4B"/>
    <w:rsid w:val="00741B39"/>
    <w:rsid w:val="00742265"/>
    <w:rsid w:val="0074273E"/>
    <w:rsid w:val="0074281A"/>
    <w:rsid w:val="00742A10"/>
    <w:rsid w:val="00742B1E"/>
    <w:rsid w:val="00743159"/>
    <w:rsid w:val="00744F96"/>
    <w:rsid w:val="00745197"/>
    <w:rsid w:val="0074600C"/>
    <w:rsid w:val="00746400"/>
    <w:rsid w:val="007465FB"/>
    <w:rsid w:val="00746A4A"/>
    <w:rsid w:val="007474F0"/>
    <w:rsid w:val="00750AE7"/>
    <w:rsid w:val="00751B68"/>
    <w:rsid w:val="00751C17"/>
    <w:rsid w:val="00753991"/>
    <w:rsid w:val="00753ADE"/>
    <w:rsid w:val="00753E0E"/>
    <w:rsid w:val="00754304"/>
    <w:rsid w:val="007549E2"/>
    <w:rsid w:val="007553A7"/>
    <w:rsid w:val="00755870"/>
    <w:rsid w:val="00755C4C"/>
    <w:rsid w:val="00755D25"/>
    <w:rsid w:val="00755D5E"/>
    <w:rsid w:val="00756FBD"/>
    <w:rsid w:val="0075789F"/>
    <w:rsid w:val="00760001"/>
    <w:rsid w:val="0076008C"/>
    <w:rsid w:val="007606E8"/>
    <w:rsid w:val="00761D81"/>
    <w:rsid w:val="00761E1E"/>
    <w:rsid w:val="00763E0D"/>
    <w:rsid w:val="00764314"/>
    <w:rsid w:val="007648B4"/>
    <w:rsid w:val="007650BD"/>
    <w:rsid w:val="0076676E"/>
    <w:rsid w:val="0076678F"/>
    <w:rsid w:val="00766B89"/>
    <w:rsid w:val="00766BC0"/>
    <w:rsid w:val="007700F0"/>
    <w:rsid w:val="0077146E"/>
    <w:rsid w:val="0077190F"/>
    <w:rsid w:val="00773D31"/>
    <w:rsid w:val="00773F61"/>
    <w:rsid w:val="00775AD0"/>
    <w:rsid w:val="007763C4"/>
    <w:rsid w:val="007767E2"/>
    <w:rsid w:val="00776DBD"/>
    <w:rsid w:val="007773D5"/>
    <w:rsid w:val="00777590"/>
    <w:rsid w:val="0077785E"/>
    <w:rsid w:val="00780276"/>
    <w:rsid w:val="00781015"/>
    <w:rsid w:val="00782039"/>
    <w:rsid w:val="0078267A"/>
    <w:rsid w:val="00782EB2"/>
    <w:rsid w:val="00782FE4"/>
    <w:rsid w:val="0078435A"/>
    <w:rsid w:val="00784485"/>
    <w:rsid w:val="0078577A"/>
    <w:rsid w:val="0078586F"/>
    <w:rsid w:val="00785B99"/>
    <w:rsid w:val="00786918"/>
    <w:rsid w:val="00787198"/>
    <w:rsid w:val="0078789F"/>
    <w:rsid w:val="00787D34"/>
    <w:rsid w:val="00787D51"/>
    <w:rsid w:val="00787E4C"/>
    <w:rsid w:val="00790083"/>
    <w:rsid w:val="00790178"/>
    <w:rsid w:val="0079129C"/>
    <w:rsid w:val="00791BC8"/>
    <w:rsid w:val="00792825"/>
    <w:rsid w:val="0079374D"/>
    <w:rsid w:val="00795FB6"/>
    <w:rsid w:val="00795FCA"/>
    <w:rsid w:val="00796454"/>
    <w:rsid w:val="00796C16"/>
    <w:rsid w:val="00797052"/>
    <w:rsid w:val="00797315"/>
    <w:rsid w:val="00797A4A"/>
    <w:rsid w:val="007A00B1"/>
    <w:rsid w:val="007A11DE"/>
    <w:rsid w:val="007A1BD3"/>
    <w:rsid w:val="007A1F6F"/>
    <w:rsid w:val="007A2A60"/>
    <w:rsid w:val="007A42BE"/>
    <w:rsid w:val="007A4EBD"/>
    <w:rsid w:val="007A4F1A"/>
    <w:rsid w:val="007A5B33"/>
    <w:rsid w:val="007A7360"/>
    <w:rsid w:val="007B0716"/>
    <w:rsid w:val="007B0AEE"/>
    <w:rsid w:val="007B112B"/>
    <w:rsid w:val="007B1EC6"/>
    <w:rsid w:val="007B2886"/>
    <w:rsid w:val="007B33FA"/>
    <w:rsid w:val="007B3458"/>
    <w:rsid w:val="007B355D"/>
    <w:rsid w:val="007B404E"/>
    <w:rsid w:val="007B41B8"/>
    <w:rsid w:val="007B47ED"/>
    <w:rsid w:val="007B4BB9"/>
    <w:rsid w:val="007B55EC"/>
    <w:rsid w:val="007B5B26"/>
    <w:rsid w:val="007B65BE"/>
    <w:rsid w:val="007B691A"/>
    <w:rsid w:val="007C094D"/>
    <w:rsid w:val="007C0A7C"/>
    <w:rsid w:val="007C109D"/>
    <w:rsid w:val="007C1DD2"/>
    <w:rsid w:val="007C1FF6"/>
    <w:rsid w:val="007C27C2"/>
    <w:rsid w:val="007C294B"/>
    <w:rsid w:val="007C32E2"/>
    <w:rsid w:val="007C4137"/>
    <w:rsid w:val="007C48E9"/>
    <w:rsid w:val="007C49EE"/>
    <w:rsid w:val="007C54B5"/>
    <w:rsid w:val="007C5B37"/>
    <w:rsid w:val="007C6C1E"/>
    <w:rsid w:val="007C79B0"/>
    <w:rsid w:val="007C7DF2"/>
    <w:rsid w:val="007C7EAA"/>
    <w:rsid w:val="007D28E4"/>
    <w:rsid w:val="007D3390"/>
    <w:rsid w:val="007D36A1"/>
    <w:rsid w:val="007D3C0C"/>
    <w:rsid w:val="007D42A4"/>
    <w:rsid w:val="007D51B4"/>
    <w:rsid w:val="007D5AF3"/>
    <w:rsid w:val="007D5F7B"/>
    <w:rsid w:val="007D61B8"/>
    <w:rsid w:val="007D63F1"/>
    <w:rsid w:val="007D68C1"/>
    <w:rsid w:val="007D6C88"/>
    <w:rsid w:val="007D6CFE"/>
    <w:rsid w:val="007D6DAF"/>
    <w:rsid w:val="007E01E1"/>
    <w:rsid w:val="007E0B91"/>
    <w:rsid w:val="007E0CC5"/>
    <w:rsid w:val="007E2D17"/>
    <w:rsid w:val="007E32B8"/>
    <w:rsid w:val="007E3BAE"/>
    <w:rsid w:val="007E4AB5"/>
    <w:rsid w:val="007E4D98"/>
    <w:rsid w:val="007E53DC"/>
    <w:rsid w:val="007E6752"/>
    <w:rsid w:val="007E6F26"/>
    <w:rsid w:val="007E7444"/>
    <w:rsid w:val="007F090D"/>
    <w:rsid w:val="007F0C31"/>
    <w:rsid w:val="007F0D2A"/>
    <w:rsid w:val="007F0D2E"/>
    <w:rsid w:val="007F2204"/>
    <w:rsid w:val="007F2E6E"/>
    <w:rsid w:val="007F3BD2"/>
    <w:rsid w:val="007F3C8F"/>
    <w:rsid w:val="007F3FB0"/>
    <w:rsid w:val="007F4325"/>
    <w:rsid w:val="007F4F9B"/>
    <w:rsid w:val="007F5C4A"/>
    <w:rsid w:val="007F5EE3"/>
    <w:rsid w:val="007F62F3"/>
    <w:rsid w:val="007F7ED7"/>
    <w:rsid w:val="007F7FF2"/>
    <w:rsid w:val="00800046"/>
    <w:rsid w:val="00800FB6"/>
    <w:rsid w:val="008012B6"/>
    <w:rsid w:val="0080299A"/>
    <w:rsid w:val="00802EA1"/>
    <w:rsid w:val="008032A7"/>
    <w:rsid w:val="0080333A"/>
    <w:rsid w:val="00804586"/>
    <w:rsid w:val="00804E56"/>
    <w:rsid w:val="0080570C"/>
    <w:rsid w:val="00805B42"/>
    <w:rsid w:val="00807986"/>
    <w:rsid w:val="008102AD"/>
    <w:rsid w:val="008107D5"/>
    <w:rsid w:val="0081142E"/>
    <w:rsid w:val="00811D94"/>
    <w:rsid w:val="008126E0"/>
    <w:rsid w:val="00812898"/>
    <w:rsid w:val="00812A14"/>
    <w:rsid w:val="008139B8"/>
    <w:rsid w:val="00813FD6"/>
    <w:rsid w:val="0081420D"/>
    <w:rsid w:val="00814F51"/>
    <w:rsid w:val="00815B33"/>
    <w:rsid w:val="008162B7"/>
    <w:rsid w:val="0081719D"/>
    <w:rsid w:val="008178D2"/>
    <w:rsid w:val="00820B4F"/>
    <w:rsid w:val="00820C5B"/>
    <w:rsid w:val="00821845"/>
    <w:rsid w:val="00821A71"/>
    <w:rsid w:val="00821F83"/>
    <w:rsid w:val="0082224E"/>
    <w:rsid w:val="00822576"/>
    <w:rsid w:val="00822910"/>
    <w:rsid w:val="00822E04"/>
    <w:rsid w:val="00823DD4"/>
    <w:rsid w:val="0082444C"/>
    <w:rsid w:val="0082475E"/>
    <w:rsid w:val="00827719"/>
    <w:rsid w:val="0082772A"/>
    <w:rsid w:val="00830737"/>
    <w:rsid w:val="0083084A"/>
    <w:rsid w:val="00833642"/>
    <w:rsid w:val="008344F2"/>
    <w:rsid w:val="008349F9"/>
    <w:rsid w:val="00834C33"/>
    <w:rsid w:val="00835235"/>
    <w:rsid w:val="0083543E"/>
    <w:rsid w:val="00835A14"/>
    <w:rsid w:val="0083790B"/>
    <w:rsid w:val="00837997"/>
    <w:rsid w:val="00840061"/>
    <w:rsid w:val="008401CB"/>
    <w:rsid w:val="00840CD5"/>
    <w:rsid w:val="00841949"/>
    <w:rsid w:val="008419C6"/>
    <w:rsid w:val="00841DAC"/>
    <w:rsid w:val="00841FE7"/>
    <w:rsid w:val="00842038"/>
    <w:rsid w:val="008423B9"/>
    <w:rsid w:val="00842EEC"/>
    <w:rsid w:val="0084394C"/>
    <w:rsid w:val="0084433B"/>
    <w:rsid w:val="0084434C"/>
    <w:rsid w:val="00844AB9"/>
    <w:rsid w:val="00845BAC"/>
    <w:rsid w:val="00846200"/>
    <w:rsid w:val="00846747"/>
    <w:rsid w:val="00846D71"/>
    <w:rsid w:val="0085042B"/>
    <w:rsid w:val="0085060A"/>
    <w:rsid w:val="00851DCB"/>
    <w:rsid w:val="00852211"/>
    <w:rsid w:val="00852A36"/>
    <w:rsid w:val="00856272"/>
    <w:rsid w:val="008567D1"/>
    <w:rsid w:val="00856EC3"/>
    <w:rsid w:val="00862BED"/>
    <w:rsid w:val="0086314E"/>
    <w:rsid w:val="00864C25"/>
    <w:rsid w:val="00864FE3"/>
    <w:rsid w:val="00865248"/>
    <w:rsid w:val="00865487"/>
    <w:rsid w:val="00865CB2"/>
    <w:rsid w:val="0086640B"/>
    <w:rsid w:val="008668E3"/>
    <w:rsid w:val="008671A9"/>
    <w:rsid w:val="0086741C"/>
    <w:rsid w:val="00867FC5"/>
    <w:rsid w:val="00870313"/>
    <w:rsid w:val="008706C3"/>
    <w:rsid w:val="00870C32"/>
    <w:rsid w:val="00871931"/>
    <w:rsid w:val="008729C0"/>
    <w:rsid w:val="008732D1"/>
    <w:rsid w:val="008740A1"/>
    <w:rsid w:val="008741EB"/>
    <w:rsid w:val="00874AB2"/>
    <w:rsid w:val="00874FA8"/>
    <w:rsid w:val="0087504A"/>
    <w:rsid w:val="0087524D"/>
    <w:rsid w:val="00875262"/>
    <w:rsid w:val="00875F6C"/>
    <w:rsid w:val="0087693D"/>
    <w:rsid w:val="00877B74"/>
    <w:rsid w:val="00880017"/>
    <w:rsid w:val="00880849"/>
    <w:rsid w:val="008808DD"/>
    <w:rsid w:val="00880E54"/>
    <w:rsid w:val="00881453"/>
    <w:rsid w:val="00881834"/>
    <w:rsid w:val="00881D13"/>
    <w:rsid w:val="00881EB2"/>
    <w:rsid w:val="00883564"/>
    <w:rsid w:val="0088389E"/>
    <w:rsid w:val="00883C99"/>
    <w:rsid w:val="0088446B"/>
    <w:rsid w:val="0088478F"/>
    <w:rsid w:val="00885181"/>
    <w:rsid w:val="00885771"/>
    <w:rsid w:val="00885997"/>
    <w:rsid w:val="0088614F"/>
    <w:rsid w:val="00886256"/>
    <w:rsid w:val="00886B16"/>
    <w:rsid w:val="00886FF1"/>
    <w:rsid w:val="00887159"/>
    <w:rsid w:val="008876C5"/>
    <w:rsid w:val="00887A41"/>
    <w:rsid w:val="00887EC1"/>
    <w:rsid w:val="008910EC"/>
    <w:rsid w:val="00891587"/>
    <w:rsid w:val="00891E0D"/>
    <w:rsid w:val="0089216C"/>
    <w:rsid w:val="00892F80"/>
    <w:rsid w:val="0089318E"/>
    <w:rsid w:val="00894D96"/>
    <w:rsid w:val="0089708C"/>
    <w:rsid w:val="00897877"/>
    <w:rsid w:val="00897D62"/>
    <w:rsid w:val="008A02B2"/>
    <w:rsid w:val="008A030E"/>
    <w:rsid w:val="008A0BC2"/>
    <w:rsid w:val="008A1937"/>
    <w:rsid w:val="008A284D"/>
    <w:rsid w:val="008A2D71"/>
    <w:rsid w:val="008A381F"/>
    <w:rsid w:val="008A4B22"/>
    <w:rsid w:val="008A5547"/>
    <w:rsid w:val="008A5888"/>
    <w:rsid w:val="008A6D83"/>
    <w:rsid w:val="008A77EE"/>
    <w:rsid w:val="008A7900"/>
    <w:rsid w:val="008B0385"/>
    <w:rsid w:val="008B11BA"/>
    <w:rsid w:val="008B1C5F"/>
    <w:rsid w:val="008B21FB"/>
    <w:rsid w:val="008B2ED5"/>
    <w:rsid w:val="008B35F8"/>
    <w:rsid w:val="008B4014"/>
    <w:rsid w:val="008B4049"/>
    <w:rsid w:val="008B4F41"/>
    <w:rsid w:val="008B6371"/>
    <w:rsid w:val="008B6813"/>
    <w:rsid w:val="008B68A8"/>
    <w:rsid w:val="008B6C0E"/>
    <w:rsid w:val="008B728F"/>
    <w:rsid w:val="008B79B2"/>
    <w:rsid w:val="008B7B05"/>
    <w:rsid w:val="008C0A52"/>
    <w:rsid w:val="008C2B0A"/>
    <w:rsid w:val="008C629A"/>
    <w:rsid w:val="008C63BD"/>
    <w:rsid w:val="008C68EC"/>
    <w:rsid w:val="008C6F75"/>
    <w:rsid w:val="008C72B3"/>
    <w:rsid w:val="008C72F4"/>
    <w:rsid w:val="008C73CD"/>
    <w:rsid w:val="008D0C80"/>
    <w:rsid w:val="008D0E22"/>
    <w:rsid w:val="008D0E75"/>
    <w:rsid w:val="008D14C0"/>
    <w:rsid w:val="008D2DB1"/>
    <w:rsid w:val="008D3953"/>
    <w:rsid w:val="008D3EE6"/>
    <w:rsid w:val="008D4924"/>
    <w:rsid w:val="008D50F3"/>
    <w:rsid w:val="008D5E5D"/>
    <w:rsid w:val="008D6A11"/>
    <w:rsid w:val="008D7FE5"/>
    <w:rsid w:val="008E0659"/>
    <w:rsid w:val="008E0711"/>
    <w:rsid w:val="008E13B8"/>
    <w:rsid w:val="008E16B7"/>
    <w:rsid w:val="008E191B"/>
    <w:rsid w:val="008E19AB"/>
    <w:rsid w:val="008E27EA"/>
    <w:rsid w:val="008E30FE"/>
    <w:rsid w:val="008E38D0"/>
    <w:rsid w:val="008E3C35"/>
    <w:rsid w:val="008E4439"/>
    <w:rsid w:val="008E4A79"/>
    <w:rsid w:val="008E5033"/>
    <w:rsid w:val="008E5053"/>
    <w:rsid w:val="008E5119"/>
    <w:rsid w:val="008E56B5"/>
    <w:rsid w:val="008E5949"/>
    <w:rsid w:val="008E5B62"/>
    <w:rsid w:val="008E5C80"/>
    <w:rsid w:val="008E6BAA"/>
    <w:rsid w:val="008F05FA"/>
    <w:rsid w:val="008F07FC"/>
    <w:rsid w:val="008F09F0"/>
    <w:rsid w:val="008F0B0D"/>
    <w:rsid w:val="008F0F15"/>
    <w:rsid w:val="008F2E17"/>
    <w:rsid w:val="008F4CB6"/>
    <w:rsid w:val="008F615F"/>
    <w:rsid w:val="008F6252"/>
    <w:rsid w:val="00900E2C"/>
    <w:rsid w:val="009015B2"/>
    <w:rsid w:val="009018BE"/>
    <w:rsid w:val="00902A2B"/>
    <w:rsid w:val="00902B5B"/>
    <w:rsid w:val="00902D9B"/>
    <w:rsid w:val="00902FF2"/>
    <w:rsid w:val="0090323F"/>
    <w:rsid w:val="00903AB2"/>
    <w:rsid w:val="00904131"/>
    <w:rsid w:val="00905497"/>
    <w:rsid w:val="00905B17"/>
    <w:rsid w:val="00906CA5"/>
    <w:rsid w:val="00906E90"/>
    <w:rsid w:val="009071A2"/>
    <w:rsid w:val="0091051D"/>
    <w:rsid w:val="009105D7"/>
    <w:rsid w:val="0091100E"/>
    <w:rsid w:val="00911C0B"/>
    <w:rsid w:val="009127C5"/>
    <w:rsid w:val="00913892"/>
    <w:rsid w:val="00914407"/>
    <w:rsid w:val="00914A67"/>
    <w:rsid w:val="00914E60"/>
    <w:rsid w:val="00915459"/>
    <w:rsid w:val="00915F49"/>
    <w:rsid w:val="00916AEA"/>
    <w:rsid w:val="00916B30"/>
    <w:rsid w:val="00917056"/>
    <w:rsid w:val="00917BBF"/>
    <w:rsid w:val="00917E1F"/>
    <w:rsid w:val="009200FE"/>
    <w:rsid w:val="00920130"/>
    <w:rsid w:val="00920B47"/>
    <w:rsid w:val="00922CF6"/>
    <w:rsid w:val="00922D28"/>
    <w:rsid w:val="00924255"/>
    <w:rsid w:val="009248B8"/>
    <w:rsid w:val="0092532A"/>
    <w:rsid w:val="009253A0"/>
    <w:rsid w:val="00925B15"/>
    <w:rsid w:val="00925C1C"/>
    <w:rsid w:val="00925D29"/>
    <w:rsid w:val="00927943"/>
    <w:rsid w:val="0093017F"/>
    <w:rsid w:val="0093044E"/>
    <w:rsid w:val="00930616"/>
    <w:rsid w:val="0093099E"/>
    <w:rsid w:val="00930FBE"/>
    <w:rsid w:val="00931256"/>
    <w:rsid w:val="00931879"/>
    <w:rsid w:val="00931B97"/>
    <w:rsid w:val="009328C4"/>
    <w:rsid w:val="00932EF4"/>
    <w:rsid w:val="009335BC"/>
    <w:rsid w:val="00934624"/>
    <w:rsid w:val="0093487F"/>
    <w:rsid w:val="00934A9C"/>
    <w:rsid w:val="009350DE"/>
    <w:rsid w:val="00935691"/>
    <w:rsid w:val="00935B57"/>
    <w:rsid w:val="009361FA"/>
    <w:rsid w:val="009367EA"/>
    <w:rsid w:val="00936F84"/>
    <w:rsid w:val="00937692"/>
    <w:rsid w:val="00940851"/>
    <w:rsid w:val="00940980"/>
    <w:rsid w:val="00940CED"/>
    <w:rsid w:val="00941404"/>
    <w:rsid w:val="0094149A"/>
    <w:rsid w:val="009418B8"/>
    <w:rsid w:val="00941AAF"/>
    <w:rsid w:val="00941DFB"/>
    <w:rsid w:val="009427E0"/>
    <w:rsid w:val="00943311"/>
    <w:rsid w:val="009434C8"/>
    <w:rsid w:val="00943643"/>
    <w:rsid w:val="009446CB"/>
    <w:rsid w:val="009452AA"/>
    <w:rsid w:val="00945838"/>
    <w:rsid w:val="00945ED1"/>
    <w:rsid w:val="00945FD2"/>
    <w:rsid w:val="0094642A"/>
    <w:rsid w:val="0094698D"/>
    <w:rsid w:val="00947368"/>
    <w:rsid w:val="00950487"/>
    <w:rsid w:val="0095081B"/>
    <w:rsid w:val="00952A94"/>
    <w:rsid w:val="00952BDA"/>
    <w:rsid w:val="009540E8"/>
    <w:rsid w:val="0095427D"/>
    <w:rsid w:val="009547DA"/>
    <w:rsid w:val="00954947"/>
    <w:rsid w:val="00954CED"/>
    <w:rsid w:val="009560F0"/>
    <w:rsid w:val="009605F4"/>
    <w:rsid w:val="00961E0B"/>
    <w:rsid w:val="0096267E"/>
    <w:rsid w:val="00963048"/>
    <w:rsid w:val="00964642"/>
    <w:rsid w:val="009654CE"/>
    <w:rsid w:val="009657A2"/>
    <w:rsid w:val="00965C5E"/>
    <w:rsid w:val="00965E96"/>
    <w:rsid w:val="0096686F"/>
    <w:rsid w:val="00966A29"/>
    <w:rsid w:val="0096736F"/>
    <w:rsid w:val="009679D9"/>
    <w:rsid w:val="00967FFA"/>
    <w:rsid w:val="00970711"/>
    <w:rsid w:val="009709CF"/>
    <w:rsid w:val="0097129D"/>
    <w:rsid w:val="009712AF"/>
    <w:rsid w:val="009717A3"/>
    <w:rsid w:val="009732E7"/>
    <w:rsid w:val="0097385E"/>
    <w:rsid w:val="00973DBE"/>
    <w:rsid w:val="00974B22"/>
    <w:rsid w:val="0097617C"/>
    <w:rsid w:val="00976A1E"/>
    <w:rsid w:val="00976B49"/>
    <w:rsid w:val="009773FA"/>
    <w:rsid w:val="0097754B"/>
    <w:rsid w:val="00977625"/>
    <w:rsid w:val="0098021A"/>
    <w:rsid w:val="00980760"/>
    <w:rsid w:val="00981430"/>
    <w:rsid w:val="009814C2"/>
    <w:rsid w:val="00982525"/>
    <w:rsid w:val="00983426"/>
    <w:rsid w:val="00983A80"/>
    <w:rsid w:val="00985459"/>
    <w:rsid w:val="00987AF3"/>
    <w:rsid w:val="00987DBA"/>
    <w:rsid w:val="0099212D"/>
    <w:rsid w:val="009922D2"/>
    <w:rsid w:val="00992692"/>
    <w:rsid w:val="0099401C"/>
    <w:rsid w:val="00994624"/>
    <w:rsid w:val="00996DA9"/>
    <w:rsid w:val="009A025A"/>
    <w:rsid w:val="009A0953"/>
    <w:rsid w:val="009A0F76"/>
    <w:rsid w:val="009A11FC"/>
    <w:rsid w:val="009A1F93"/>
    <w:rsid w:val="009A26F4"/>
    <w:rsid w:val="009A3BC9"/>
    <w:rsid w:val="009A3BD7"/>
    <w:rsid w:val="009A413B"/>
    <w:rsid w:val="009A4388"/>
    <w:rsid w:val="009A45DB"/>
    <w:rsid w:val="009A4F71"/>
    <w:rsid w:val="009A538A"/>
    <w:rsid w:val="009A6A2B"/>
    <w:rsid w:val="009A7000"/>
    <w:rsid w:val="009A7005"/>
    <w:rsid w:val="009A71A3"/>
    <w:rsid w:val="009A7228"/>
    <w:rsid w:val="009A7D6B"/>
    <w:rsid w:val="009A7F12"/>
    <w:rsid w:val="009B0103"/>
    <w:rsid w:val="009B0159"/>
    <w:rsid w:val="009B0475"/>
    <w:rsid w:val="009B0DEF"/>
    <w:rsid w:val="009B10E7"/>
    <w:rsid w:val="009B12BA"/>
    <w:rsid w:val="009B1468"/>
    <w:rsid w:val="009B2AC2"/>
    <w:rsid w:val="009B2EFA"/>
    <w:rsid w:val="009B3468"/>
    <w:rsid w:val="009B3542"/>
    <w:rsid w:val="009B581D"/>
    <w:rsid w:val="009B6059"/>
    <w:rsid w:val="009B706F"/>
    <w:rsid w:val="009C031B"/>
    <w:rsid w:val="009C0570"/>
    <w:rsid w:val="009C0F3F"/>
    <w:rsid w:val="009C137F"/>
    <w:rsid w:val="009C1E65"/>
    <w:rsid w:val="009C28B2"/>
    <w:rsid w:val="009C490B"/>
    <w:rsid w:val="009C552B"/>
    <w:rsid w:val="009C59B2"/>
    <w:rsid w:val="009C6974"/>
    <w:rsid w:val="009C6C78"/>
    <w:rsid w:val="009C7122"/>
    <w:rsid w:val="009C797B"/>
    <w:rsid w:val="009D065C"/>
    <w:rsid w:val="009D0885"/>
    <w:rsid w:val="009D1446"/>
    <w:rsid w:val="009D31D4"/>
    <w:rsid w:val="009D351F"/>
    <w:rsid w:val="009D35B4"/>
    <w:rsid w:val="009D3DDB"/>
    <w:rsid w:val="009D43FD"/>
    <w:rsid w:val="009D4E88"/>
    <w:rsid w:val="009D73F5"/>
    <w:rsid w:val="009E0438"/>
    <w:rsid w:val="009E063C"/>
    <w:rsid w:val="009E0A76"/>
    <w:rsid w:val="009E0A7A"/>
    <w:rsid w:val="009E0F15"/>
    <w:rsid w:val="009E1718"/>
    <w:rsid w:val="009E1958"/>
    <w:rsid w:val="009E1A3F"/>
    <w:rsid w:val="009E2FA2"/>
    <w:rsid w:val="009E4495"/>
    <w:rsid w:val="009E555B"/>
    <w:rsid w:val="009E61A9"/>
    <w:rsid w:val="009E6EFD"/>
    <w:rsid w:val="009E7739"/>
    <w:rsid w:val="009F0580"/>
    <w:rsid w:val="009F0BD3"/>
    <w:rsid w:val="009F12E0"/>
    <w:rsid w:val="009F1B92"/>
    <w:rsid w:val="009F22A2"/>
    <w:rsid w:val="009F300E"/>
    <w:rsid w:val="009F33C4"/>
    <w:rsid w:val="009F33DF"/>
    <w:rsid w:val="009F357F"/>
    <w:rsid w:val="009F35CA"/>
    <w:rsid w:val="009F3826"/>
    <w:rsid w:val="009F3917"/>
    <w:rsid w:val="009F3CF3"/>
    <w:rsid w:val="009F4659"/>
    <w:rsid w:val="009F46EF"/>
    <w:rsid w:val="009F4BAA"/>
    <w:rsid w:val="009F559D"/>
    <w:rsid w:val="009F63E8"/>
    <w:rsid w:val="009F6487"/>
    <w:rsid w:val="009F6D1B"/>
    <w:rsid w:val="009F734A"/>
    <w:rsid w:val="00A009D4"/>
    <w:rsid w:val="00A01626"/>
    <w:rsid w:val="00A01BCB"/>
    <w:rsid w:val="00A02880"/>
    <w:rsid w:val="00A04211"/>
    <w:rsid w:val="00A04DF3"/>
    <w:rsid w:val="00A052DF"/>
    <w:rsid w:val="00A05FAA"/>
    <w:rsid w:val="00A069D1"/>
    <w:rsid w:val="00A077CD"/>
    <w:rsid w:val="00A103E5"/>
    <w:rsid w:val="00A13212"/>
    <w:rsid w:val="00A13417"/>
    <w:rsid w:val="00A146CD"/>
    <w:rsid w:val="00A14AA3"/>
    <w:rsid w:val="00A14F0E"/>
    <w:rsid w:val="00A1553C"/>
    <w:rsid w:val="00A16496"/>
    <w:rsid w:val="00A17840"/>
    <w:rsid w:val="00A17883"/>
    <w:rsid w:val="00A20350"/>
    <w:rsid w:val="00A20B80"/>
    <w:rsid w:val="00A226E3"/>
    <w:rsid w:val="00A22880"/>
    <w:rsid w:val="00A22916"/>
    <w:rsid w:val="00A2356B"/>
    <w:rsid w:val="00A23BE9"/>
    <w:rsid w:val="00A245DA"/>
    <w:rsid w:val="00A24790"/>
    <w:rsid w:val="00A25035"/>
    <w:rsid w:val="00A255BA"/>
    <w:rsid w:val="00A263DC"/>
    <w:rsid w:val="00A26EC2"/>
    <w:rsid w:val="00A26F1D"/>
    <w:rsid w:val="00A30087"/>
    <w:rsid w:val="00A31483"/>
    <w:rsid w:val="00A3152B"/>
    <w:rsid w:val="00A31E50"/>
    <w:rsid w:val="00A328D1"/>
    <w:rsid w:val="00A32FCE"/>
    <w:rsid w:val="00A330EF"/>
    <w:rsid w:val="00A3330B"/>
    <w:rsid w:val="00A334CB"/>
    <w:rsid w:val="00A33521"/>
    <w:rsid w:val="00A33571"/>
    <w:rsid w:val="00A33576"/>
    <w:rsid w:val="00A34A9B"/>
    <w:rsid w:val="00A35234"/>
    <w:rsid w:val="00A35786"/>
    <w:rsid w:val="00A36351"/>
    <w:rsid w:val="00A3676C"/>
    <w:rsid w:val="00A36BD6"/>
    <w:rsid w:val="00A372F4"/>
    <w:rsid w:val="00A40719"/>
    <w:rsid w:val="00A413C5"/>
    <w:rsid w:val="00A4237B"/>
    <w:rsid w:val="00A4244E"/>
    <w:rsid w:val="00A42A8D"/>
    <w:rsid w:val="00A4394F"/>
    <w:rsid w:val="00A443C0"/>
    <w:rsid w:val="00A44AD8"/>
    <w:rsid w:val="00A44CAC"/>
    <w:rsid w:val="00A44E4D"/>
    <w:rsid w:val="00A451DE"/>
    <w:rsid w:val="00A456EB"/>
    <w:rsid w:val="00A45A57"/>
    <w:rsid w:val="00A470F4"/>
    <w:rsid w:val="00A47CC8"/>
    <w:rsid w:val="00A50011"/>
    <w:rsid w:val="00A505AC"/>
    <w:rsid w:val="00A5124A"/>
    <w:rsid w:val="00A5229D"/>
    <w:rsid w:val="00A536B1"/>
    <w:rsid w:val="00A53DD5"/>
    <w:rsid w:val="00A55EF8"/>
    <w:rsid w:val="00A562FF"/>
    <w:rsid w:val="00A564C2"/>
    <w:rsid w:val="00A56A02"/>
    <w:rsid w:val="00A56C12"/>
    <w:rsid w:val="00A56F88"/>
    <w:rsid w:val="00A605EA"/>
    <w:rsid w:val="00A608B9"/>
    <w:rsid w:val="00A60A66"/>
    <w:rsid w:val="00A60AC5"/>
    <w:rsid w:val="00A60EE6"/>
    <w:rsid w:val="00A61431"/>
    <w:rsid w:val="00A61AD5"/>
    <w:rsid w:val="00A61AE2"/>
    <w:rsid w:val="00A621AF"/>
    <w:rsid w:val="00A622CB"/>
    <w:rsid w:val="00A63A66"/>
    <w:rsid w:val="00A63A94"/>
    <w:rsid w:val="00A63A9B"/>
    <w:rsid w:val="00A64137"/>
    <w:rsid w:val="00A641E2"/>
    <w:rsid w:val="00A6460B"/>
    <w:rsid w:val="00A65774"/>
    <w:rsid w:val="00A65E6A"/>
    <w:rsid w:val="00A66E79"/>
    <w:rsid w:val="00A671D3"/>
    <w:rsid w:val="00A6753F"/>
    <w:rsid w:val="00A70142"/>
    <w:rsid w:val="00A70B81"/>
    <w:rsid w:val="00A728A4"/>
    <w:rsid w:val="00A72F23"/>
    <w:rsid w:val="00A73038"/>
    <w:rsid w:val="00A742C8"/>
    <w:rsid w:val="00A75406"/>
    <w:rsid w:val="00A75AD5"/>
    <w:rsid w:val="00A7622C"/>
    <w:rsid w:val="00A76C99"/>
    <w:rsid w:val="00A772E0"/>
    <w:rsid w:val="00A802EE"/>
    <w:rsid w:val="00A810FD"/>
    <w:rsid w:val="00A81147"/>
    <w:rsid w:val="00A81EBE"/>
    <w:rsid w:val="00A821D9"/>
    <w:rsid w:val="00A83059"/>
    <w:rsid w:val="00A84500"/>
    <w:rsid w:val="00A84B47"/>
    <w:rsid w:val="00A84CF9"/>
    <w:rsid w:val="00A84E22"/>
    <w:rsid w:val="00A85315"/>
    <w:rsid w:val="00A8534C"/>
    <w:rsid w:val="00A8658B"/>
    <w:rsid w:val="00A86C0A"/>
    <w:rsid w:val="00A87304"/>
    <w:rsid w:val="00A90494"/>
    <w:rsid w:val="00A9138D"/>
    <w:rsid w:val="00A913B8"/>
    <w:rsid w:val="00A9162E"/>
    <w:rsid w:val="00A920E8"/>
    <w:rsid w:val="00A934A4"/>
    <w:rsid w:val="00A95720"/>
    <w:rsid w:val="00A957DD"/>
    <w:rsid w:val="00A965F2"/>
    <w:rsid w:val="00A96B6F"/>
    <w:rsid w:val="00A9761B"/>
    <w:rsid w:val="00A9778C"/>
    <w:rsid w:val="00A97A50"/>
    <w:rsid w:val="00A97B30"/>
    <w:rsid w:val="00AA1C0A"/>
    <w:rsid w:val="00AA278F"/>
    <w:rsid w:val="00AA315C"/>
    <w:rsid w:val="00AA384B"/>
    <w:rsid w:val="00AA4032"/>
    <w:rsid w:val="00AA59C4"/>
    <w:rsid w:val="00AA5CFF"/>
    <w:rsid w:val="00AA60F5"/>
    <w:rsid w:val="00AA6A12"/>
    <w:rsid w:val="00AA6CB4"/>
    <w:rsid w:val="00AA757B"/>
    <w:rsid w:val="00AB0055"/>
    <w:rsid w:val="00AB08E5"/>
    <w:rsid w:val="00AB2680"/>
    <w:rsid w:val="00AB2B97"/>
    <w:rsid w:val="00AB3463"/>
    <w:rsid w:val="00AB41AF"/>
    <w:rsid w:val="00AB4222"/>
    <w:rsid w:val="00AB51DB"/>
    <w:rsid w:val="00AB61C4"/>
    <w:rsid w:val="00AB62DC"/>
    <w:rsid w:val="00AB7189"/>
    <w:rsid w:val="00AC00C7"/>
    <w:rsid w:val="00AC07D8"/>
    <w:rsid w:val="00AC15FC"/>
    <w:rsid w:val="00AC1718"/>
    <w:rsid w:val="00AC1B9C"/>
    <w:rsid w:val="00AC1F76"/>
    <w:rsid w:val="00AC285C"/>
    <w:rsid w:val="00AC2AF6"/>
    <w:rsid w:val="00AC2B08"/>
    <w:rsid w:val="00AC2BB0"/>
    <w:rsid w:val="00AC2D4F"/>
    <w:rsid w:val="00AC30D2"/>
    <w:rsid w:val="00AC4821"/>
    <w:rsid w:val="00AC4AA2"/>
    <w:rsid w:val="00AC4E7A"/>
    <w:rsid w:val="00AC500F"/>
    <w:rsid w:val="00AC5084"/>
    <w:rsid w:val="00AC55A3"/>
    <w:rsid w:val="00AC6B5E"/>
    <w:rsid w:val="00AC6B95"/>
    <w:rsid w:val="00AC6F2B"/>
    <w:rsid w:val="00AC7956"/>
    <w:rsid w:val="00AC7C6F"/>
    <w:rsid w:val="00AD002B"/>
    <w:rsid w:val="00AD04A2"/>
    <w:rsid w:val="00AD0906"/>
    <w:rsid w:val="00AD0FC7"/>
    <w:rsid w:val="00AD174E"/>
    <w:rsid w:val="00AD17FF"/>
    <w:rsid w:val="00AD1ABD"/>
    <w:rsid w:val="00AD1CCB"/>
    <w:rsid w:val="00AD27F3"/>
    <w:rsid w:val="00AD2C18"/>
    <w:rsid w:val="00AD2C58"/>
    <w:rsid w:val="00AD2FFA"/>
    <w:rsid w:val="00AD3940"/>
    <w:rsid w:val="00AD631E"/>
    <w:rsid w:val="00AD6707"/>
    <w:rsid w:val="00AD7B29"/>
    <w:rsid w:val="00AE0955"/>
    <w:rsid w:val="00AE15AD"/>
    <w:rsid w:val="00AE174B"/>
    <w:rsid w:val="00AE177C"/>
    <w:rsid w:val="00AE1830"/>
    <w:rsid w:val="00AE1E7C"/>
    <w:rsid w:val="00AE3CBD"/>
    <w:rsid w:val="00AE51DC"/>
    <w:rsid w:val="00AE5D0D"/>
    <w:rsid w:val="00AE5F38"/>
    <w:rsid w:val="00AE6E45"/>
    <w:rsid w:val="00AE6EFF"/>
    <w:rsid w:val="00AF0BBD"/>
    <w:rsid w:val="00AF1AA5"/>
    <w:rsid w:val="00AF1AC1"/>
    <w:rsid w:val="00AF2139"/>
    <w:rsid w:val="00AF2877"/>
    <w:rsid w:val="00AF2A5D"/>
    <w:rsid w:val="00AF2E8A"/>
    <w:rsid w:val="00AF340C"/>
    <w:rsid w:val="00AF3F6D"/>
    <w:rsid w:val="00AF4214"/>
    <w:rsid w:val="00AF476B"/>
    <w:rsid w:val="00AF5467"/>
    <w:rsid w:val="00AF5484"/>
    <w:rsid w:val="00AF5722"/>
    <w:rsid w:val="00AF5F09"/>
    <w:rsid w:val="00AF7A3F"/>
    <w:rsid w:val="00B00E5C"/>
    <w:rsid w:val="00B01014"/>
    <w:rsid w:val="00B01E7F"/>
    <w:rsid w:val="00B01FD2"/>
    <w:rsid w:val="00B02D84"/>
    <w:rsid w:val="00B03D23"/>
    <w:rsid w:val="00B042EE"/>
    <w:rsid w:val="00B04B7F"/>
    <w:rsid w:val="00B04D64"/>
    <w:rsid w:val="00B04DB1"/>
    <w:rsid w:val="00B04DC1"/>
    <w:rsid w:val="00B04F07"/>
    <w:rsid w:val="00B06C64"/>
    <w:rsid w:val="00B0758B"/>
    <w:rsid w:val="00B0791E"/>
    <w:rsid w:val="00B07924"/>
    <w:rsid w:val="00B11B0A"/>
    <w:rsid w:val="00B11D22"/>
    <w:rsid w:val="00B11F7E"/>
    <w:rsid w:val="00B11FB5"/>
    <w:rsid w:val="00B12875"/>
    <w:rsid w:val="00B12E43"/>
    <w:rsid w:val="00B131B7"/>
    <w:rsid w:val="00B143D9"/>
    <w:rsid w:val="00B16324"/>
    <w:rsid w:val="00B16422"/>
    <w:rsid w:val="00B169A1"/>
    <w:rsid w:val="00B16E82"/>
    <w:rsid w:val="00B170E5"/>
    <w:rsid w:val="00B17BF7"/>
    <w:rsid w:val="00B2029C"/>
    <w:rsid w:val="00B20AAC"/>
    <w:rsid w:val="00B20E9A"/>
    <w:rsid w:val="00B20FEA"/>
    <w:rsid w:val="00B211A6"/>
    <w:rsid w:val="00B21442"/>
    <w:rsid w:val="00B21766"/>
    <w:rsid w:val="00B21AD6"/>
    <w:rsid w:val="00B2237F"/>
    <w:rsid w:val="00B223B7"/>
    <w:rsid w:val="00B22C64"/>
    <w:rsid w:val="00B23375"/>
    <w:rsid w:val="00B2378D"/>
    <w:rsid w:val="00B23F2C"/>
    <w:rsid w:val="00B24190"/>
    <w:rsid w:val="00B24D7B"/>
    <w:rsid w:val="00B24D97"/>
    <w:rsid w:val="00B24EFD"/>
    <w:rsid w:val="00B25835"/>
    <w:rsid w:val="00B264E3"/>
    <w:rsid w:val="00B26568"/>
    <w:rsid w:val="00B26646"/>
    <w:rsid w:val="00B2669F"/>
    <w:rsid w:val="00B26F88"/>
    <w:rsid w:val="00B2733D"/>
    <w:rsid w:val="00B27670"/>
    <w:rsid w:val="00B27A32"/>
    <w:rsid w:val="00B27DDC"/>
    <w:rsid w:val="00B30396"/>
    <w:rsid w:val="00B308E7"/>
    <w:rsid w:val="00B30C39"/>
    <w:rsid w:val="00B3131B"/>
    <w:rsid w:val="00B3185E"/>
    <w:rsid w:val="00B31B21"/>
    <w:rsid w:val="00B332E1"/>
    <w:rsid w:val="00B3387F"/>
    <w:rsid w:val="00B33A0E"/>
    <w:rsid w:val="00B34C15"/>
    <w:rsid w:val="00B34D66"/>
    <w:rsid w:val="00B355F2"/>
    <w:rsid w:val="00B359DD"/>
    <w:rsid w:val="00B35ECB"/>
    <w:rsid w:val="00B36762"/>
    <w:rsid w:val="00B37B26"/>
    <w:rsid w:val="00B403F0"/>
    <w:rsid w:val="00B40B1B"/>
    <w:rsid w:val="00B411CE"/>
    <w:rsid w:val="00B41EA5"/>
    <w:rsid w:val="00B42380"/>
    <w:rsid w:val="00B427AA"/>
    <w:rsid w:val="00B43D19"/>
    <w:rsid w:val="00B44538"/>
    <w:rsid w:val="00B445E8"/>
    <w:rsid w:val="00B44FAF"/>
    <w:rsid w:val="00B450EE"/>
    <w:rsid w:val="00B452BE"/>
    <w:rsid w:val="00B45DD0"/>
    <w:rsid w:val="00B46590"/>
    <w:rsid w:val="00B479FA"/>
    <w:rsid w:val="00B5023A"/>
    <w:rsid w:val="00B50645"/>
    <w:rsid w:val="00B51D68"/>
    <w:rsid w:val="00B527BD"/>
    <w:rsid w:val="00B5336F"/>
    <w:rsid w:val="00B54F36"/>
    <w:rsid w:val="00B5523D"/>
    <w:rsid w:val="00B5536A"/>
    <w:rsid w:val="00B559CA"/>
    <w:rsid w:val="00B55B77"/>
    <w:rsid w:val="00B55D07"/>
    <w:rsid w:val="00B5614D"/>
    <w:rsid w:val="00B561BB"/>
    <w:rsid w:val="00B5635F"/>
    <w:rsid w:val="00B567B5"/>
    <w:rsid w:val="00B567FF"/>
    <w:rsid w:val="00B56D0F"/>
    <w:rsid w:val="00B56FC2"/>
    <w:rsid w:val="00B57042"/>
    <w:rsid w:val="00B57623"/>
    <w:rsid w:val="00B619E4"/>
    <w:rsid w:val="00B61A2D"/>
    <w:rsid w:val="00B61DA1"/>
    <w:rsid w:val="00B62738"/>
    <w:rsid w:val="00B6409B"/>
    <w:rsid w:val="00B64A7D"/>
    <w:rsid w:val="00B64ED0"/>
    <w:rsid w:val="00B65876"/>
    <w:rsid w:val="00B65A0B"/>
    <w:rsid w:val="00B666B9"/>
    <w:rsid w:val="00B66760"/>
    <w:rsid w:val="00B6727F"/>
    <w:rsid w:val="00B67CE7"/>
    <w:rsid w:val="00B7062F"/>
    <w:rsid w:val="00B713BF"/>
    <w:rsid w:val="00B713F2"/>
    <w:rsid w:val="00B71862"/>
    <w:rsid w:val="00B7244F"/>
    <w:rsid w:val="00B72B42"/>
    <w:rsid w:val="00B72C6C"/>
    <w:rsid w:val="00B733F8"/>
    <w:rsid w:val="00B735EA"/>
    <w:rsid w:val="00B739B6"/>
    <w:rsid w:val="00B73E67"/>
    <w:rsid w:val="00B744A9"/>
    <w:rsid w:val="00B7499B"/>
    <w:rsid w:val="00B74A46"/>
    <w:rsid w:val="00B74B19"/>
    <w:rsid w:val="00B75FFA"/>
    <w:rsid w:val="00B76DC1"/>
    <w:rsid w:val="00B76F0B"/>
    <w:rsid w:val="00B802FA"/>
    <w:rsid w:val="00B80800"/>
    <w:rsid w:val="00B81C15"/>
    <w:rsid w:val="00B81D4E"/>
    <w:rsid w:val="00B8213D"/>
    <w:rsid w:val="00B824CE"/>
    <w:rsid w:val="00B846D1"/>
    <w:rsid w:val="00B84889"/>
    <w:rsid w:val="00B84BC8"/>
    <w:rsid w:val="00B85064"/>
    <w:rsid w:val="00B85B18"/>
    <w:rsid w:val="00B85DE5"/>
    <w:rsid w:val="00B862C0"/>
    <w:rsid w:val="00B86C74"/>
    <w:rsid w:val="00B873DC"/>
    <w:rsid w:val="00B87F49"/>
    <w:rsid w:val="00B904E4"/>
    <w:rsid w:val="00B92530"/>
    <w:rsid w:val="00B92846"/>
    <w:rsid w:val="00B92BFE"/>
    <w:rsid w:val="00B95806"/>
    <w:rsid w:val="00B95991"/>
    <w:rsid w:val="00B967F8"/>
    <w:rsid w:val="00B96CCA"/>
    <w:rsid w:val="00B97A00"/>
    <w:rsid w:val="00B97EDE"/>
    <w:rsid w:val="00BA0472"/>
    <w:rsid w:val="00BA09D0"/>
    <w:rsid w:val="00BA0A47"/>
    <w:rsid w:val="00BA1C4A"/>
    <w:rsid w:val="00BA36F3"/>
    <w:rsid w:val="00BA3A01"/>
    <w:rsid w:val="00BA4738"/>
    <w:rsid w:val="00BA5233"/>
    <w:rsid w:val="00BA5B51"/>
    <w:rsid w:val="00BA727C"/>
    <w:rsid w:val="00BA73B2"/>
    <w:rsid w:val="00BA7DFB"/>
    <w:rsid w:val="00BB0961"/>
    <w:rsid w:val="00BB0DEF"/>
    <w:rsid w:val="00BB13C3"/>
    <w:rsid w:val="00BB13F6"/>
    <w:rsid w:val="00BB14DA"/>
    <w:rsid w:val="00BB1A12"/>
    <w:rsid w:val="00BB1CD7"/>
    <w:rsid w:val="00BB2AE9"/>
    <w:rsid w:val="00BB2F72"/>
    <w:rsid w:val="00BB38FC"/>
    <w:rsid w:val="00BB47D5"/>
    <w:rsid w:val="00BB4A28"/>
    <w:rsid w:val="00BB5261"/>
    <w:rsid w:val="00BB6908"/>
    <w:rsid w:val="00BB738C"/>
    <w:rsid w:val="00BB73C7"/>
    <w:rsid w:val="00BB7408"/>
    <w:rsid w:val="00BC0B5D"/>
    <w:rsid w:val="00BC1104"/>
    <w:rsid w:val="00BC2201"/>
    <w:rsid w:val="00BC29C3"/>
    <w:rsid w:val="00BC2C40"/>
    <w:rsid w:val="00BC34C3"/>
    <w:rsid w:val="00BC3798"/>
    <w:rsid w:val="00BC37F6"/>
    <w:rsid w:val="00BC411E"/>
    <w:rsid w:val="00BC43D4"/>
    <w:rsid w:val="00BC57E9"/>
    <w:rsid w:val="00BC59AE"/>
    <w:rsid w:val="00BC5FAC"/>
    <w:rsid w:val="00BC6946"/>
    <w:rsid w:val="00BC7005"/>
    <w:rsid w:val="00BC7B9C"/>
    <w:rsid w:val="00BC7E9A"/>
    <w:rsid w:val="00BD053F"/>
    <w:rsid w:val="00BD0934"/>
    <w:rsid w:val="00BD13C9"/>
    <w:rsid w:val="00BD15BA"/>
    <w:rsid w:val="00BD2171"/>
    <w:rsid w:val="00BD2D79"/>
    <w:rsid w:val="00BD4146"/>
    <w:rsid w:val="00BD4C1C"/>
    <w:rsid w:val="00BD5448"/>
    <w:rsid w:val="00BD5FC8"/>
    <w:rsid w:val="00BD67A6"/>
    <w:rsid w:val="00BD6D8E"/>
    <w:rsid w:val="00BD7072"/>
    <w:rsid w:val="00BE0097"/>
    <w:rsid w:val="00BE14F7"/>
    <w:rsid w:val="00BE1890"/>
    <w:rsid w:val="00BE21AC"/>
    <w:rsid w:val="00BE2DD8"/>
    <w:rsid w:val="00BE2EAE"/>
    <w:rsid w:val="00BE2EED"/>
    <w:rsid w:val="00BE3228"/>
    <w:rsid w:val="00BE3297"/>
    <w:rsid w:val="00BE3BBD"/>
    <w:rsid w:val="00BE5290"/>
    <w:rsid w:val="00BE5F31"/>
    <w:rsid w:val="00BE6E66"/>
    <w:rsid w:val="00BE75E9"/>
    <w:rsid w:val="00BF03D0"/>
    <w:rsid w:val="00BF0569"/>
    <w:rsid w:val="00BF1411"/>
    <w:rsid w:val="00BF16FA"/>
    <w:rsid w:val="00BF1A45"/>
    <w:rsid w:val="00BF1AD5"/>
    <w:rsid w:val="00BF1C4A"/>
    <w:rsid w:val="00BF336B"/>
    <w:rsid w:val="00BF34BC"/>
    <w:rsid w:val="00BF4AB8"/>
    <w:rsid w:val="00BF4B11"/>
    <w:rsid w:val="00BF4B40"/>
    <w:rsid w:val="00BF4B7A"/>
    <w:rsid w:val="00BF4DA1"/>
    <w:rsid w:val="00BF69EB"/>
    <w:rsid w:val="00BF6F29"/>
    <w:rsid w:val="00BF6F75"/>
    <w:rsid w:val="00BF72EE"/>
    <w:rsid w:val="00BF791C"/>
    <w:rsid w:val="00C002AF"/>
    <w:rsid w:val="00C00580"/>
    <w:rsid w:val="00C01595"/>
    <w:rsid w:val="00C01D48"/>
    <w:rsid w:val="00C01DFD"/>
    <w:rsid w:val="00C01FF4"/>
    <w:rsid w:val="00C02869"/>
    <w:rsid w:val="00C028F3"/>
    <w:rsid w:val="00C02E29"/>
    <w:rsid w:val="00C03262"/>
    <w:rsid w:val="00C03530"/>
    <w:rsid w:val="00C0380C"/>
    <w:rsid w:val="00C04237"/>
    <w:rsid w:val="00C046B5"/>
    <w:rsid w:val="00C050E2"/>
    <w:rsid w:val="00C0611A"/>
    <w:rsid w:val="00C06288"/>
    <w:rsid w:val="00C072A5"/>
    <w:rsid w:val="00C078AB"/>
    <w:rsid w:val="00C105FC"/>
    <w:rsid w:val="00C1075F"/>
    <w:rsid w:val="00C108E1"/>
    <w:rsid w:val="00C11515"/>
    <w:rsid w:val="00C1264E"/>
    <w:rsid w:val="00C12978"/>
    <w:rsid w:val="00C14467"/>
    <w:rsid w:val="00C14DB0"/>
    <w:rsid w:val="00C158FA"/>
    <w:rsid w:val="00C16603"/>
    <w:rsid w:val="00C17989"/>
    <w:rsid w:val="00C17A54"/>
    <w:rsid w:val="00C20908"/>
    <w:rsid w:val="00C20EBF"/>
    <w:rsid w:val="00C2106E"/>
    <w:rsid w:val="00C2130F"/>
    <w:rsid w:val="00C2163F"/>
    <w:rsid w:val="00C219DB"/>
    <w:rsid w:val="00C22FBB"/>
    <w:rsid w:val="00C2305A"/>
    <w:rsid w:val="00C23514"/>
    <w:rsid w:val="00C23996"/>
    <w:rsid w:val="00C23CC9"/>
    <w:rsid w:val="00C2457C"/>
    <w:rsid w:val="00C24D07"/>
    <w:rsid w:val="00C24D1F"/>
    <w:rsid w:val="00C252BD"/>
    <w:rsid w:val="00C26015"/>
    <w:rsid w:val="00C30B3D"/>
    <w:rsid w:val="00C31C9D"/>
    <w:rsid w:val="00C3391E"/>
    <w:rsid w:val="00C33AE2"/>
    <w:rsid w:val="00C34001"/>
    <w:rsid w:val="00C3459F"/>
    <w:rsid w:val="00C36880"/>
    <w:rsid w:val="00C3712C"/>
    <w:rsid w:val="00C40264"/>
    <w:rsid w:val="00C418F3"/>
    <w:rsid w:val="00C4192D"/>
    <w:rsid w:val="00C420AD"/>
    <w:rsid w:val="00C42397"/>
    <w:rsid w:val="00C423B3"/>
    <w:rsid w:val="00C436D1"/>
    <w:rsid w:val="00C43985"/>
    <w:rsid w:val="00C44FC4"/>
    <w:rsid w:val="00C47D70"/>
    <w:rsid w:val="00C507F3"/>
    <w:rsid w:val="00C50A7E"/>
    <w:rsid w:val="00C50D49"/>
    <w:rsid w:val="00C50EA1"/>
    <w:rsid w:val="00C52614"/>
    <w:rsid w:val="00C534C1"/>
    <w:rsid w:val="00C541A9"/>
    <w:rsid w:val="00C548FB"/>
    <w:rsid w:val="00C54F8F"/>
    <w:rsid w:val="00C55EF2"/>
    <w:rsid w:val="00C56B61"/>
    <w:rsid w:val="00C56EAC"/>
    <w:rsid w:val="00C572BC"/>
    <w:rsid w:val="00C57C75"/>
    <w:rsid w:val="00C6099B"/>
    <w:rsid w:val="00C611D1"/>
    <w:rsid w:val="00C61AE3"/>
    <w:rsid w:val="00C61C77"/>
    <w:rsid w:val="00C624B6"/>
    <w:rsid w:val="00C62A04"/>
    <w:rsid w:val="00C637F8"/>
    <w:rsid w:val="00C63C42"/>
    <w:rsid w:val="00C63FDF"/>
    <w:rsid w:val="00C649E2"/>
    <w:rsid w:val="00C66A96"/>
    <w:rsid w:val="00C66FB9"/>
    <w:rsid w:val="00C67451"/>
    <w:rsid w:val="00C6785C"/>
    <w:rsid w:val="00C706E3"/>
    <w:rsid w:val="00C70D7B"/>
    <w:rsid w:val="00C7121D"/>
    <w:rsid w:val="00C72365"/>
    <w:rsid w:val="00C72429"/>
    <w:rsid w:val="00C74A5F"/>
    <w:rsid w:val="00C755F4"/>
    <w:rsid w:val="00C75CA3"/>
    <w:rsid w:val="00C76B13"/>
    <w:rsid w:val="00C77120"/>
    <w:rsid w:val="00C77329"/>
    <w:rsid w:val="00C806FC"/>
    <w:rsid w:val="00C807B4"/>
    <w:rsid w:val="00C8096C"/>
    <w:rsid w:val="00C8100B"/>
    <w:rsid w:val="00C815A7"/>
    <w:rsid w:val="00C815CC"/>
    <w:rsid w:val="00C817F1"/>
    <w:rsid w:val="00C81A17"/>
    <w:rsid w:val="00C82A11"/>
    <w:rsid w:val="00C83696"/>
    <w:rsid w:val="00C83F5F"/>
    <w:rsid w:val="00C8470D"/>
    <w:rsid w:val="00C84838"/>
    <w:rsid w:val="00C858CE"/>
    <w:rsid w:val="00C86C77"/>
    <w:rsid w:val="00C86D47"/>
    <w:rsid w:val="00C86E9C"/>
    <w:rsid w:val="00C86EB0"/>
    <w:rsid w:val="00C876A0"/>
    <w:rsid w:val="00C877E0"/>
    <w:rsid w:val="00C87CB4"/>
    <w:rsid w:val="00C90152"/>
    <w:rsid w:val="00C908F9"/>
    <w:rsid w:val="00C90A86"/>
    <w:rsid w:val="00C90CED"/>
    <w:rsid w:val="00C90D8E"/>
    <w:rsid w:val="00C915F3"/>
    <w:rsid w:val="00C939D3"/>
    <w:rsid w:val="00C93AF5"/>
    <w:rsid w:val="00C954F1"/>
    <w:rsid w:val="00C96614"/>
    <w:rsid w:val="00C967EE"/>
    <w:rsid w:val="00C968D3"/>
    <w:rsid w:val="00CA0079"/>
    <w:rsid w:val="00CA1523"/>
    <w:rsid w:val="00CA2B30"/>
    <w:rsid w:val="00CA2B83"/>
    <w:rsid w:val="00CA3B35"/>
    <w:rsid w:val="00CA40DC"/>
    <w:rsid w:val="00CA41D2"/>
    <w:rsid w:val="00CA4F20"/>
    <w:rsid w:val="00CA50C6"/>
    <w:rsid w:val="00CA631E"/>
    <w:rsid w:val="00CA6D14"/>
    <w:rsid w:val="00CA730D"/>
    <w:rsid w:val="00CA775F"/>
    <w:rsid w:val="00CA7B72"/>
    <w:rsid w:val="00CB01F5"/>
    <w:rsid w:val="00CB0D5D"/>
    <w:rsid w:val="00CB0DAB"/>
    <w:rsid w:val="00CB0FCD"/>
    <w:rsid w:val="00CB18FE"/>
    <w:rsid w:val="00CB1B66"/>
    <w:rsid w:val="00CB2061"/>
    <w:rsid w:val="00CB2574"/>
    <w:rsid w:val="00CB2C1B"/>
    <w:rsid w:val="00CB3626"/>
    <w:rsid w:val="00CB384A"/>
    <w:rsid w:val="00CB479E"/>
    <w:rsid w:val="00CB47B2"/>
    <w:rsid w:val="00CB5000"/>
    <w:rsid w:val="00CB533F"/>
    <w:rsid w:val="00CB54CE"/>
    <w:rsid w:val="00CB6DB6"/>
    <w:rsid w:val="00CB7AE8"/>
    <w:rsid w:val="00CC1314"/>
    <w:rsid w:val="00CC1558"/>
    <w:rsid w:val="00CC3AFE"/>
    <w:rsid w:val="00CC4B0F"/>
    <w:rsid w:val="00CC4E85"/>
    <w:rsid w:val="00CC592F"/>
    <w:rsid w:val="00CC5F37"/>
    <w:rsid w:val="00CC6549"/>
    <w:rsid w:val="00CC6C38"/>
    <w:rsid w:val="00CC6E7A"/>
    <w:rsid w:val="00CC70CD"/>
    <w:rsid w:val="00CC761D"/>
    <w:rsid w:val="00CC7AB0"/>
    <w:rsid w:val="00CD03D5"/>
    <w:rsid w:val="00CD14A1"/>
    <w:rsid w:val="00CD15D6"/>
    <w:rsid w:val="00CD311F"/>
    <w:rsid w:val="00CD465E"/>
    <w:rsid w:val="00CD68EE"/>
    <w:rsid w:val="00CD77FC"/>
    <w:rsid w:val="00CD7A76"/>
    <w:rsid w:val="00CE0962"/>
    <w:rsid w:val="00CE097A"/>
    <w:rsid w:val="00CE0B57"/>
    <w:rsid w:val="00CE1137"/>
    <w:rsid w:val="00CE1441"/>
    <w:rsid w:val="00CE1507"/>
    <w:rsid w:val="00CE175E"/>
    <w:rsid w:val="00CE1C03"/>
    <w:rsid w:val="00CE292F"/>
    <w:rsid w:val="00CE37C9"/>
    <w:rsid w:val="00CE58EF"/>
    <w:rsid w:val="00CE5973"/>
    <w:rsid w:val="00CE5CC6"/>
    <w:rsid w:val="00CE67CD"/>
    <w:rsid w:val="00CE6B6D"/>
    <w:rsid w:val="00CE6F0D"/>
    <w:rsid w:val="00CE799E"/>
    <w:rsid w:val="00CF01B4"/>
    <w:rsid w:val="00CF05FD"/>
    <w:rsid w:val="00CF06D0"/>
    <w:rsid w:val="00CF0D8A"/>
    <w:rsid w:val="00CF1275"/>
    <w:rsid w:val="00CF1C61"/>
    <w:rsid w:val="00CF1E72"/>
    <w:rsid w:val="00CF2081"/>
    <w:rsid w:val="00CF2696"/>
    <w:rsid w:val="00CF39EA"/>
    <w:rsid w:val="00CF40A7"/>
    <w:rsid w:val="00CF4425"/>
    <w:rsid w:val="00CF49DA"/>
    <w:rsid w:val="00CF53CA"/>
    <w:rsid w:val="00CF5681"/>
    <w:rsid w:val="00CF581E"/>
    <w:rsid w:val="00CF5E19"/>
    <w:rsid w:val="00CF5E3A"/>
    <w:rsid w:val="00CF6A2F"/>
    <w:rsid w:val="00CF6F96"/>
    <w:rsid w:val="00CF782C"/>
    <w:rsid w:val="00CF7C82"/>
    <w:rsid w:val="00CF7DA0"/>
    <w:rsid w:val="00D001C2"/>
    <w:rsid w:val="00D003F7"/>
    <w:rsid w:val="00D01189"/>
    <w:rsid w:val="00D01645"/>
    <w:rsid w:val="00D01926"/>
    <w:rsid w:val="00D01BF0"/>
    <w:rsid w:val="00D01EB4"/>
    <w:rsid w:val="00D0205A"/>
    <w:rsid w:val="00D0261C"/>
    <w:rsid w:val="00D034A9"/>
    <w:rsid w:val="00D03845"/>
    <w:rsid w:val="00D0391F"/>
    <w:rsid w:val="00D03990"/>
    <w:rsid w:val="00D03ED8"/>
    <w:rsid w:val="00D043EA"/>
    <w:rsid w:val="00D07AE0"/>
    <w:rsid w:val="00D07BF2"/>
    <w:rsid w:val="00D10215"/>
    <w:rsid w:val="00D12103"/>
    <w:rsid w:val="00D138E5"/>
    <w:rsid w:val="00D13C87"/>
    <w:rsid w:val="00D13D5D"/>
    <w:rsid w:val="00D14072"/>
    <w:rsid w:val="00D1433A"/>
    <w:rsid w:val="00D15CE5"/>
    <w:rsid w:val="00D16247"/>
    <w:rsid w:val="00D171FA"/>
    <w:rsid w:val="00D173BF"/>
    <w:rsid w:val="00D173E4"/>
    <w:rsid w:val="00D17C49"/>
    <w:rsid w:val="00D17C84"/>
    <w:rsid w:val="00D2006B"/>
    <w:rsid w:val="00D20212"/>
    <w:rsid w:val="00D2026F"/>
    <w:rsid w:val="00D20658"/>
    <w:rsid w:val="00D20C44"/>
    <w:rsid w:val="00D20CDA"/>
    <w:rsid w:val="00D20DD8"/>
    <w:rsid w:val="00D20E65"/>
    <w:rsid w:val="00D20FB9"/>
    <w:rsid w:val="00D211EC"/>
    <w:rsid w:val="00D217F0"/>
    <w:rsid w:val="00D22671"/>
    <w:rsid w:val="00D22748"/>
    <w:rsid w:val="00D22828"/>
    <w:rsid w:val="00D23137"/>
    <w:rsid w:val="00D23193"/>
    <w:rsid w:val="00D23216"/>
    <w:rsid w:val="00D236C1"/>
    <w:rsid w:val="00D2377F"/>
    <w:rsid w:val="00D23975"/>
    <w:rsid w:val="00D242E7"/>
    <w:rsid w:val="00D251AD"/>
    <w:rsid w:val="00D25AD8"/>
    <w:rsid w:val="00D2648D"/>
    <w:rsid w:val="00D267A8"/>
    <w:rsid w:val="00D26918"/>
    <w:rsid w:val="00D27B69"/>
    <w:rsid w:val="00D27D1C"/>
    <w:rsid w:val="00D27EA5"/>
    <w:rsid w:val="00D30385"/>
    <w:rsid w:val="00D313C3"/>
    <w:rsid w:val="00D31730"/>
    <w:rsid w:val="00D31BBD"/>
    <w:rsid w:val="00D32116"/>
    <w:rsid w:val="00D3244D"/>
    <w:rsid w:val="00D324F7"/>
    <w:rsid w:val="00D3307C"/>
    <w:rsid w:val="00D3462E"/>
    <w:rsid w:val="00D349A5"/>
    <w:rsid w:val="00D34B10"/>
    <w:rsid w:val="00D34C2E"/>
    <w:rsid w:val="00D351AA"/>
    <w:rsid w:val="00D359CB"/>
    <w:rsid w:val="00D35E08"/>
    <w:rsid w:val="00D3665F"/>
    <w:rsid w:val="00D37121"/>
    <w:rsid w:val="00D40811"/>
    <w:rsid w:val="00D41853"/>
    <w:rsid w:val="00D422E7"/>
    <w:rsid w:val="00D426EF"/>
    <w:rsid w:val="00D42959"/>
    <w:rsid w:val="00D429BA"/>
    <w:rsid w:val="00D43003"/>
    <w:rsid w:val="00D4324E"/>
    <w:rsid w:val="00D4331F"/>
    <w:rsid w:val="00D433FE"/>
    <w:rsid w:val="00D4350B"/>
    <w:rsid w:val="00D44E7B"/>
    <w:rsid w:val="00D45B34"/>
    <w:rsid w:val="00D45CD4"/>
    <w:rsid w:val="00D460F3"/>
    <w:rsid w:val="00D46639"/>
    <w:rsid w:val="00D47365"/>
    <w:rsid w:val="00D4760D"/>
    <w:rsid w:val="00D47B2A"/>
    <w:rsid w:val="00D503C6"/>
    <w:rsid w:val="00D5081A"/>
    <w:rsid w:val="00D50ABC"/>
    <w:rsid w:val="00D50D4D"/>
    <w:rsid w:val="00D51D16"/>
    <w:rsid w:val="00D52501"/>
    <w:rsid w:val="00D5438B"/>
    <w:rsid w:val="00D545FB"/>
    <w:rsid w:val="00D54BF1"/>
    <w:rsid w:val="00D56F38"/>
    <w:rsid w:val="00D57F25"/>
    <w:rsid w:val="00D605FC"/>
    <w:rsid w:val="00D61080"/>
    <w:rsid w:val="00D6202B"/>
    <w:rsid w:val="00D6224E"/>
    <w:rsid w:val="00D6301F"/>
    <w:rsid w:val="00D6341B"/>
    <w:rsid w:val="00D63690"/>
    <w:rsid w:val="00D639C2"/>
    <w:rsid w:val="00D6454C"/>
    <w:rsid w:val="00D64B2D"/>
    <w:rsid w:val="00D6576E"/>
    <w:rsid w:val="00D66FEB"/>
    <w:rsid w:val="00D72483"/>
    <w:rsid w:val="00D726F8"/>
    <w:rsid w:val="00D72AFA"/>
    <w:rsid w:val="00D73142"/>
    <w:rsid w:val="00D73BB2"/>
    <w:rsid w:val="00D761EA"/>
    <w:rsid w:val="00D76FEC"/>
    <w:rsid w:val="00D775ED"/>
    <w:rsid w:val="00D779F7"/>
    <w:rsid w:val="00D80ABA"/>
    <w:rsid w:val="00D81277"/>
    <w:rsid w:val="00D812B6"/>
    <w:rsid w:val="00D813D7"/>
    <w:rsid w:val="00D81B1F"/>
    <w:rsid w:val="00D81CE0"/>
    <w:rsid w:val="00D82742"/>
    <w:rsid w:val="00D82BB3"/>
    <w:rsid w:val="00D8352B"/>
    <w:rsid w:val="00D837A2"/>
    <w:rsid w:val="00D83C46"/>
    <w:rsid w:val="00D8409A"/>
    <w:rsid w:val="00D84B54"/>
    <w:rsid w:val="00D84CD2"/>
    <w:rsid w:val="00D84F31"/>
    <w:rsid w:val="00D8531F"/>
    <w:rsid w:val="00D866D7"/>
    <w:rsid w:val="00D86961"/>
    <w:rsid w:val="00D870A5"/>
    <w:rsid w:val="00D87120"/>
    <w:rsid w:val="00D8748D"/>
    <w:rsid w:val="00D87542"/>
    <w:rsid w:val="00D87B42"/>
    <w:rsid w:val="00D902A3"/>
    <w:rsid w:val="00D90B20"/>
    <w:rsid w:val="00D91935"/>
    <w:rsid w:val="00D91D24"/>
    <w:rsid w:val="00D91FA4"/>
    <w:rsid w:val="00D91FC4"/>
    <w:rsid w:val="00D92986"/>
    <w:rsid w:val="00D93211"/>
    <w:rsid w:val="00D935C2"/>
    <w:rsid w:val="00D93CF4"/>
    <w:rsid w:val="00D9431C"/>
    <w:rsid w:val="00D952D9"/>
    <w:rsid w:val="00D95C20"/>
    <w:rsid w:val="00D96D99"/>
    <w:rsid w:val="00D96E1E"/>
    <w:rsid w:val="00D97C16"/>
    <w:rsid w:val="00DA0328"/>
    <w:rsid w:val="00DA0383"/>
    <w:rsid w:val="00DA0655"/>
    <w:rsid w:val="00DA1175"/>
    <w:rsid w:val="00DA121A"/>
    <w:rsid w:val="00DA4101"/>
    <w:rsid w:val="00DA638F"/>
    <w:rsid w:val="00DA641B"/>
    <w:rsid w:val="00DA7107"/>
    <w:rsid w:val="00DA7947"/>
    <w:rsid w:val="00DA797C"/>
    <w:rsid w:val="00DA7B06"/>
    <w:rsid w:val="00DA7E21"/>
    <w:rsid w:val="00DA7F0B"/>
    <w:rsid w:val="00DB0688"/>
    <w:rsid w:val="00DB06FA"/>
    <w:rsid w:val="00DB10B7"/>
    <w:rsid w:val="00DB131C"/>
    <w:rsid w:val="00DB171B"/>
    <w:rsid w:val="00DB1F4A"/>
    <w:rsid w:val="00DB240F"/>
    <w:rsid w:val="00DB2719"/>
    <w:rsid w:val="00DB3947"/>
    <w:rsid w:val="00DB3CB9"/>
    <w:rsid w:val="00DB5B17"/>
    <w:rsid w:val="00DB5EB9"/>
    <w:rsid w:val="00DC0A5F"/>
    <w:rsid w:val="00DC2742"/>
    <w:rsid w:val="00DC2BA6"/>
    <w:rsid w:val="00DC2E1C"/>
    <w:rsid w:val="00DC3374"/>
    <w:rsid w:val="00DC490D"/>
    <w:rsid w:val="00DC5890"/>
    <w:rsid w:val="00DC5E24"/>
    <w:rsid w:val="00DC6D64"/>
    <w:rsid w:val="00DC7030"/>
    <w:rsid w:val="00DD000D"/>
    <w:rsid w:val="00DD06F8"/>
    <w:rsid w:val="00DD1971"/>
    <w:rsid w:val="00DD2912"/>
    <w:rsid w:val="00DD2F95"/>
    <w:rsid w:val="00DD4007"/>
    <w:rsid w:val="00DD4919"/>
    <w:rsid w:val="00DD4FA8"/>
    <w:rsid w:val="00DD71A5"/>
    <w:rsid w:val="00DD7920"/>
    <w:rsid w:val="00DE00D9"/>
    <w:rsid w:val="00DE0A54"/>
    <w:rsid w:val="00DE1DAB"/>
    <w:rsid w:val="00DE1F77"/>
    <w:rsid w:val="00DE20A2"/>
    <w:rsid w:val="00DE298C"/>
    <w:rsid w:val="00DE2ED9"/>
    <w:rsid w:val="00DE3A5E"/>
    <w:rsid w:val="00DE432C"/>
    <w:rsid w:val="00DE4826"/>
    <w:rsid w:val="00DE4FC3"/>
    <w:rsid w:val="00DE563E"/>
    <w:rsid w:val="00DE5AC7"/>
    <w:rsid w:val="00DE63DE"/>
    <w:rsid w:val="00DE6DD8"/>
    <w:rsid w:val="00DE6E4C"/>
    <w:rsid w:val="00DE6F69"/>
    <w:rsid w:val="00DE7DB6"/>
    <w:rsid w:val="00DF063E"/>
    <w:rsid w:val="00DF0B89"/>
    <w:rsid w:val="00DF0CB7"/>
    <w:rsid w:val="00DF0F08"/>
    <w:rsid w:val="00DF12BD"/>
    <w:rsid w:val="00DF1527"/>
    <w:rsid w:val="00DF15BD"/>
    <w:rsid w:val="00DF204A"/>
    <w:rsid w:val="00DF2084"/>
    <w:rsid w:val="00DF24E7"/>
    <w:rsid w:val="00DF263C"/>
    <w:rsid w:val="00DF2671"/>
    <w:rsid w:val="00DF360B"/>
    <w:rsid w:val="00DF3782"/>
    <w:rsid w:val="00DF46B2"/>
    <w:rsid w:val="00DF5668"/>
    <w:rsid w:val="00DF5FC2"/>
    <w:rsid w:val="00DF7418"/>
    <w:rsid w:val="00DF7FA0"/>
    <w:rsid w:val="00E003E7"/>
    <w:rsid w:val="00E00601"/>
    <w:rsid w:val="00E03E08"/>
    <w:rsid w:val="00E040D3"/>
    <w:rsid w:val="00E058A9"/>
    <w:rsid w:val="00E05B2E"/>
    <w:rsid w:val="00E05E74"/>
    <w:rsid w:val="00E06846"/>
    <w:rsid w:val="00E06AAB"/>
    <w:rsid w:val="00E06C9B"/>
    <w:rsid w:val="00E11821"/>
    <w:rsid w:val="00E11D00"/>
    <w:rsid w:val="00E1226A"/>
    <w:rsid w:val="00E12A2F"/>
    <w:rsid w:val="00E1351F"/>
    <w:rsid w:val="00E13977"/>
    <w:rsid w:val="00E13BDD"/>
    <w:rsid w:val="00E146CC"/>
    <w:rsid w:val="00E14AAC"/>
    <w:rsid w:val="00E15B62"/>
    <w:rsid w:val="00E16FCA"/>
    <w:rsid w:val="00E1754C"/>
    <w:rsid w:val="00E175FF"/>
    <w:rsid w:val="00E1769F"/>
    <w:rsid w:val="00E1775A"/>
    <w:rsid w:val="00E17A78"/>
    <w:rsid w:val="00E206D7"/>
    <w:rsid w:val="00E209E3"/>
    <w:rsid w:val="00E2100B"/>
    <w:rsid w:val="00E21421"/>
    <w:rsid w:val="00E22857"/>
    <w:rsid w:val="00E22C7C"/>
    <w:rsid w:val="00E22CB2"/>
    <w:rsid w:val="00E23649"/>
    <w:rsid w:val="00E23951"/>
    <w:rsid w:val="00E23EA4"/>
    <w:rsid w:val="00E24B4B"/>
    <w:rsid w:val="00E25459"/>
    <w:rsid w:val="00E25CF9"/>
    <w:rsid w:val="00E264D5"/>
    <w:rsid w:val="00E264ED"/>
    <w:rsid w:val="00E266F2"/>
    <w:rsid w:val="00E2678B"/>
    <w:rsid w:val="00E2716A"/>
    <w:rsid w:val="00E32222"/>
    <w:rsid w:val="00E32A54"/>
    <w:rsid w:val="00E32C17"/>
    <w:rsid w:val="00E345F3"/>
    <w:rsid w:val="00E34C1B"/>
    <w:rsid w:val="00E3535C"/>
    <w:rsid w:val="00E35489"/>
    <w:rsid w:val="00E35682"/>
    <w:rsid w:val="00E3581F"/>
    <w:rsid w:val="00E35BCD"/>
    <w:rsid w:val="00E362D7"/>
    <w:rsid w:val="00E36BBD"/>
    <w:rsid w:val="00E36E67"/>
    <w:rsid w:val="00E373DD"/>
    <w:rsid w:val="00E3780E"/>
    <w:rsid w:val="00E40420"/>
    <w:rsid w:val="00E4153F"/>
    <w:rsid w:val="00E41C5C"/>
    <w:rsid w:val="00E42597"/>
    <w:rsid w:val="00E437B3"/>
    <w:rsid w:val="00E43DE7"/>
    <w:rsid w:val="00E43EE1"/>
    <w:rsid w:val="00E4403F"/>
    <w:rsid w:val="00E44C97"/>
    <w:rsid w:val="00E45E82"/>
    <w:rsid w:val="00E45EEF"/>
    <w:rsid w:val="00E45F64"/>
    <w:rsid w:val="00E45F7A"/>
    <w:rsid w:val="00E461A0"/>
    <w:rsid w:val="00E4643E"/>
    <w:rsid w:val="00E46A45"/>
    <w:rsid w:val="00E46EA3"/>
    <w:rsid w:val="00E46F29"/>
    <w:rsid w:val="00E47172"/>
    <w:rsid w:val="00E474DE"/>
    <w:rsid w:val="00E4789D"/>
    <w:rsid w:val="00E47927"/>
    <w:rsid w:val="00E50AF3"/>
    <w:rsid w:val="00E50B4C"/>
    <w:rsid w:val="00E517DD"/>
    <w:rsid w:val="00E51C1B"/>
    <w:rsid w:val="00E5206F"/>
    <w:rsid w:val="00E52623"/>
    <w:rsid w:val="00E5327D"/>
    <w:rsid w:val="00E5352E"/>
    <w:rsid w:val="00E53CBC"/>
    <w:rsid w:val="00E53DA7"/>
    <w:rsid w:val="00E54C8D"/>
    <w:rsid w:val="00E55A6C"/>
    <w:rsid w:val="00E566F3"/>
    <w:rsid w:val="00E569AA"/>
    <w:rsid w:val="00E56ED8"/>
    <w:rsid w:val="00E56FC0"/>
    <w:rsid w:val="00E57029"/>
    <w:rsid w:val="00E57180"/>
    <w:rsid w:val="00E5757D"/>
    <w:rsid w:val="00E613F0"/>
    <w:rsid w:val="00E624F4"/>
    <w:rsid w:val="00E62CBE"/>
    <w:rsid w:val="00E63CB2"/>
    <w:rsid w:val="00E63F46"/>
    <w:rsid w:val="00E64C07"/>
    <w:rsid w:val="00E65383"/>
    <w:rsid w:val="00E65679"/>
    <w:rsid w:val="00E66D80"/>
    <w:rsid w:val="00E66E26"/>
    <w:rsid w:val="00E670E7"/>
    <w:rsid w:val="00E67DBE"/>
    <w:rsid w:val="00E70629"/>
    <w:rsid w:val="00E70826"/>
    <w:rsid w:val="00E70C16"/>
    <w:rsid w:val="00E714DA"/>
    <w:rsid w:val="00E71808"/>
    <w:rsid w:val="00E7209E"/>
    <w:rsid w:val="00E72A18"/>
    <w:rsid w:val="00E72A8D"/>
    <w:rsid w:val="00E72F24"/>
    <w:rsid w:val="00E72F7A"/>
    <w:rsid w:val="00E7392F"/>
    <w:rsid w:val="00E73979"/>
    <w:rsid w:val="00E74968"/>
    <w:rsid w:val="00E74E05"/>
    <w:rsid w:val="00E753EB"/>
    <w:rsid w:val="00E766F0"/>
    <w:rsid w:val="00E76CDC"/>
    <w:rsid w:val="00E76F1B"/>
    <w:rsid w:val="00E7746E"/>
    <w:rsid w:val="00E77C43"/>
    <w:rsid w:val="00E77C66"/>
    <w:rsid w:val="00E80006"/>
    <w:rsid w:val="00E81188"/>
    <w:rsid w:val="00E81221"/>
    <w:rsid w:val="00E81246"/>
    <w:rsid w:val="00E83675"/>
    <w:rsid w:val="00E8377E"/>
    <w:rsid w:val="00E83913"/>
    <w:rsid w:val="00E83DE4"/>
    <w:rsid w:val="00E856C9"/>
    <w:rsid w:val="00E858F0"/>
    <w:rsid w:val="00E85A49"/>
    <w:rsid w:val="00E8633D"/>
    <w:rsid w:val="00E91EBC"/>
    <w:rsid w:val="00E92A62"/>
    <w:rsid w:val="00E92F67"/>
    <w:rsid w:val="00E9323C"/>
    <w:rsid w:val="00E939B6"/>
    <w:rsid w:val="00E95E5E"/>
    <w:rsid w:val="00E9635B"/>
    <w:rsid w:val="00E968A7"/>
    <w:rsid w:val="00E97195"/>
    <w:rsid w:val="00E97B41"/>
    <w:rsid w:val="00EA0193"/>
    <w:rsid w:val="00EA0DC5"/>
    <w:rsid w:val="00EA18D8"/>
    <w:rsid w:val="00EA1E72"/>
    <w:rsid w:val="00EA2A30"/>
    <w:rsid w:val="00EA2B6E"/>
    <w:rsid w:val="00EA2F8B"/>
    <w:rsid w:val="00EA3064"/>
    <w:rsid w:val="00EA4BCB"/>
    <w:rsid w:val="00EA5991"/>
    <w:rsid w:val="00EA60FF"/>
    <w:rsid w:val="00EA641C"/>
    <w:rsid w:val="00EA68C5"/>
    <w:rsid w:val="00EA69BC"/>
    <w:rsid w:val="00EA7BFE"/>
    <w:rsid w:val="00EA7EA9"/>
    <w:rsid w:val="00EB0ADD"/>
    <w:rsid w:val="00EB0D48"/>
    <w:rsid w:val="00EB0D5D"/>
    <w:rsid w:val="00EB2A87"/>
    <w:rsid w:val="00EB2F7A"/>
    <w:rsid w:val="00EB3138"/>
    <w:rsid w:val="00EB34DD"/>
    <w:rsid w:val="00EB4273"/>
    <w:rsid w:val="00EB4FD8"/>
    <w:rsid w:val="00EB556E"/>
    <w:rsid w:val="00EB5B34"/>
    <w:rsid w:val="00EB5C16"/>
    <w:rsid w:val="00EB6476"/>
    <w:rsid w:val="00EB6D9D"/>
    <w:rsid w:val="00EB7047"/>
    <w:rsid w:val="00EB7D71"/>
    <w:rsid w:val="00EC000A"/>
    <w:rsid w:val="00EC01C4"/>
    <w:rsid w:val="00EC04A1"/>
    <w:rsid w:val="00EC0EF2"/>
    <w:rsid w:val="00EC1D9D"/>
    <w:rsid w:val="00EC3D59"/>
    <w:rsid w:val="00EC49E2"/>
    <w:rsid w:val="00EC4C22"/>
    <w:rsid w:val="00EC5D57"/>
    <w:rsid w:val="00EC6215"/>
    <w:rsid w:val="00EC659C"/>
    <w:rsid w:val="00EC67A7"/>
    <w:rsid w:val="00EC6B44"/>
    <w:rsid w:val="00EC6BCE"/>
    <w:rsid w:val="00EC6D3A"/>
    <w:rsid w:val="00EC70EF"/>
    <w:rsid w:val="00ED0274"/>
    <w:rsid w:val="00ED147F"/>
    <w:rsid w:val="00ED1572"/>
    <w:rsid w:val="00ED16F4"/>
    <w:rsid w:val="00ED1BDE"/>
    <w:rsid w:val="00ED1C0B"/>
    <w:rsid w:val="00ED1D3C"/>
    <w:rsid w:val="00ED1F8C"/>
    <w:rsid w:val="00ED2AD1"/>
    <w:rsid w:val="00ED39E4"/>
    <w:rsid w:val="00ED3E2C"/>
    <w:rsid w:val="00ED41CE"/>
    <w:rsid w:val="00ED55EB"/>
    <w:rsid w:val="00ED5D3C"/>
    <w:rsid w:val="00ED735A"/>
    <w:rsid w:val="00ED7857"/>
    <w:rsid w:val="00EE0234"/>
    <w:rsid w:val="00EE0903"/>
    <w:rsid w:val="00EE0907"/>
    <w:rsid w:val="00EE0BDF"/>
    <w:rsid w:val="00EE0D70"/>
    <w:rsid w:val="00EE0EC5"/>
    <w:rsid w:val="00EE13C7"/>
    <w:rsid w:val="00EE1629"/>
    <w:rsid w:val="00EE177C"/>
    <w:rsid w:val="00EE183F"/>
    <w:rsid w:val="00EE24A8"/>
    <w:rsid w:val="00EE2B59"/>
    <w:rsid w:val="00EE2C77"/>
    <w:rsid w:val="00EE327D"/>
    <w:rsid w:val="00EE37A3"/>
    <w:rsid w:val="00EE3854"/>
    <w:rsid w:val="00EE38DE"/>
    <w:rsid w:val="00EE3A62"/>
    <w:rsid w:val="00EE4FEE"/>
    <w:rsid w:val="00EE511C"/>
    <w:rsid w:val="00EE6C14"/>
    <w:rsid w:val="00EE7508"/>
    <w:rsid w:val="00EE7A3E"/>
    <w:rsid w:val="00EE7B8A"/>
    <w:rsid w:val="00EF087C"/>
    <w:rsid w:val="00EF08F2"/>
    <w:rsid w:val="00EF2B30"/>
    <w:rsid w:val="00EF403B"/>
    <w:rsid w:val="00EF563D"/>
    <w:rsid w:val="00EF5F24"/>
    <w:rsid w:val="00EF6F43"/>
    <w:rsid w:val="00EF7640"/>
    <w:rsid w:val="00EF78F9"/>
    <w:rsid w:val="00EF79E7"/>
    <w:rsid w:val="00EF7FF0"/>
    <w:rsid w:val="00F010EA"/>
    <w:rsid w:val="00F03F0A"/>
    <w:rsid w:val="00F04987"/>
    <w:rsid w:val="00F04CD9"/>
    <w:rsid w:val="00F04CE3"/>
    <w:rsid w:val="00F07603"/>
    <w:rsid w:val="00F10E90"/>
    <w:rsid w:val="00F116CA"/>
    <w:rsid w:val="00F11ACA"/>
    <w:rsid w:val="00F122AB"/>
    <w:rsid w:val="00F122D6"/>
    <w:rsid w:val="00F123A3"/>
    <w:rsid w:val="00F12CD4"/>
    <w:rsid w:val="00F13072"/>
    <w:rsid w:val="00F131FD"/>
    <w:rsid w:val="00F13B86"/>
    <w:rsid w:val="00F146EE"/>
    <w:rsid w:val="00F1478D"/>
    <w:rsid w:val="00F15BD2"/>
    <w:rsid w:val="00F15EC1"/>
    <w:rsid w:val="00F161CA"/>
    <w:rsid w:val="00F203E1"/>
    <w:rsid w:val="00F2053F"/>
    <w:rsid w:val="00F208EF"/>
    <w:rsid w:val="00F20C6E"/>
    <w:rsid w:val="00F20D6C"/>
    <w:rsid w:val="00F210FC"/>
    <w:rsid w:val="00F21189"/>
    <w:rsid w:val="00F21633"/>
    <w:rsid w:val="00F22019"/>
    <w:rsid w:val="00F22468"/>
    <w:rsid w:val="00F24258"/>
    <w:rsid w:val="00F24634"/>
    <w:rsid w:val="00F24CA2"/>
    <w:rsid w:val="00F24EB0"/>
    <w:rsid w:val="00F24F5F"/>
    <w:rsid w:val="00F254EB"/>
    <w:rsid w:val="00F25C9C"/>
    <w:rsid w:val="00F25E1C"/>
    <w:rsid w:val="00F25F56"/>
    <w:rsid w:val="00F26712"/>
    <w:rsid w:val="00F267FA"/>
    <w:rsid w:val="00F26F18"/>
    <w:rsid w:val="00F27B41"/>
    <w:rsid w:val="00F300C3"/>
    <w:rsid w:val="00F31697"/>
    <w:rsid w:val="00F31B9A"/>
    <w:rsid w:val="00F32456"/>
    <w:rsid w:val="00F32462"/>
    <w:rsid w:val="00F326C9"/>
    <w:rsid w:val="00F334FF"/>
    <w:rsid w:val="00F33730"/>
    <w:rsid w:val="00F34996"/>
    <w:rsid w:val="00F34AAA"/>
    <w:rsid w:val="00F34AE2"/>
    <w:rsid w:val="00F35839"/>
    <w:rsid w:val="00F404FA"/>
    <w:rsid w:val="00F41E9F"/>
    <w:rsid w:val="00F42246"/>
    <w:rsid w:val="00F432D1"/>
    <w:rsid w:val="00F4385E"/>
    <w:rsid w:val="00F4398F"/>
    <w:rsid w:val="00F43B3F"/>
    <w:rsid w:val="00F44952"/>
    <w:rsid w:val="00F44CA2"/>
    <w:rsid w:val="00F456B4"/>
    <w:rsid w:val="00F46BC1"/>
    <w:rsid w:val="00F46DDE"/>
    <w:rsid w:val="00F4731A"/>
    <w:rsid w:val="00F47DF7"/>
    <w:rsid w:val="00F47F60"/>
    <w:rsid w:val="00F50141"/>
    <w:rsid w:val="00F503CF"/>
    <w:rsid w:val="00F5058E"/>
    <w:rsid w:val="00F510A9"/>
    <w:rsid w:val="00F52F43"/>
    <w:rsid w:val="00F5353B"/>
    <w:rsid w:val="00F53904"/>
    <w:rsid w:val="00F53F44"/>
    <w:rsid w:val="00F54F06"/>
    <w:rsid w:val="00F564AA"/>
    <w:rsid w:val="00F57519"/>
    <w:rsid w:val="00F60CF0"/>
    <w:rsid w:val="00F6132D"/>
    <w:rsid w:val="00F61520"/>
    <w:rsid w:val="00F621DB"/>
    <w:rsid w:val="00F627EB"/>
    <w:rsid w:val="00F62BA3"/>
    <w:rsid w:val="00F63607"/>
    <w:rsid w:val="00F63D09"/>
    <w:rsid w:val="00F63DF5"/>
    <w:rsid w:val="00F64348"/>
    <w:rsid w:val="00F647B4"/>
    <w:rsid w:val="00F648AE"/>
    <w:rsid w:val="00F64A93"/>
    <w:rsid w:val="00F64AA6"/>
    <w:rsid w:val="00F64B94"/>
    <w:rsid w:val="00F662D5"/>
    <w:rsid w:val="00F664AB"/>
    <w:rsid w:val="00F71B8A"/>
    <w:rsid w:val="00F72997"/>
    <w:rsid w:val="00F72C36"/>
    <w:rsid w:val="00F72EE3"/>
    <w:rsid w:val="00F731C7"/>
    <w:rsid w:val="00F73F99"/>
    <w:rsid w:val="00F73FE6"/>
    <w:rsid w:val="00F7485C"/>
    <w:rsid w:val="00F748D9"/>
    <w:rsid w:val="00F74A64"/>
    <w:rsid w:val="00F750C6"/>
    <w:rsid w:val="00F7523B"/>
    <w:rsid w:val="00F75A10"/>
    <w:rsid w:val="00F76146"/>
    <w:rsid w:val="00F76C97"/>
    <w:rsid w:val="00F76D3A"/>
    <w:rsid w:val="00F77276"/>
    <w:rsid w:val="00F775E6"/>
    <w:rsid w:val="00F80EE5"/>
    <w:rsid w:val="00F81DCC"/>
    <w:rsid w:val="00F82934"/>
    <w:rsid w:val="00F83005"/>
    <w:rsid w:val="00F844C5"/>
    <w:rsid w:val="00F8485D"/>
    <w:rsid w:val="00F848D6"/>
    <w:rsid w:val="00F84D3F"/>
    <w:rsid w:val="00F86410"/>
    <w:rsid w:val="00F8748A"/>
    <w:rsid w:val="00F90315"/>
    <w:rsid w:val="00F90697"/>
    <w:rsid w:val="00F90789"/>
    <w:rsid w:val="00F91AF8"/>
    <w:rsid w:val="00F92B74"/>
    <w:rsid w:val="00F92C67"/>
    <w:rsid w:val="00F93891"/>
    <w:rsid w:val="00F94685"/>
    <w:rsid w:val="00F95439"/>
    <w:rsid w:val="00F955FE"/>
    <w:rsid w:val="00F96BCF"/>
    <w:rsid w:val="00F96C29"/>
    <w:rsid w:val="00F96D3B"/>
    <w:rsid w:val="00F96EAD"/>
    <w:rsid w:val="00F970C1"/>
    <w:rsid w:val="00F976BF"/>
    <w:rsid w:val="00F97810"/>
    <w:rsid w:val="00FA1705"/>
    <w:rsid w:val="00FA1E10"/>
    <w:rsid w:val="00FA2E6C"/>
    <w:rsid w:val="00FA3874"/>
    <w:rsid w:val="00FA3C63"/>
    <w:rsid w:val="00FA4752"/>
    <w:rsid w:val="00FA7759"/>
    <w:rsid w:val="00FA77C7"/>
    <w:rsid w:val="00FA79EB"/>
    <w:rsid w:val="00FA7E1B"/>
    <w:rsid w:val="00FB0AB9"/>
    <w:rsid w:val="00FB1491"/>
    <w:rsid w:val="00FB2508"/>
    <w:rsid w:val="00FB2530"/>
    <w:rsid w:val="00FB25ED"/>
    <w:rsid w:val="00FB340F"/>
    <w:rsid w:val="00FB3BDF"/>
    <w:rsid w:val="00FB3F26"/>
    <w:rsid w:val="00FB4AF0"/>
    <w:rsid w:val="00FB5715"/>
    <w:rsid w:val="00FB57CC"/>
    <w:rsid w:val="00FB68B9"/>
    <w:rsid w:val="00FB7E40"/>
    <w:rsid w:val="00FB7FDD"/>
    <w:rsid w:val="00FC01C4"/>
    <w:rsid w:val="00FC0401"/>
    <w:rsid w:val="00FC073C"/>
    <w:rsid w:val="00FC0957"/>
    <w:rsid w:val="00FC0C40"/>
    <w:rsid w:val="00FC1ABC"/>
    <w:rsid w:val="00FC1B39"/>
    <w:rsid w:val="00FC237C"/>
    <w:rsid w:val="00FC306E"/>
    <w:rsid w:val="00FC3143"/>
    <w:rsid w:val="00FC3213"/>
    <w:rsid w:val="00FC441B"/>
    <w:rsid w:val="00FC48C6"/>
    <w:rsid w:val="00FC4A6F"/>
    <w:rsid w:val="00FC4C85"/>
    <w:rsid w:val="00FC4D42"/>
    <w:rsid w:val="00FC52F2"/>
    <w:rsid w:val="00FC6414"/>
    <w:rsid w:val="00FC67D8"/>
    <w:rsid w:val="00FC7F32"/>
    <w:rsid w:val="00FD02C2"/>
    <w:rsid w:val="00FD05DB"/>
    <w:rsid w:val="00FD0ABD"/>
    <w:rsid w:val="00FD0F0F"/>
    <w:rsid w:val="00FD1358"/>
    <w:rsid w:val="00FD16EB"/>
    <w:rsid w:val="00FD2563"/>
    <w:rsid w:val="00FD391D"/>
    <w:rsid w:val="00FD394C"/>
    <w:rsid w:val="00FD3B3C"/>
    <w:rsid w:val="00FD451B"/>
    <w:rsid w:val="00FD4EE3"/>
    <w:rsid w:val="00FD5B33"/>
    <w:rsid w:val="00FD67A0"/>
    <w:rsid w:val="00FD73CA"/>
    <w:rsid w:val="00FE0435"/>
    <w:rsid w:val="00FE145B"/>
    <w:rsid w:val="00FE1DCE"/>
    <w:rsid w:val="00FE32FE"/>
    <w:rsid w:val="00FE3F74"/>
    <w:rsid w:val="00FE4EF1"/>
    <w:rsid w:val="00FE6258"/>
    <w:rsid w:val="00FE7187"/>
    <w:rsid w:val="00FF014C"/>
    <w:rsid w:val="00FF029E"/>
    <w:rsid w:val="00FF0443"/>
    <w:rsid w:val="00FF129F"/>
    <w:rsid w:val="00FF147D"/>
    <w:rsid w:val="00FF1958"/>
    <w:rsid w:val="00FF195E"/>
    <w:rsid w:val="00FF1A14"/>
    <w:rsid w:val="00FF1E35"/>
    <w:rsid w:val="00FF2446"/>
    <w:rsid w:val="00FF2E50"/>
    <w:rsid w:val="00FF31D1"/>
    <w:rsid w:val="00FF32D7"/>
    <w:rsid w:val="00FF3FC4"/>
    <w:rsid w:val="00FF487D"/>
    <w:rsid w:val="00FF511F"/>
    <w:rsid w:val="00FF5887"/>
    <w:rsid w:val="00FF5E54"/>
    <w:rsid w:val="00FF5E99"/>
    <w:rsid w:val="00FF62EE"/>
    <w:rsid w:val="00FF6D4A"/>
    <w:rsid w:val="00FF6DB8"/>
    <w:rsid w:val="00FF77B2"/>
  </w:rsids>
  <w:docVars>
    <w:docVar w:name="btnwarning" w:val="1"/>
    <w:docVar w:name="sivug" w:val="0"/>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40332F98-D058-4D16-BE1D-F31EE988D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bidi/>
        <w:ind w:left="720" w:hanging="720"/>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288"/>
    <w:pPr>
      <w:spacing w:line="360" w:lineRule="auto"/>
      <w:ind w:left="0" w:firstLine="0"/>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pPr>
  </w:style>
  <w:style w:type="character" w:customStyle="1" w:styleId="a3">
    <w:name w:val="תאריך תו"/>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Spacing"/>
    <w:next w:val="NoSpacing"/>
    <w:link w:val="a4"/>
    <w:uiPriority w:val="99"/>
    <w:qFormat/>
    <w:rsid w:val="00CA6D14"/>
    <w:pPr>
      <w:textboxTightWrap w:val="allLines"/>
      <w:ind w:right="680"/>
    </w:pPr>
    <w:rPr>
      <w:szCs w:val="20"/>
    </w:rPr>
  </w:style>
  <w:style w:type="paragraph" w:styleId="NoSpacing">
    <w:name w:val="No Spacing"/>
    <w:uiPriority w:val="1"/>
    <w:rsid w:val="00CA6D14"/>
    <w:pPr>
      <w:ind w:left="0" w:firstLine="0"/>
    </w:pPr>
  </w:style>
  <w:style w:type="character" w:customStyle="1" w:styleId="a4">
    <w:name w:val="טקסט הערת שוליים תו"/>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CA6D14"/>
    <w:rPr>
      <w:szCs w:val="20"/>
    </w:rPr>
  </w:style>
  <w:style w:type="character" w:styleId="FootnoteReference1">
    <w:name w:val="footnote reference"/>
    <w:aliases w:val="Footnote Reference_0,מ"/>
    <w:basedOn w:val="DefaultParagraphFont"/>
    <w:uiPriority w:val="99"/>
    <w:unhideWhenUsed/>
    <w:rsid w:val="000501A4"/>
    <w:rPr>
      <w:vertAlign w:val="superscript"/>
    </w:rPr>
  </w:style>
  <w:style w:type="paragraph" w:styleId="Caption">
    <w:name w:val="caption"/>
    <w:basedOn w:val="Normal"/>
    <w:next w:val="Normal"/>
    <w:uiPriority w:val="35"/>
    <w:unhideWhenUsed/>
    <w:qFormat/>
    <w:rsid w:val="00B967F8"/>
    <w:pPr>
      <w:spacing w:after="200" w:line="240" w:lineRule="auto"/>
    </w:pPr>
    <w:rPr>
      <w:bCs/>
      <w:i/>
      <w:sz w:val="18"/>
      <w:szCs w:val="18"/>
    </w:rPr>
  </w:style>
  <w:style w:type="paragraph" w:styleId="ListParagraph">
    <w:name w:val="List Paragraph"/>
    <w:basedOn w:val="Normal"/>
    <w:uiPriority w:val="34"/>
    <w:qFormat/>
    <w:rsid w:val="00166275"/>
    <w:pPr>
      <w:ind w:left="720"/>
      <w:contextualSpacing/>
    </w:pPr>
  </w:style>
  <w:style w:type="paragraph" w:styleId="BalloonText">
    <w:name w:val="Balloon Text"/>
    <w:basedOn w:val="Normal"/>
    <w:link w:val="a5"/>
    <w:uiPriority w:val="99"/>
    <w:semiHidden/>
    <w:unhideWhenUsed/>
    <w:rsid w:val="00930FBE"/>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930FBE"/>
    <w:rPr>
      <w:rFonts w:ascii="Tahoma" w:hAnsi="Tahoma" w:cs="Tahoma"/>
      <w:sz w:val="18"/>
      <w:szCs w:val="18"/>
    </w:rPr>
  </w:style>
  <w:style w:type="character" w:styleId="CommentReference">
    <w:name w:val="annotation reference"/>
    <w:basedOn w:val="DefaultParagraphFont"/>
    <w:uiPriority w:val="99"/>
    <w:semiHidden/>
    <w:unhideWhenUsed/>
    <w:rsid w:val="00930FBE"/>
    <w:rPr>
      <w:sz w:val="16"/>
      <w:szCs w:val="16"/>
    </w:rPr>
  </w:style>
  <w:style w:type="paragraph" w:styleId="CommentText">
    <w:name w:val="annotation text"/>
    <w:basedOn w:val="Normal"/>
    <w:link w:val="a6"/>
    <w:uiPriority w:val="99"/>
    <w:unhideWhenUsed/>
    <w:rsid w:val="00930FBE"/>
    <w:pPr>
      <w:spacing w:line="240" w:lineRule="auto"/>
    </w:pPr>
    <w:rPr>
      <w:szCs w:val="20"/>
    </w:rPr>
  </w:style>
  <w:style w:type="character" w:customStyle="1" w:styleId="a6">
    <w:name w:val="טקסט הערה תו"/>
    <w:basedOn w:val="DefaultParagraphFont"/>
    <w:link w:val="CommentText"/>
    <w:uiPriority w:val="99"/>
    <w:rsid w:val="00930FBE"/>
    <w:rPr>
      <w:szCs w:val="20"/>
    </w:rPr>
  </w:style>
  <w:style w:type="paragraph" w:styleId="CommentSubject">
    <w:name w:val="annotation subject"/>
    <w:basedOn w:val="CommentText"/>
    <w:next w:val="CommentText"/>
    <w:link w:val="a7"/>
    <w:uiPriority w:val="99"/>
    <w:semiHidden/>
    <w:unhideWhenUsed/>
    <w:rsid w:val="00930FBE"/>
    <w:rPr>
      <w:b/>
      <w:bCs/>
    </w:rPr>
  </w:style>
  <w:style w:type="character" w:customStyle="1" w:styleId="a7">
    <w:name w:val="נושא הערה תו"/>
    <w:basedOn w:val="a6"/>
    <w:link w:val="CommentSubject"/>
    <w:uiPriority w:val="99"/>
    <w:semiHidden/>
    <w:rsid w:val="00930FBE"/>
    <w:rPr>
      <w:b/>
      <w:bCs/>
      <w:szCs w:val="20"/>
    </w:rPr>
  </w:style>
  <w:style w:type="table" w:styleId="TableGrid">
    <w:name w:val="Table Grid"/>
    <w:basedOn w:val="TableNormal"/>
    <w:uiPriority w:val="59"/>
    <w:rsid w:val="001C2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08633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086338"/>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2D4DA7"/>
    <w:rPr>
      <w:color w:val="0000FF" w:themeColor="hyperlink"/>
      <w:u w:val="single"/>
    </w:rPr>
  </w:style>
  <w:style w:type="paragraph" w:styleId="Revision">
    <w:name w:val="Revision"/>
    <w:hidden/>
    <w:uiPriority w:val="99"/>
    <w:semiHidden/>
    <w:rsid w:val="002D4DA7"/>
    <w:pPr>
      <w:bidi w:val="0"/>
      <w:ind w:left="0" w:firstLine="0"/>
      <w:jc w:val="left"/>
    </w:pPr>
  </w:style>
  <w:style w:type="paragraph" w:customStyle="1" w:styleId="running-text">
    <w:name w:val="running-text"/>
    <w:qFormat/>
    <w:rsid w:val="00742265"/>
    <w:pPr>
      <w:bidi w:val="0"/>
      <w:spacing w:after="120" w:line="240" w:lineRule="exact"/>
      <w:ind w:left="0" w:right="2268" w:firstLine="0"/>
    </w:pPr>
    <w:rPr>
      <w:rFonts w:ascii="Tahoma" w:hAnsi="Tahoma" w:eastAsiaTheme="minorEastAsia" w:cs="Tahoma"/>
      <w:sz w:val="17"/>
      <w:szCs w:val="18"/>
    </w:rPr>
  </w:style>
  <w:style w:type="character" w:styleId="Strong">
    <w:name w:val="Strong"/>
    <w:basedOn w:val="DefaultParagraphFont"/>
    <w:uiPriority w:val="22"/>
    <w:qFormat/>
    <w:rsid w:val="00742265"/>
    <w:rPr>
      <w:b/>
      <w:bCs/>
    </w:rPr>
  </w:style>
  <w:style w:type="table" w:styleId="GridTable4Accent5">
    <w:name w:val="Grid Table 4 Accent 5"/>
    <w:basedOn w:val="TableNormal"/>
    <w:uiPriority w:val="49"/>
    <w:rsid w:val="00ED16F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10">
    <w:name w:val="ללא רשימה1"/>
    <w:next w:val="NoList"/>
    <w:uiPriority w:val="99"/>
    <w:semiHidden/>
    <w:unhideWhenUsed/>
    <w:rsid w:val="00D171FA"/>
  </w:style>
  <w:style w:type="table" w:customStyle="1" w:styleId="11">
    <w:name w:val="רשת טבלה1"/>
    <w:basedOn w:val="TableNormal"/>
    <w:next w:val="TableGrid"/>
    <w:uiPriority w:val="59"/>
    <w:rsid w:val="00D171FA"/>
    <w:pPr>
      <w:bidi w:val="0"/>
      <w:ind w:left="0"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ללא רשימה2"/>
    <w:next w:val="NoList"/>
    <w:uiPriority w:val="99"/>
    <w:semiHidden/>
    <w:unhideWhenUsed/>
    <w:rsid w:val="00F8748A"/>
  </w:style>
  <w:style w:type="table" w:customStyle="1" w:styleId="21">
    <w:name w:val="רשת טבלה2"/>
    <w:basedOn w:val="TableNormal"/>
    <w:next w:val="TableGrid"/>
    <w:uiPriority w:val="59"/>
    <w:rsid w:val="00F8748A"/>
    <w:pPr>
      <w:bidi w:val="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50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settings" Target="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webSettings" Target="webSettings.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pn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jpeg" /><Relationship Id="rId36" Type="http://schemas.openxmlformats.org/officeDocument/2006/relationships/image" Target="media/image31.jpeg" /><Relationship Id="rId37" Type="http://schemas.openxmlformats.org/officeDocument/2006/relationships/image" Target="media/image32.jpeg" /><Relationship Id="rId38" Type="http://schemas.openxmlformats.org/officeDocument/2006/relationships/image" Target="media/image33.jpeg" /><Relationship Id="rId39" Type="http://schemas.openxmlformats.org/officeDocument/2006/relationships/image" Target="media/image34.jpeg" /><Relationship Id="rId4" Type="http://schemas.openxmlformats.org/officeDocument/2006/relationships/fontTable" Target="fontTable.xml" /><Relationship Id="rId40" Type="http://schemas.openxmlformats.org/officeDocument/2006/relationships/image" Target="media/image35.jpeg" /><Relationship Id="rId41" Type="http://schemas.openxmlformats.org/officeDocument/2006/relationships/image" Target="media/image36.jpeg" /><Relationship Id="rId42" Type="http://schemas.openxmlformats.org/officeDocument/2006/relationships/image" Target="media/image37.jpeg" /><Relationship Id="rId43" Type="http://schemas.openxmlformats.org/officeDocument/2006/relationships/chart" Target="charts/chart1.xml" /><Relationship Id="rId44" Type="http://schemas.openxmlformats.org/officeDocument/2006/relationships/image" Target="media/image38.jpeg" /><Relationship Id="rId45" Type="http://schemas.openxmlformats.org/officeDocument/2006/relationships/image" Target="media/image39.jpeg" /><Relationship Id="rId46" Type="http://schemas.openxmlformats.org/officeDocument/2006/relationships/image" Target="media/image40.jpeg" /><Relationship Id="rId47" Type="http://schemas.openxmlformats.org/officeDocument/2006/relationships/image" Target="media/image41.jpeg" /><Relationship Id="rId48" Type="http://schemas.openxmlformats.org/officeDocument/2006/relationships/image" Target="media/image42.jpeg" /><Relationship Id="rId49" Type="http://schemas.openxmlformats.org/officeDocument/2006/relationships/image" Target="media/image43.jpeg" /><Relationship Id="rId5" Type="http://schemas.openxmlformats.org/officeDocument/2006/relationships/customXml" Target="../customXml/item1.xml" /><Relationship Id="rId50" Type="http://schemas.openxmlformats.org/officeDocument/2006/relationships/image" Target="media/image44.jpeg" /><Relationship Id="rId51" Type="http://schemas.openxmlformats.org/officeDocument/2006/relationships/image" Target="media/image45.jpeg" /><Relationship Id="rId52" Type="http://schemas.openxmlformats.org/officeDocument/2006/relationships/image" Target="media/image46.jpeg" /><Relationship Id="rId53" Type="http://schemas.openxmlformats.org/officeDocument/2006/relationships/image" Target="media/image47.png" /><Relationship Id="rId54" Type="http://schemas.openxmlformats.org/officeDocument/2006/relationships/image" Target="media/image48.png" /><Relationship Id="rId55" Type="http://schemas.openxmlformats.org/officeDocument/2006/relationships/image" Target="media/image49.png" /><Relationship Id="rId56" Type="http://schemas.openxmlformats.org/officeDocument/2006/relationships/image" Target="media/image50.png" /><Relationship Id="rId57" Type="http://schemas.openxmlformats.org/officeDocument/2006/relationships/image" Target="media/image51.png" /><Relationship Id="rId58" Type="http://schemas.openxmlformats.org/officeDocument/2006/relationships/image" Target="media/image52.png" /><Relationship Id="rId59" Type="http://schemas.openxmlformats.org/officeDocument/2006/relationships/image" Target="media/image53.png" /><Relationship Id="rId6" Type="http://schemas.openxmlformats.org/officeDocument/2006/relationships/image" Target="media/image1.jpeg" /><Relationship Id="rId60" Type="http://schemas.openxmlformats.org/officeDocument/2006/relationships/image" Target="media/image54.jpeg" /><Relationship Id="rId61" Type="http://schemas.openxmlformats.org/officeDocument/2006/relationships/image" Target="media/image55.jpeg" /><Relationship Id="rId62" Type="http://schemas.openxmlformats.org/officeDocument/2006/relationships/image" Target="media/image56.png" /><Relationship Id="rId63" Type="http://schemas.openxmlformats.org/officeDocument/2006/relationships/image" Target="media/image57.jpeg" /><Relationship Id="rId64" Type="http://schemas.openxmlformats.org/officeDocument/2006/relationships/image" Target="media/image58.jpeg" /><Relationship Id="rId65" Type="http://schemas.openxmlformats.org/officeDocument/2006/relationships/image" Target="media/image59.jpeg" /><Relationship Id="rId66" Type="http://schemas.openxmlformats.org/officeDocument/2006/relationships/image" Target="media/image60.jpeg" /><Relationship Id="rId67" Type="http://schemas.openxmlformats.org/officeDocument/2006/relationships/image" Target="media/image61.jpeg" /><Relationship Id="rId68" Type="http://schemas.openxmlformats.org/officeDocument/2006/relationships/image" Target="media/image62.jpeg" /><Relationship Id="rId69" Type="http://schemas.openxmlformats.org/officeDocument/2006/relationships/image" Target="media/image63.jpeg" /><Relationship Id="rId7" Type="http://schemas.openxmlformats.org/officeDocument/2006/relationships/image" Target="media/image2.jpeg" /><Relationship Id="rId70" Type="http://schemas.openxmlformats.org/officeDocument/2006/relationships/image" Target="media/image64.jpeg" /><Relationship Id="rId71" Type="http://schemas.openxmlformats.org/officeDocument/2006/relationships/image" Target="media/image65.jpeg" /><Relationship Id="rId72" Type="http://schemas.openxmlformats.org/officeDocument/2006/relationships/image" Target="media/image66.jpeg" /><Relationship Id="rId73" Type="http://schemas.openxmlformats.org/officeDocument/2006/relationships/image" Target="media/image67.jpeg" /><Relationship Id="rId74" Type="http://schemas.openxmlformats.org/officeDocument/2006/relationships/image" Target="media/image68.jpeg" /><Relationship Id="rId75" Type="http://schemas.openxmlformats.org/officeDocument/2006/relationships/image" Target="media/image69.jpeg" /><Relationship Id="rId76" Type="http://schemas.openxmlformats.org/officeDocument/2006/relationships/header" Target="header1.xml" /><Relationship Id="rId77" Type="http://schemas.openxmlformats.org/officeDocument/2006/relationships/footer" Target="footer1.xml" /><Relationship Id="rId78" Type="http://schemas.openxmlformats.org/officeDocument/2006/relationships/header" Target="header2.xml" /><Relationship Id="rId79" Type="http://schemas.openxmlformats.org/officeDocument/2006/relationships/footer" Target="footer2.xml" /><Relationship Id="rId8" Type="http://schemas.openxmlformats.org/officeDocument/2006/relationships/image" Target="media/image3.jpeg" /><Relationship Id="rId80" Type="http://schemas.openxmlformats.org/officeDocument/2006/relationships/theme" Target="theme/theme1.xml" /><Relationship Id="rId81" Type="http://schemas.openxmlformats.org/officeDocument/2006/relationships/numbering" Target="numbering.xml" /><Relationship Id="rId82" Type="http://schemas.openxmlformats.org/officeDocument/2006/relationships/styles" Target="styles.xml" /><Relationship Id="rId9" Type="http://schemas.openxmlformats.org/officeDocument/2006/relationships/image" Target="media/image4.jpeg" /></Relationships>
</file>

<file path=word/charts/_rels/chart1.xml.rels>&#65279;<?xml version="1.0" encoding="utf-8" standalone="yes"?><Relationships xmlns="http://schemas.openxmlformats.org/package/2006/relationships"><Relationship Id="rId1" Type="http://schemas.openxmlformats.org/officeDocument/2006/relationships/oleObject" Target="file:///C:\Users\zohar_bar\AppData\Local\Microsoft\Windows\INetCache\Content.Outlook\608KOWJR\&#1490;&#1512;&#1508;&#1497;&#1501;%20&#1502;&#1492;&#1502;&#1495;&#1511;&#1512;%20-%20&#1490;&#1512;&#1505;&#1492;%20&#1500;&#1513;&#1500;&#1497;&#1495;&#1492;%20(003).xlsx" TargetMode="External" /><Relationship Id="rId2" Type="http://schemas.openxmlformats.org/officeDocument/2006/relationships/themeOverride" Target="../theme/themeOverride1.xm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22172648586993"/>
          <c:y val="0.066086956521739126"/>
          <c:w val="0.86043320215225194"/>
          <c:h val="0.78575634567418207"/>
        </c:manualLayout>
      </c:layout>
      <c:barChart>
        <c:barDir val="col"/>
        <c:grouping val="clustered"/>
        <c:varyColors val="0"/>
        <c:ser>
          <c:idx val="0"/>
          <c:order val="0"/>
          <c:spPr>
            <a:solidFill>
              <a:srgbClr val="3966B7"/>
            </a:solidFill>
            <a:ln w="6350">
              <a:noFill/>
            </a:ln>
          </c:spPr>
          <c:invertIfNegative val="0"/>
          <c:dPt>
            <c:idx val="0"/>
            <c:invertIfNegative val="0"/>
            <c:bubble3D val="0"/>
            <c:extLst>
              <c:ext xmlns:c="http://schemas.openxmlformats.org/drawingml/2006/chart" xmlns:c16="http://schemas.microsoft.com/office/drawing/2014/chart" uri="{C3380CC4-5D6E-409C-BE32-E72D297353CC}">
                <c16:uniqueId val="{00000000-1A10-40E8-8053-3A0516337DEA}"/>
              </c:ext>
            </c:extLst>
          </c:dPt>
          <c:dPt>
            <c:idx val="1"/>
            <c:invertIfNegative val="0"/>
            <c:bubble3D val="0"/>
            <c:extLst>
              <c:ext xmlns:c="http://schemas.openxmlformats.org/drawingml/2006/chart" xmlns:c16="http://schemas.microsoft.com/office/drawing/2014/chart" uri="{C3380CC4-5D6E-409C-BE32-E72D297353CC}">
                <c16:uniqueId val="{00000001-1A10-40E8-8053-3A0516337DEA}"/>
              </c:ext>
            </c:extLst>
          </c:dPt>
          <c:dPt>
            <c:idx val="2"/>
            <c:invertIfNegative val="0"/>
            <c:bubble3D val="0"/>
            <c:extLst>
              <c:ext xmlns:c="http://schemas.openxmlformats.org/drawingml/2006/chart" xmlns:c16="http://schemas.microsoft.com/office/drawing/2014/chart" uri="{C3380CC4-5D6E-409C-BE32-E72D297353CC}">
                <c16:uniqueId val="{00000002-1A10-40E8-8053-3A0516337DEA}"/>
              </c:ext>
            </c:extLst>
          </c:dPt>
          <c:dPt>
            <c:idx val="3"/>
            <c:invertIfNegative val="0"/>
            <c:bubble3D val="0"/>
            <c:extLst>
              <c:ext xmlns:c="http://schemas.openxmlformats.org/drawingml/2006/chart" xmlns:c16="http://schemas.microsoft.com/office/drawing/2014/chart" uri="{C3380CC4-5D6E-409C-BE32-E72D297353CC}">
                <c16:uniqueId val="{00000003-1A10-40E8-8053-3A0516337DEA}"/>
              </c:ext>
            </c:extLst>
          </c:dPt>
          <c:dLbls>
            <c:dLbl>
              <c:idx val="4"/>
              <c:layout>
                <c:manualLayout>
                  <c:x val="-9.6617241357305873E-17"/>
                  <c:y val="0.12475934206459699"/>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4-1A10-40E8-8053-3A0516337DEA}"/>
                </c:ext>
              </c:extLst>
            </c:dLbl>
            <c:spPr>
              <a:noFill/>
              <a:ln w="6350">
                <a:noFill/>
              </a:ln>
            </c:spPr>
            <c:txPr>
              <a:bodyPr rot="0" vert="horz">
                <a:spAutoFit/>
              </a:bodyPr>
              <a:lstStyle/>
              <a:p>
                <a:pPr algn="ctr">
                  <a:defRPr lang="en-US" sz="1200" b="0" i="0" u="none" baseline="0">
                    <a:solidFill>
                      <a:schemeClr val="bg1"/>
                    </a:solidFill>
                    <a:latin typeface="Segoe UI Semilight"/>
                    <a:ea typeface="Segoe UI Semilight"/>
                    <a:cs typeface="Segoe UI Semilight"/>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'[גרפים מהמחקר - גרסה לשליחה (003).xlsx]כללי'!$Q$74:$Q$78</c:f>
              <c:strCache>
                <c:ptCount val="5"/>
                <c:pt idx="0">
                  <c:v>נוהל בידוד</c:v>
                </c:pt>
                <c:pt idx="1">
                  <c:v>התקהלויות</c:v>
                </c:pt>
                <c:pt idx="2">
                  <c:v>סגר</c:v>
                </c:pt>
                <c:pt idx="3">
                  <c:v>מסכות</c:v>
                </c:pt>
                <c:pt idx="4">
                  <c:v>בדיקות קורונה</c:v>
                </c:pt>
              </c:strCache>
            </c:strRef>
          </c:cat>
          <c:val>
            <c:numRef>
              <c:f>'[גרפים מהמחקר - גרסה לשליחה (003).xlsx]כללי'!$R$74:$R$78</c:f>
              <c:numCache>
                <c:formatCode>0%</c:formatCode>
                <c:ptCount val="5"/>
                <c:pt idx="0">
                  <c:v>0.54925584691708007</c:v>
                </c:pt>
                <c:pt idx="1">
                  <c:v>0.13182140326009922</c:v>
                </c:pt>
                <c:pt idx="2">
                  <c:v>0.11410347271438696</c:v>
                </c:pt>
                <c:pt idx="3">
                  <c:v>0.1038979447200567</c:v>
                </c:pt>
                <c:pt idx="4">
                  <c:v>0.078525868178596733</c:v>
                </c:pt>
              </c:numCache>
            </c:numRef>
          </c:val>
          <c:extLst>
            <c:ext xmlns:c="http://schemas.openxmlformats.org/drawingml/2006/chart" xmlns:c16="http://schemas.microsoft.com/office/drawing/2014/chart" uri="{C3380CC4-5D6E-409C-BE32-E72D297353CC}">
              <c16:uniqueId val="{00000005-1A10-40E8-8053-3A0516337DEA}"/>
            </c:ext>
          </c:extLst>
        </c:ser>
        <c:dLbls>
          <c:showLegendKey val="0"/>
          <c:showVal val="0"/>
          <c:showCatName val="0"/>
          <c:showSerName val="0"/>
          <c:showPercent val="0"/>
          <c:showBubbleSize val="0"/>
        </c:dLbls>
        <c:gapWidth val="100"/>
        <c:axId val="64636290"/>
        <c:axId val="44855704"/>
      </c:barChart>
      <c:catAx>
        <c:axId val="64636290"/>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c:spPr>
        <c:txPr>
          <a:bodyPr/>
          <a:lstStyle/>
          <a:p>
            <a:pPr>
              <a:defRPr lang="en-US" sz="1100" b="0" i="0" u="none" baseline="0">
                <a:solidFill>
                  <a:schemeClr val="tx1">
                    <a:lumMod val="65000"/>
                    <a:lumOff val="35000"/>
                  </a:schemeClr>
                </a:solidFill>
                <a:latin typeface="David" panose="020E0502060401010101" pitchFamily="34" charset="-79"/>
                <a:ea typeface="Segoe UI Semilight"/>
                <a:cs typeface="David" panose="020E0502060401010101" pitchFamily="34" charset="-79"/>
              </a:defRPr>
            </a:pPr>
            <a:endParaRPr lang="he-IL"/>
          </a:p>
        </c:txPr>
        <c:crossAx val="44855704"/>
        <c:crosses val="autoZero"/>
        <c:auto val="1"/>
        <c:lblAlgn val="ctr"/>
        <c:lblOffset val="100"/>
        <c:noMultiLvlLbl val="0"/>
      </c:catAx>
      <c:valAx>
        <c:axId val="44855704"/>
        <c:scaling>
          <c:orientation val="minMax"/>
        </c:scaling>
        <c:delete val="0"/>
        <c:axPos val="l"/>
        <c:numFmt formatCode="0%" sourceLinked="1"/>
        <c:majorTickMark val="out"/>
        <c:minorTickMark val="none"/>
        <c:tickLblPos val="nextTo"/>
        <c:spPr>
          <a:noFill/>
          <a:ln w="6350">
            <a:noFill/>
          </a:ln>
        </c:spPr>
        <c:txPr>
          <a:bodyPr/>
          <a:lstStyle/>
          <a:p>
            <a:pPr>
              <a:defRPr lang="en-US" sz="1200" b="0" i="0" u="none" baseline="0">
                <a:solidFill>
                  <a:schemeClr val="tx1">
                    <a:lumMod val="65000"/>
                    <a:lumOff val="35000"/>
                  </a:schemeClr>
                </a:solidFill>
                <a:latin typeface="Segoe UI Semilight"/>
                <a:ea typeface="Segoe UI Semilight"/>
                <a:cs typeface="Segoe UI Semilight"/>
              </a:defRPr>
            </a:pPr>
            <a:endParaRPr lang="he-IL"/>
          </a:p>
        </c:txPr>
        <c:crossAx val="64636290"/>
        <c:crosses val="autoZero"/>
        <c:crossBetween val="between"/>
      </c:valAx>
      <c:spPr>
        <a:noFill/>
        <a:ln w="6350">
          <a:noFill/>
        </a:ln>
      </c:spPr>
    </c:plotArea>
    <c:plotVisOnly val="1"/>
    <c:dispBlanksAs val="gap"/>
    <c:showDLblsOverMax val="0"/>
  </c:chart>
  <c:spPr>
    <a:noFill/>
    <a:ln w="9525">
      <a:noFill/>
      <a:round/>
    </a:ln>
  </c:sp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2">
    <a:dk1>
      <a:sysClr val="windowText" lastClr="000000"/>
    </a:dk1>
    <a:lt1>
      <a:sysClr val="window" lastClr="FFFFFF"/>
    </a:lt1>
    <a:dk2>
      <a:srgbClr val="FEFAC9"/>
    </a:dk2>
    <a:lt2>
      <a:srgbClr val="FEFAC9"/>
    </a:lt2>
    <a:accent1>
      <a:srgbClr val="00D45F"/>
    </a:accent1>
    <a:accent2>
      <a:srgbClr val="3966B7"/>
    </a:accent2>
    <a:accent3>
      <a:srgbClr val="EA1358"/>
    </a:accent3>
    <a:accent4>
      <a:srgbClr val="C9D11E"/>
    </a:accent4>
    <a:accent5>
      <a:srgbClr val="0ABCE9"/>
    </a:accent5>
    <a:accent6>
      <a:srgbClr val="F2A202"/>
    </a:accent6>
    <a:hlink>
      <a:srgbClr val="6200C6"/>
    </a:hlink>
    <a:folHlink>
      <a:srgbClr val="884868"/>
    </a:folHlink>
  </a:clrScheme>
  <a:fontScheme name="VigoFont">
    <a:majorFont>
      <a:latin typeface="Segoe UI Semilight"/>
      <a:ea typeface=""/>
      <a:cs typeface="Segoe UI Semilight"/>
    </a:majorFont>
    <a:minorFont>
      <a:latin typeface="Segoe UI Semilight"/>
      <a:ea typeface=""/>
      <a:cs typeface="Segoe UI Semilight"/>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1B914-D567-4C3D-B814-1E38FD060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