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2FAD" w14:textId="77777777" w:rsidR="00E10C66" w:rsidRPr="0045043B" w:rsidRDefault="00E10C66" w:rsidP="00E10C66">
      <w:pPr>
        <w:spacing w:after="0"/>
        <w:jc w:val="center"/>
        <w:rPr>
          <w:rFonts w:asciiTheme="minorBidi" w:hAnsiTheme="minorBidi"/>
          <w:b/>
        </w:rPr>
      </w:pPr>
      <w:r w:rsidRPr="0045043B">
        <w:rPr>
          <w:rFonts w:asciiTheme="minorBidi" w:hAnsiTheme="minorBidi"/>
          <w:noProof/>
          <w:sz w:val="30"/>
          <w:szCs w:val="30"/>
          <w:lang w:val="en-US" w:bidi="he-IL"/>
        </w:rPr>
        <w:drawing>
          <wp:inline distT="0" distB="0" distL="0" distR="0" wp14:anchorId="4089203F" wp14:editId="67A6EACC">
            <wp:extent cx="3816350" cy="6477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16350" cy="647700"/>
                    </a:xfrm>
                    <a:prstGeom prst="rect">
                      <a:avLst/>
                    </a:prstGeom>
                    <a:noFill/>
                    <a:ln>
                      <a:noFill/>
                    </a:ln>
                  </pic:spPr>
                </pic:pic>
              </a:graphicData>
            </a:graphic>
          </wp:inline>
        </w:drawing>
      </w:r>
    </w:p>
    <w:p w14:paraId="151EB8A5" w14:textId="77777777" w:rsidR="00E10C66" w:rsidRPr="0045043B" w:rsidRDefault="00E10C66" w:rsidP="00E10C66">
      <w:pPr>
        <w:spacing w:after="0"/>
        <w:ind w:hanging="284"/>
        <w:jc w:val="center"/>
        <w:rPr>
          <w:rFonts w:asciiTheme="minorBidi" w:hAnsiTheme="minorBidi"/>
          <w:b/>
        </w:rPr>
      </w:pPr>
    </w:p>
    <w:p w14:paraId="569E5FA4" w14:textId="77777777" w:rsidR="00E10C66" w:rsidRPr="0045043B" w:rsidRDefault="00E10C66" w:rsidP="00E10C66">
      <w:pPr>
        <w:bidi/>
        <w:spacing w:after="0"/>
        <w:jc w:val="center"/>
        <w:rPr>
          <w:rFonts w:asciiTheme="minorBidi" w:hAnsiTheme="minorBidi"/>
          <w:bCs/>
          <w:lang w:bidi="he-IL"/>
        </w:rPr>
      </w:pPr>
    </w:p>
    <w:p w14:paraId="14C7FE48" w14:textId="1A49B7D7" w:rsidR="00E10C66" w:rsidRPr="0045043B" w:rsidRDefault="00E10C66" w:rsidP="00E10C66">
      <w:pPr>
        <w:bidi/>
        <w:spacing w:after="0"/>
        <w:jc w:val="center"/>
        <w:rPr>
          <w:rFonts w:asciiTheme="minorBidi" w:hAnsiTheme="minorBidi"/>
          <w:bCs/>
          <w:lang w:bidi="he-IL"/>
        </w:rPr>
      </w:pPr>
      <w:r w:rsidRPr="0045043B">
        <w:rPr>
          <w:rFonts w:asciiTheme="minorBidi" w:hAnsiTheme="minorBidi"/>
          <w:bCs/>
          <w:rtl/>
          <w:lang w:bidi="he-IL"/>
        </w:rPr>
        <w:t xml:space="preserve">ועדת </w:t>
      </w:r>
      <w:r w:rsidR="00EB1D16">
        <w:rPr>
          <w:rFonts w:asciiTheme="minorBidi" w:hAnsiTheme="minorBidi" w:hint="cs"/>
          <w:bCs/>
          <w:rtl/>
          <w:lang w:bidi="he-IL"/>
        </w:rPr>
        <w:t>החקירה</w:t>
      </w:r>
      <w:r w:rsidRPr="0045043B">
        <w:rPr>
          <w:rFonts w:asciiTheme="minorBidi" w:hAnsiTheme="minorBidi"/>
          <w:bCs/>
          <w:lang w:bidi="he-IL"/>
        </w:rPr>
        <w:t xml:space="preserve"> </w:t>
      </w:r>
      <w:r w:rsidRPr="0045043B">
        <w:rPr>
          <w:rFonts w:asciiTheme="minorBidi" w:hAnsiTheme="minorBidi"/>
          <w:bCs/>
          <w:rtl/>
          <w:lang w:bidi="he-IL"/>
        </w:rPr>
        <w:t>הגיעה לממצאים בדבר אי חוקיות הכיבוש הישראלי לפי המשפט הבינלאומי</w:t>
      </w:r>
    </w:p>
    <w:p w14:paraId="5772D29E" w14:textId="77777777" w:rsidR="00E10C66" w:rsidRPr="00EB1D16" w:rsidRDefault="00E10C66" w:rsidP="00E10C66">
      <w:pPr>
        <w:bidi/>
        <w:spacing w:after="0"/>
        <w:jc w:val="center"/>
        <w:rPr>
          <w:rFonts w:asciiTheme="minorBidi" w:hAnsiTheme="minorBidi"/>
          <w:b/>
          <w:sz w:val="20"/>
          <w:szCs w:val="20"/>
        </w:rPr>
      </w:pPr>
    </w:p>
    <w:p w14:paraId="6B06D5A8" w14:textId="77777777" w:rsidR="00E10C66" w:rsidRPr="0045043B" w:rsidRDefault="00E10C66" w:rsidP="00E10C66">
      <w:pPr>
        <w:bidi/>
        <w:spacing w:after="0"/>
        <w:jc w:val="center"/>
        <w:rPr>
          <w:rFonts w:asciiTheme="minorBidi" w:hAnsiTheme="minorBidi"/>
          <w:b/>
          <w:bCs/>
          <w:lang w:bidi="he-IL"/>
        </w:rPr>
      </w:pPr>
      <w:r w:rsidRPr="0045043B">
        <w:rPr>
          <w:rFonts w:asciiTheme="minorBidi" w:hAnsiTheme="minorBidi"/>
          <w:b/>
          <w:bCs/>
          <w:rtl/>
          <w:lang w:bidi="he-IL"/>
        </w:rPr>
        <w:t>הוועדה קוראת לעצרת הכללית של האו״ם לבקש מבית הדין הבינלאומי לצדק חוות דעת דחופה באשר להשלכות המשפטיות של מעשים אלה</w:t>
      </w:r>
    </w:p>
    <w:p w14:paraId="003F7B35" w14:textId="77777777" w:rsidR="00E10C66" w:rsidRPr="0045043B" w:rsidRDefault="00E10C66" w:rsidP="00E10C66">
      <w:pPr>
        <w:bidi/>
        <w:spacing w:after="0"/>
        <w:rPr>
          <w:rFonts w:asciiTheme="minorBidi" w:hAnsiTheme="minorBidi"/>
          <w:sz w:val="20"/>
          <w:szCs w:val="20"/>
        </w:rPr>
      </w:pPr>
    </w:p>
    <w:p w14:paraId="1E664665" w14:textId="6EDF3445" w:rsidR="00E10C66" w:rsidRPr="0045043B" w:rsidRDefault="00E10C66" w:rsidP="00E10C66">
      <w:pPr>
        <w:bidi/>
        <w:spacing w:after="0"/>
        <w:rPr>
          <w:rFonts w:asciiTheme="minorBidi" w:hAnsiTheme="minorBidi"/>
          <w:sz w:val="20"/>
          <w:szCs w:val="20"/>
          <w:rtl/>
          <w:lang w:val="en-US" w:bidi="he-IL"/>
        </w:rPr>
      </w:pPr>
      <w:r w:rsidRPr="0045043B">
        <w:rPr>
          <w:rFonts w:asciiTheme="minorBidi" w:hAnsiTheme="minorBidi"/>
          <w:b/>
          <w:bCs/>
          <w:sz w:val="20"/>
          <w:szCs w:val="20"/>
          <w:rtl/>
          <w:lang w:val="en-US" w:bidi="he-IL"/>
        </w:rPr>
        <w:t>ניו יורק (</w:t>
      </w:r>
      <w:r w:rsidR="007646D5" w:rsidRPr="0045043B">
        <w:rPr>
          <w:rFonts w:asciiTheme="minorBidi" w:hAnsiTheme="minorBidi"/>
          <w:b/>
          <w:bCs/>
          <w:sz w:val="20"/>
          <w:szCs w:val="20"/>
          <w:lang w:val="en-US" w:bidi="he-IL"/>
        </w:rPr>
        <w:t>20</w:t>
      </w:r>
      <w:r w:rsidRPr="0045043B">
        <w:rPr>
          <w:rFonts w:asciiTheme="minorBidi" w:hAnsiTheme="minorBidi"/>
          <w:b/>
          <w:bCs/>
          <w:sz w:val="20"/>
          <w:szCs w:val="20"/>
          <w:rtl/>
          <w:lang w:val="en-US" w:bidi="he-IL"/>
        </w:rPr>
        <w:t xml:space="preserve"> באוקטובר, 2022) </w:t>
      </w:r>
      <w:r w:rsidRPr="0045043B">
        <w:rPr>
          <w:rFonts w:asciiTheme="minorBidi" w:hAnsiTheme="minorBidi"/>
          <w:sz w:val="20"/>
          <w:szCs w:val="20"/>
          <w:rtl/>
          <w:lang w:val="en-US" w:bidi="he-IL"/>
        </w:rPr>
        <w:t xml:space="preserve">– ישנו יסוד סביר להגיע למסקנות בדבר אי חוקיות הכיבוש הישראלי של שטחים פלסטינים על פי המשפט הבינלאומי, בשל היותו קבוע ובשל מדיניות הסיפוח </w:t>
      </w:r>
      <w:r w:rsidR="003A4225" w:rsidRPr="0045043B">
        <w:rPr>
          <w:rFonts w:asciiTheme="minorBidi" w:hAnsiTheme="minorBidi"/>
          <w:sz w:val="20"/>
          <w:szCs w:val="20"/>
          <w:rtl/>
          <w:lang w:bidi="he-IL"/>
        </w:rPr>
        <w:t>בפועל</w:t>
      </w:r>
      <w:r w:rsidRPr="0045043B">
        <w:rPr>
          <w:rFonts w:asciiTheme="minorBidi" w:hAnsiTheme="minorBidi"/>
          <w:sz w:val="20"/>
          <w:szCs w:val="20"/>
          <w:rtl/>
          <w:lang w:val="en-US" w:bidi="he-IL"/>
        </w:rPr>
        <w:t xml:space="preserve"> של ממשלת ישראל. כך על פי </w:t>
      </w:r>
      <w:r w:rsidRPr="0045043B">
        <w:rPr>
          <w:rFonts w:asciiTheme="minorBidi" w:hAnsiTheme="minorBidi"/>
          <w:sz w:val="20"/>
          <w:szCs w:val="20"/>
          <w:highlight w:val="yellow"/>
          <w:rtl/>
          <w:lang w:val="en-US" w:bidi="he-IL"/>
        </w:rPr>
        <w:t>הדו״ח</w:t>
      </w:r>
      <w:r w:rsidRPr="0045043B">
        <w:rPr>
          <w:rFonts w:asciiTheme="minorBidi" w:hAnsiTheme="minorBidi"/>
          <w:sz w:val="20"/>
          <w:szCs w:val="20"/>
          <w:rtl/>
          <w:lang w:val="en-US" w:bidi="he-IL"/>
        </w:rPr>
        <w:t xml:space="preserve"> הראשון לעצרת הכללית, שפורסם היום עלי ידי </w:t>
      </w:r>
      <w:hyperlink r:id="rId6" w:history="1">
        <w:r w:rsidRPr="0045043B">
          <w:rPr>
            <w:rStyle w:val="Hyperlink"/>
            <w:rFonts w:asciiTheme="minorBidi" w:hAnsiTheme="minorBidi"/>
            <w:sz w:val="20"/>
            <w:szCs w:val="20"/>
            <w:rtl/>
            <w:lang w:val="en-US" w:bidi="he-IL"/>
          </w:rPr>
          <w:t xml:space="preserve">ועדת </w:t>
        </w:r>
        <w:r w:rsidR="00EB1D16">
          <w:rPr>
            <w:rStyle w:val="Hyperlink"/>
            <w:rFonts w:asciiTheme="minorBidi" w:hAnsiTheme="minorBidi" w:hint="cs"/>
            <w:sz w:val="20"/>
            <w:szCs w:val="20"/>
            <w:rtl/>
            <w:lang w:val="en-US" w:bidi="he-IL"/>
          </w:rPr>
          <w:t>החקירה</w:t>
        </w:r>
      </w:hyperlink>
      <w:r w:rsidRPr="0045043B">
        <w:rPr>
          <w:rFonts w:asciiTheme="minorBidi" w:hAnsiTheme="minorBidi"/>
          <w:sz w:val="20"/>
          <w:szCs w:val="20"/>
          <w:rtl/>
          <w:lang w:val="en-US" w:bidi="he-IL"/>
        </w:rPr>
        <w:t xml:space="preserve"> הבינלאומית העצמאית בנושא השטחים הפלסטינים הכבושים, כולל ירושלים המזרחית, וישראל.</w:t>
      </w:r>
    </w:p>
    <w:p w14:paraId="54A755A0" w14:textId="77777777" w:rsidR="00E10C66" w:rsidRPr="0045043B" w:rsidRDefault="00E10C66" w:rsidP="00E10C66">
      <w:pPr>
        <w:bidi/>
        <w:spacing w:after="0"/>
        <w:rPr>
          <w:rFonts w:asciiTheme="minorBidi" w:hAnsiTheme="minorBidi"/>
          <w:sz w:val="20"/>
          <w:szCs w:val="20"/>
          <w:rtl/>
          <w:lang w:val="en-US" w:bidi="he-IL"/>
        </w:rPr>
      </w:pPr>
    </w:p>
    <w:p w14:paraId="328CC78C" w14:textId="77777777" w:rsidR="00E10C66" w:rsidRPr="0045043B" w:rsidRDefault="00E10C66" w:rsidP="00E10C66">
      <w:pPr>
        <w:bidi/>
        <w:spacing w:after="0"/>
        <w:rPr>
          <w:rFonts w:asciiTheme="minorBidi" w:hAnsiTheme="minorBidi"/>
          <w:sz w:val="20"/>
          <w:szCs w:val="20"/>
          <w:rtl/>
          <w:lang w:val="en-US" w:bidi="he-IL"/>
        </w:rPr>
      </w:pPr>
      <w:r w:rsidRPr="0045043B">
        <w:rPr>
          <w:rFonts w:asciiTheme="minorBidi" w:hAnsiTheme="minorBidi"/>
          <w:sz w:val="20"/>
          <w:szCs w:val="20"/>
          <w:rtl/>
          <w:lang w:val="en-US" w:bidi="he-IL"/>
        </w:rPr>
        <w:t>בהדגישה כי על פי המשפט הבינלאומי ההומניטרי כיבוש שטח בזמן מלחמה הינו מצב זמני, שאינו שולל מהכוח הכבוש את מעמדו המדינתי ואת ריבונותו, הוועדה בת שלושה חברים קראה לעצרת הכללית לבקש חוות דעת מייעצת דחופה מבית הדין הבינלאומי לצדק, באשר להשלכות המשפטיות של סירובה המתמשך של ישראל לסיים את כיבושה בשטחים הפלסטינים הכבושים.</w:t>
      </w:r>
    </w:p>
    <w:p w14:paraId="5DD01954" w14:textId="77777777" w:rsidR="00E10C66" w:rsidRPr="0045043B" w:rsidRDefault="00E10C66" w:rsidP="00E10C66">
      <w:pPr>
        <w:bidi/>
        <w:spacing w:after="0"/>
        <w:rPr>
          <w:rFonts w:asciiTheme="minorBidi" w:hAnsiTheme="minorBidi"/>
          <w:sz w:val="20"/>
          <w:szCs w:val="20"/>
        </w:rPr>
      </w:pPr>
    </w:p>
    <w:p w14:paraId="136892B2" w14:textId="77777777" w:rsidR="00E10C66" w:rsidRPr="0045043B" w:rsidRDefault="00E10C66" w:rsidP="00E10C66">
      <w:pPr>
        <w:bidi/>
        <w:spacing w:after="0"/>
        <w:rPr>
          <w:rFonts w:asciiTheme="minorBidi" w:hAnsiTheme="minorBidi"/>
          <w:sz w:val="20"/>
          <w:szCs w:val="20"/>
          <w:lang w:val="en-US" w:bidi="he-IL"/>
        </w:rPr>
      </w:pPr>
      <w:r w:rsidRPr="0045043B">
        <w:rPr>
          <w:rFonts w:asciiTheme="minorBidi" w:hAnsiTheme="minorBidi"/>
          <w:sz w:val="20"/>
          <w:szCs w:val="20"/>
          <w:rtl/>
          <w:lang w:bidi="he-IL"/>
        </w:rPr>
        <w:t>״הצהרות מן העת האחרונה של המזכיר הכללי ושל מדינות</w:t>
      </w:r>
      <w:r w:rsidRPr="0045043B">
        <w:rPr>
          <w:rFonts w:asciiTheme="minorBidi" w:hAnsiTheme="minorBidi"/>
          <w:sz w:val="20"/>
          <w:szCs w:val="20"/>
          <w:lang w:bidi="he-IL"/>
        </w:rPr>
        <w:t xml:space="preserve"> </w:t>
      </w:r>
      <w:r w:rsidRPr="0045043B">
        <w:rPr>
          <w:rFonts w:asciiTheme="minorBidi" w:hAnsiTheme="minorBidi"/>
          <w:sz w:val="20"/>
          <w:szCs w:val="20"/>
          <w:rtl/>
          <w:lang w:bidi="he-IL"/>
        </w:rPr>
        <w:t>רבות, הצביעו בבירור שכל ניסיון חד צדדי של סיפוח של שטח מדינה אחת בידי מדינה אחרת, מהווה הפרה של המשפט הבינלאומי והינו בטל ומבוטל; 143 מדינות חברות הכוללות את ישראל הצביעו בשבוע שעבר בעד החלטת העצרת הכללית המאשרת זאת״, מסרה נאווי פילאי יו״ר הוועדה. ״</w:t>
      </w:r>
      <w:r w:rsidRPr="0045043B">
        <w:rPr>
          <w:rFonts w:asciiTheme="minorBidi" w:hAnsiTheme="minorBidi"/>
          <w:sz w:val="20"/>
          <w:szCs w:val="20"/>
          <w:rtl/>
          <w:lang w:val="en-US" w:bidi="he-IL"/>
        </w:rPr>
        <w:t>אם לא ייושם אוניברסלית, באופן שיכלול גם את המצב בשטחים הפלסטינים הכבושים, עקרון יסוד זה של מגילת האומות המאוחדות יהפוך לחסר משמעות״, היא הוסיפה.</w:t>
      </w:r>
    </w:p>
    <w:p w14:paraId="2DD06EB6" w14:textId="77777777" w:rsidR="00E10C66" w:rsidRPr="0045043B" w:rsidRDefault="00E10C66" w:rsidP="00E10C66">
      <w:pPr>
        <w:bidi/>
        <w:spacing w:after="0"/>
        <w:rPr>
          <w:rFonts w:asciiTheme="minorBidi" w:hAnsiTheme="minorBidi"/>
          <w:sz w:val="20"/>
          <w:szCs w:val="20"/>
          <w:rtl/>
        </w:rPr>
      </w:pPr>
    </w:p>
    <w:p w14:paraId="303410DD" w14:textId="77777777" w:rsidR="00E10C66" w:rsidRPr="0045043B" w:rsidRDefault="00E10C66" w:rsidP="00E10C66">
      <w:pPr>
        <w:bidi/>
        <w:spacing w:after="0"/>
        <w:rPr>
          <w:rFonts w:asciiTheme="minorBidi" w:hAnsiTheme="minorBidi"/>
          <w:sz w:val="20"/>
          <w:szCs w:val="20"/>
          <w:lang w:val="en-US" w:bidi="he-IL"/>
        </w:rPr>
      </w:pPr>
      <w:r w:rsidRPr="0045043B">
        <w:rPr>
          <w:rFonts w:asciiTheme="minorBidi" w:hAnsiTheme="minorBidi"/>
          <w:sz w:val="20"/>
          <w:szCs w:val="20"/>
          <w:rtl/>
          <w:lang w:bidi="he-IL"/>
        </w:rPr>
        <w:t>בהגיעה לממצאיה, הוועדה סקרה את קווי המדיניות והפעולות שמנהיגות ממשלות ישראל כדי לתחזק את הכיבוש ולספח חלקים מהשטחים הפלסטינים הכבושים. סקירת הוועדה התבססה על ראיונות עם מומחים ובעלי עניין, וחומרים שהתקבלו בעקבות קול קורא להגשות שיצא ב-22 בספטמבר 2021.</w:t>
      </w:r>
    </w:p>
    <w:p w14:paraId="5877B278" w14:textId="77777777" w:rsidR="00E10C66" w:rsidRPr="0045043B" w:rsidRDefault="00E10C66" w:rsidP="00E10C66">
      <w:pPr>
        <w:bidi/>
        <w:spacing w:after="0"/>
        <w:rPr>
          <w:rFonts w:asciiTheme="minorBidi" w:hAnsiTheme="minorBidi"/>
          <w:sz w:val="20"/>
          <w:szCs w:val="20"/>
        </w:rPr>
      </w:pPr>
    </w:p>
    <w:p w14:paraId="03068AAD" w14:textId="48D6C4C7"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lang w:bidi="he-IL"/>
        </w:rPr>
        <w:t>הדו"ח בן ה-</w:t>
      </w:r>
      <w:r w:rsidR="007646D5" w:rsidRPr="0045043B">
        <w:rPr>
          <w:rFonts w:asciiTheme="minorBidi" w:hAnsiTheme="minorBidi"/>
          <w:sz w:val="20"/>
          <w:szCs w:val="20"/>
          <w:lang w:bidi="he-IL"/>
        </w:rPr>
        <w:t>28</w:t>
      </w:r>
      <w:r w:rsidRPr="0045043B">
        <w:rPr>
          <w:rFonts w:asciiTheme="minorBidi" w:hAnsiTheme="minorBidi"/>
          <w:sz w:val="20"/>
          <w:szCs w:val="20"/>
          <w:rtl/>
          <w:lang w:bidi="he-IL"/>
        </w:rPr>
        <w:t xml:space="preserve"> עמודים, מתמקד בקיום וקידום מפעל ההתנחלויות, ובכלל זה הצהרות של גורמים רשמיים ישראליים המצביעות על הכוונה לשמור על שליטה קבועה על הקרקע תוך כדי הפרה של הדין הבינלאומי. הוועדה הגיעה למסקנה כי על ידי המשך כיבוש השטח בכוח, ישראל נוטלת אחריות בינלאומית ונושאת באחריות להפרות של זכויות הפלסטינים כיחידים וכעם.</w:t>
      </w:r>
    </w:p>
    <w:p w14:paraId="2D02C399" w14:textId="77777777" w:rsidR="00E10C66" w:rsidRPr="0045043B" w:rsidRDefault="00E10C66" w:rsidP="00E10C66">
      <w:pPr>
        <w:bidi/>
        <w:spacing w:after="0"/>
        <w:rPr>
          <w:rFonts w:asciiTheme="minorBidi" w:hAnsiTheme="minorBidi"/>
          <w:sz w:val="20"/>
          <w:szCs w:val="20"/>
          <w:rtl/>
        </w:rPr>
      </w:pPr>
    </w:p>
    <w:p w14:paraId="5E1699A0" w14:textId="77777777"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rPr>
        <w:t>"</w:t>
      </w:r>
      <w:r w:rsidRPr="0045043B">
        <w:rPr>
          <w:rFonts w:asciiTheme="minorBidi" w:hAnsiTheme="minorBidi"/>
          <w:sz w:val="20"/>
          <w:szCs w:val="20"/>
          <w:rtl/>
          <w:lang w:bidi="he-IL"/>
        </w:rPr>
        <w:t>בכך שהקימו או סייעו להקמת התנחלויות תוך התעלמות מהוראות המשפט הבינלאומי, וביצעו העברה במישרין או בעקיפין של אזרחים ישראלים אליהן, ממשלות</w:t>
      </w:r>
      <w:r w:rsidRPr="0045043B">
        <w:rPr>
          <w:rFonts w:asciiTheme="minorBidi" w:hAnsiTheme="minorBidi"/>
          <w:sz w:val="20"/>
          <w:szCs w:val="20"/>
          <w:lang w:bidi="he-IL"/>
        </w:rPr>
        <w:t xml:space="preserve"> </w:t>
      </w:r>
      <w:r w:rsidRPr="0045043B">
        <w:rPr>
          <w:rFonts w:asciiTheme="minorBidi" w:hAnsiTheme="minorBidi"/>
          <w:sz w:val="20"/>
          <w:szCs w:val="20"/>
          <w:rtl/>
          <w:lang w:bidi="he-IL"/>
        </w:rPr>
        <w:t>עוקבות של ישראל קבעו עובדות בשטח כדי להבטיח שליטה ישראלית קבועה בגדה המערבית", אמרה גב' פילאי.</w:t>
      </w:r>
    </w:p>
    <w:p w14:paraId="24108630" w14:textId="77777777" w:rsidR="00E10C66" w:rsidRPr="0045043B" w:rsidRDefault="00E10C66" w:rsidP="00E10C66">
      <w:pPr>
        <w:bidi/>
        <w:spacing w:after="0"/>
        <w:rPr>
          <w:rFonts w:asciiTheme="minorBidi" w:hAnsiTheme="minorBidi"/>
          <w:sz w:val="20"/>
          <w:szCs w:val="20"/>
        </w:rPr>
      </w:pPr>
    </w:p>
    <w:p w14:paraId="28F8AAF8" w14:textId="77777777" w:rsidR="00E10C66" w:rsidRPr="0045043B" w:rsidRDefault="00E10C66" w:rsidP="00E10C66">
      <w:pPr>
        <w:bidi/>
        <w:spacing w:after="0"/>
        <w:rPr>
          <w:rFonts w:asciiTheme="minorBidi" w:hAnsiTheme="minorBidi"/>
          <w:sz w:val="20"/>
          <w:szCs w:val="20"/>
          <w:lang w:val="en-US"/>
        </w:rPr>
      </w:pPr>
      <w:r w:rsidRPr="0045043B">
        <w:rPr>
          <w:rFonts w:asciiTheme="minorBidi" w:hAnsiTheme="minorBidi"/>
          <w:sz w:val="20"/>
          <w:szCs w:val="20"/>
          <w:rtl/>
          <w:lang w:val="en-US" w:bidi="he-IL"/>
        </w:rPr>
        <w:t>בחיבור הדו"ח שלה, סקרה הוועדה את ההפקעה והניצול של קרקעות ומשאבי טבע בידי ישראל, ואת מדיניות התכנון המגביל של ישראל בגדה המערבית, וציינה כי לעתים קרובות קרקע מוחרמת למטרות צבאיות אך משמשת לאחר מכן לבניית התנחלויות. הוועדה בחנה הצהרות של גורמים ישראליים רשמיים, המצביעים על כך שבנייה פלסטינית נתפסת כמכשול להתנחלויות ישראליות, המחייב פעולות כגון החרמה, הריסות ועקירה. הוועדה גם הבחינה בתהליכים דומים בירושלים המזרחית, שבהם משטר התכנון המגביל, שהווה מכשול בפני דיור, תשתיות ותנאי מחייה נאותים, תרמו לצמצום המרחב לפלסטינים.</w:t>
      </w:r>
    </w:p>
    <w:p w14:paraId="66C3A32A" w14:textId="77777777" w:rsidR="00E10C66" w:rsidRPr="0045043B" w:rsidRDefault="00E10C66" w:rsidP="00E10C66">
      <w:pPr>
        <w:bidi/>
        <w:spacing w:after="0"/>
        <w:rPr>
          <w:rFonts w:asciiTheme="minorBidi" w:hAnsiTheme="minorBidi"/>
          <w:sz w:val="20"/>
          <w:szCs w:val="20"/>
        </w:rPr>
      </w:pPr>
    </w:p>
    <w:p w14:paraId="7A576F80" w14:textId="77777777" w:rsidR="00E10C66" w:rsidRPr="0045043B" w:rsidRDefault="00E10C66" w:rsidP="00E10C66">
      <w:pPr>
        <w:bidi/>
        <w:spacing w:after="0"/>
        <w:rPr>
          <w:rFonts w:asciiTheme="minorBidi" w:hAnsiTheme="minorBidi"/>
          <w:sz w:val="20"/>
          <w:szCs w:val="20"/>
          <w:rtl/>
          <w:lang w:val="en-US" w:bidi="he-IL"/>
        </w:rPr>
      </w:pPr>
      <w:r w:rsidRPr="0045043B">
        <w:rPr>
          <w:rFonts w:asciiTheme="minorBidi" w:hAnsiTheme="minorBidi"/>
          <w:sz w:val="20"/>
          <w:szCs w:val="20"/>
          <w:rtl/>
          <w:lang w:val="en-US" w:bidi="he-IL"/>
        </w:rPr>
        <w:t>הדו"ח מצביע גם על קווי המדיניות של ממשלות ישראל שהיה להם השפעה משמעותית ורבת פנים על כל תחומי החיים של הפלסטינים, לרבות נגישות למים נקיים ובמחיר סביר, דבר שהשליך על כל המגזר החקלאי הפלסטיני, ומגביל את ההזדמנויות לפרנסה ומשפיע במיוחד על נשים.</w:t>
      </w:r>
    </w:p>
    <w:p w14:paraId="075D7B43" w14:textId="77777777" w:rsidR="00E10C66" w:rsidRPr="0045043B" w:rsidRDefault="00E10C66" w:rsidP="00E10C66">
      <w:pPr>
        <w:bidi/>
        <w:spacing w:after="0"/>
        <w:rPr>
          <w:rFonts w:asciiTheme="minorBidi" w:hAnsiTheme="minorBidi"/>
          <w:sz w:val="20"/>
          <w:szCs w:val="20"/>
        </w:rPr>
      </w:pPr>
    </w:p>
    <w:p w14:paraId="284E7343" w14:textId="1F26644F" w:rsidR="00E10C66" w:rsidRPr="0045043B" w:rsidRDefault="00E10C66" w:rsidP="00E10C66">
      <w:pPr>
        <w:bidi/>
        <w:spacing w:after="0"/>
        <w:rPr>
          <w:rFonts w:asciiTheme="minorBidi" w:hAnsiTheme="minorBidi"/>
          <w:sz w:val="20"/>
          <w:szCs w:val="20"/>
          <w:rtl/>
          <w:lang w:val="en-US" w:bidi="he-IL"/>
        </w:rPr>
      </w:pPr>
      <w:r w:rsidRPr="0045043B">
        <w:rPr>
          <w:rFonts w:asciiTheme="minorBidi" w:hAnsiTheme="minorBidi"/>
          <w:sz w:val="20"/>
          <w:szCs w:val="20"/>
          <w:rtl/>
          <w:lang w:val="en-US"/>
        </w:rPr>
        <w:t>"</w:t>
      </w:r>
      <w:r w:rsidRPr="0045043B">
        <w:rPr>
          <w:rFonts w:asciiTheme="minorBidi" w:hAnsiTheme="minorBidi"/>
          <w:sz w:val="20"/>
          <w:szCs w:val="20"/>
          <w:rtl/>
          <w:lang w:val="en-US" w:bidi="he-IL"/>
        </w:rPr>
        <w:t>יש כל כך הרבה 'פגיעה שקטה' וטראומה פסיכולוגית שאולי לא ניכרים מיד, כתוצאה משחיקת הזכויות הכלכליות, החברתיות והתרבותיות. לתהליכים אלו השלכות קשות קצרות וארוכות טווח ויש לטפל בהם בדחיפות", אמר חבר הוועדה מילון קותארי.</w:t>
      </w:r>
    </w:p>
    <w:p w14:paraId="64A89479" w14:textId="77777777" w:rsidR="00E10C66" w:rsidRPr="0045043B" w:rsidRDefault="00E10C66" w:rsidP="00E10C66">
      <w:pPr>
        <w:bidi/>
        <w:spacing w:after="0"/>
        <w:rPr>
          <w:rFonts w:asciiTheme="minorBidi" w:hAnsiTheme="minorBidi"/>
          <w:sz w:val="20"/>
          <w:szCs w:val="20"/>
        </w:rPr>
      </w:pPr>
    </w:p>
    <w:p w14:paraId="3254DC92" w14:textId="3A580088"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lang w:bidi="he-IL"/>
        </w:rPr>
        <w:t xml:space="preserve">הוועדה הקדישה חלק ניכר מהדו"ח שלה לבחינת ההשלכות של מדיניות הכיבוש והסיפוח </w:t>
      </w:r>
      <w:r w:rsidR="003A4225" w:rsidRPr="0045043B">
        <w:rPr>
          <w:rFonts w:asciiTheme="minorBidi" w:hAnsiTheme="minorBidi"/>
          <w:sz w:val="20"/>
          <w:szCs w:val="20"/>
          <w:rtl/>
          <w:lang w:bidi="he-IL"/>
        </w:rPr>
        <w:t>בפועל</w:t>
      </w:r>
      <w:r w:rsidRPr="0045043B">
        <w:rPr>
          <w:rFonts w:asciiTheme="minorBidi" w:hAnsiTheme="minorBidi"/>
          <w:sz w:val="20"/>
          <w:szCs w:val="20"/>
          <w:rtl/>
          <w:lang w:bidi="he-IL"/>
        </w:rPr>
        <w:t xml:space="preserve"> של ישראל על זכויות האדם של פלסטינים, וציינה את</w:t>
      </w:r>
      <w:r w:rsidRPr="0045043B">
        <w:rPr>
          <w:rFonts w:asciiTheme="minorBidi" w:hAnsiTheme="minorBidi"/>
          <w:sz w:val="20"/>
          <w:szCs w:val="20"/>
          <w:rtl/>
          <w:lang w:val="en-US" w:bidi="he-IL"/>
        </w:rPr>
        <w:t xml:space="preserve"> הסביבה הכופה</w:t>
      </w:r>
      <w:r w:rsidRPr="0045043B">
        <w:rPr>
          <w:rFonts w:asciiTheme="minorBidi" w:hAnsiTheme="minorBidi"/>
          <w:sz w:val="20"/>
          <w:szCs w:val="20"/>
          <w:rtl/>
          <w:lang w:bidi="he-IL"/>
        </w:rPr>
        <w:t xml:space="preserve"> שנועדה לאלץ פלסטינים לעזוב את בתיהם ולשנות את ההרכב הדמוגרפי של אזורים מסוימים. לשם כך, הוועדה בחנה את ההריסה של בתים והרס רכוש, שימוש מופרז בכוח על ידי כוחות הביטחון, כליאה המונית, אלימות מתנחלים, הגבלות תנועה, והגבלות על גישה לפרנסה, צרכים בסיסיים, שירותים וסיוע הומניטרי.</w:t>
      </w:r>
    </w:p>
    <w:p w14:paraId="7C9E951E" w14:textId="77777777" w:rsidR="00E10C66" w:rsidRPr="0045043B" w:rsidRDefault="00E10C66" w:rsidP="00E10C66">
      <w:pPr>
        <w:bidi/>
        <w:spacing w:after="0"/>
        <w:rPr>
          <w:rFonts w:asciiTheme="minorBidi" w:hAnsiTheme="minorBidi"/>
          <w:sz w:val="20"/>
          <w:szCs w:val="20"/>
          <w:rtl/>
        </w:rPr>
      </w:pPr>
    </w:p>
    <w:p w14:paraId="6ACB960F" w14:textId="77777777"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lang w:bidi="he-IL"/>
        </w:rPr>
        <w:t>הוועדה הדגישה כי סביבה כופה מתמשכת זו, הובילה לפרגמנטציה של החברה הפלסטינית והבטיחה כי הפלסטינים לא יוכלו בין היתר לממש את זכותם להגדרה עצמית. הוועדה גם ציינה את ההשפעה המזיקה ביותר של המצור האווירי, היבשתי והימי על עזה על זכויות האדם של פלסטינים.</w:t>
      </w:r>
    </w:p>
    <w:p w14:paraId="1F48A886" w14:textId="77777777" w:rsidR="00E10C66" w:rsidRPr="0045043B" w:rsidRDefault="00E10C66" w:rsidP="00E10C66">
      <w:pPr>
        <w:bidi/>
        <w:spacing w:after="0"/>
        <w:rPr>
          <w:rFonts w:asciiTheme="minorBidi" w:hAnsiTheme="minorBidi"/>
          <w:sz w:val="20"/>
          <w:szCs w:val="20"/>
          <w:rtl/>
          <w:lang w:val="en-US" w:bidi="he-IL"/>
        </w:rPr>
      </w:pPr>
    </w:p>
    <w:p w14:paraId="4175E5E3" w14:textId="77777777"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lang w:bidi="he-IL"/>
        </w:rPr>
        <w:t>הדו"ח מתאר השפעה מזיקה במיוחד על ילדים, שחווים נוכחות צבאית מתמדת, מעצרים ושהייה במעצר, התקפות תכופות ומעשי אלימות, הגבלות על תנועה והריסת בתים, תשתיות ורכוש. הוועדה הדגישה כי להשפעות המצטברות של פרקטיקות הכיבוש, לרבות הגבלות על תנועה, הייתה השפעה מפלה נרחבת על נשים פלסטיניות, וציינה כי הן חוות אלימות על בסיס מגדרי במהלך פעילותן היומיומית.</w:t>
      </w:r>
    </w:p>
    <w:p w14:paraId="6300FAB2" w14:textId="77777777" w:rsidR="00E10C66" w:rsidRPr="0045043B" w:rsidRDefault="00E10C66" w:rsidP="00E10C66">
      <w:pPr>
        <w:bidi/>
        <w:spacing w:after="0"/>
        <w:rPr>
          <w:rFonts w:asciiTheme="minorBidi" w:hAnsiTheme="minorBidi"/>
          <w:sz w:val="20"/>
          <w:szCs w:val="20"/>
        </w:rPr>
      </w:pPr>
    </w:p>
    <w:p w14:paraId="379E7893" w14:textId="5719DAC0" w:rsidR="00E10C66" w:rsidRPr="0045043B" w:rsidRDefault="00E10C66" w:rsidP="00E10C66">
      <w:pPr>
        <w:bidi/>
        <w:spacing w:after="0"/>
        <w:rPr>
          <w:rFonts w:asciiTheme="minorBidi" w:hAnsiTheme="minorBidi"/>
          <w:sz w:val="20"/>
          <w:szCs w:val="20"/>
          <w:rtl/>
          <w:lang w:bidi="he-IL"/>
        </w:rPr>
      </w:pPr>
      <w:r w:rsidRPr="0045043B">
        <w:rPr>
          <w:rFonts w:asciiTheme="minorBidi" w:hAnsiTheme="minorBidi"/>
          <w:sz w:val="20"/>
          <w:szCs w:val="20"/>
          <w:rtl/>
          <w:lang w:bidi="he-IL"/>
        </w:rPr>
        <w:t xml:space="preserve">בסיכומו של הדו"ח, נאמר כי חלק מהמדיניות והפעולות של ממשלות ישראל המובילות לכיבוש קבוע ולסיפוח </w:t>
      </w:r>
      <w:r w:rsidR="00316BB8" w:rsidRPr="0045043B">
        <w:rPr>
          <w:rFonts w:asciiTheme="minorBidi" w:hAnsiTheme="minorBidi"/>
          <w:sz w:val="20"/>
          <w:szCs w:val="20"/>
          <w:rtl/>
          <w:lang w:bidi="he-IL"/>
        </w:rPr>
        <w:t>בפועל</w:t>
      </w:r>
      <w:r w:rsidRPr="0045043B">
        <w:rPr>
          <w:rFonts w:asciiTheme="minorBidi" w:hAnsiTheme="minorBidi"/>
          <w:sz w:val="20"/>
          <w:szCs w:val="20"/>
          <w:rtl/>
          <w:lang w:bidi="he-IL"/>
        </w:rPr>
        <w:t xml:space="preserve"> עשויות להוות מרכיבים של פשעים על פי המשפט הפלילי הבינלאומי, לרבות פשע המלחמה של העברת חלקים מאוכלוסייתה האזרחית במישירין או בעקיפין לשטח כבוש, והפשע נגד האנושות של גירוש או העברה בכפייה.</w:t>
      </w:r>
    </w:p>
    <w:p w14:paraId="5584672F" w14:textId="77777777" w:rsidR="00E10C66" w:rsidRPr="0045043B" w:rsidRDefault="00E10C66" w:rsidP="00E10C66">
      <w:pPr>
        <w:bidi/>
        <w:spacing w:after="0"/>
        <w:rPr>
          <w:rFonts w:asciiTheme="minorBidi" w:hAnsiTheme="minorBidi"/>
          <w:sz w:val="20"/>
          <w:szCs w:val="20"/>
        </w:rPr>
      </w:pPr>
    </w:p>
    <w:p w14:paraId="5377505D" w14:textId="70A51922" w:rsidR="00E10C66" w:rsidRPr="0045043B" w:rsidRDefault="00E10C66" w:rsidP="00E10C66">
      <w:pPr>
        <w:bidi/>
        <w:spacing w:after="0"/>
        <w:rPr>
          <w:rFonts w:asciiTheme="minorBidi" w:hAnsiTheme="minorBidi"/>
          <w:sz w:val="20"/>
          <w:szCs w:val="20"/>
          <w:rtl/>
        </w:rPr>
      </w:pPr>
      <w:r w:rsidRPr="0045043B">
        <w:rPr>
          <w:rFonts w:asciiTheme="minorBidi" w:hAnsiTheme="minorBidi"/>
          <w:sz w:val="20"/>
          <w:szCs w:val="20"/>
        </w:rPr>
        <w:t>"</w:t>
      </w:r>
      <w:r w:rsidRPr="0045043B">
        <w:rPr>
          <w:rFonts w:asciiTheme="minorBidi" w:hAnsiTheme="minorBidi"/>
          <w:sz w:val="20"/>
          <w:szCs w:val="20"/>
          <w:rtl/>
          <w:lang w:bidi="he-IL"/>
        </w:rPr>
        <w:t xml:space="preserve">הפעולות של ממשלות ישראל שנסקרו בדו"ח שלנו מהוות משטר כיבוש וסיפוח בלתי חוקי </w:t>
      </w:r>
      <w:r w:rsidR="00316BB8" w:rsidRPr="0045043B">
        <w:rPr>
          <w:rFonts w:asciiTheme="minorBidi" w:hAnsiTheme="minorBidi"/>
          <w:sz w:val="20"/>
          <w:szCs w:val="20"/>
          <w:rtl/>
          <w:lang w:val="en-US" w:bidi="he-IL"/>
        </w:rPr>
        <w:t>שחובה</w:t>
      </w:r>
      <w:r w:rsidRPr="0045043B">
        <w:rPr>
          <w:rFonts w:asciiTheme="minorBidi" w:hAnsiTheme="minorBidi"/>
          <w:sz w:val="20"/>
          <w:szCs w:val="20"/>
          <w:rtl/>
          <w:lang w:bidi="he-IL"/>
        </w:rPr>
        <w:t xml:space="preserve"> להתייחס אליו", אמר חבר הוועדה כריס סידוטי. "המערכת הבינלאומית ומדינות בפני עצמן חייבות לפעול ולקיים את התחייבויותיהן על פי המשפט הבינלאומי. זה חייב להתחיל במושב זה של העצרת הכללית עם </w:t>
      </w:r>
      <w:r w:rsidR="00316BB8" w:rsidRPr="0045043B">
        <w:rPr>
          <w:rFonts w:asciiTheme="minorBidi" w:hAnsiTheme="minorBidi"/>
          <w:sz w:val="20"/>
          <w:szCs w:val="20"/>
          <w:rtl/>
          <w:lang w:bidi="he-IL"/>
        </w:rPr>
        <w:t>ה</w:t>
      </w:r>
      <w:r w:rsidRPr="0045043B">
        <w:rPr>
          <w:rFonts w:asciiTheme="minorBidi" w:hAnsiTheme="minorBidi"/>
          <w:sz w:val="20"/>
          <w:szCs w:val="20"/>
          <w:rtl/>
          <w:lang w:bidi="he-IL"/>
        </w:rPr>
        <w:t>פנייה לבית הדין הבינלאומי לצדק", הוסיף</w:t>
      </w:r>
      <w:r w:rsidRPr="0045043B">
        <w:rPr>
          <w:rFonts w:asciiTheme="minorBidi" w:hAnsiTheme="minorBidi"/>
          <w:sz w:val="20"/>
          <w:szCs w:val="20"/>
          <w:lang w:bidi="he-IL"/>
        </w:rPr>
        <w:t>.</w:t>
      </w:r>
    </w:p>
    <w:p w14:paraId="2352D4E8" w14:textId="77777777" w:rsidR="00E10C66" w:rsidRPr="0045043B" w:rsidRDefault="00E10C66" w:rsidP="00E10C66">
      <w:pPr>
        <w:bidi/>
        <w:spacing w:after="0"/>
        <w:rPr>
          <w:rFonts w:asciiTheme="minorBidi" w:hAnsiTheme="minorBidi"/>
          <w:sz w:val="20"/>
          <w:szCs w:val="20"/>
          <w:rtl/>
        </w:rPr>
      </w:pPr>
    </w:p>
    <w:p w14:paraId="3BBE88F2" w14:textId="77777777" w:rsidR="00E10C66" w:rsidRPr="0045043B" w:rsidRDefault="00E10C66" w:rsidP="00E10C66">
      <w:pPr>
        <w:bidi/>
        <w:spacing w:after="0"/>
        <w:rPr>
          <w:rFonts w:asciiTheme="minorBidi" w:hAnsiTheme="minorBidi"/>
          <w:sz w:val="20"/>
          <w:szCs w:val="20"/>
          <w:rtl/>
        </w:rPr>
      </w:pPr>
    </w:p>
    <w:p w14:paraId="17987C64" w14:textId="77777777"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lang w:bidi="he-IL"/>
        </w:rPr>
        <w:t>[סוף]</w:t>
      </w:r>
    </w:p>
    <w:p w14:paraId="4FE8BEF3" w14:textId="77777777" w:rsidR="00E10C66" w:rsidRPr="0045043B" w:rsidRDefault="00E10C66" w:rsidP="00E10C66">
      <w:pPr>
        <w:bidi/>
        <w:spacing w:after="0"/>
        <w:rPr>
          <w:rFonts w:asciiTheme="minorBidi" w:hAnsiTheme="minorBidi"/>
          <w:sz w:val="20"/>
          <w:szCs w:val="20"/>
          <w:lang w:bidi="he-IL"/>
        </w:rPr>
      </w:pPr>
    </w:p>
    <w:p w14:paraId="2EF25A14" w14:textId="77777777" w:rsidR="00E10C66" w:rsidRPr="0045043B" w:rsidRDefault="00E10C66" w:rsidP="00E10C66">
      <w:pPr>
        <w:bidi/>
        <w:spacing w:after="0"/>
        <w:rPr>
          <w:rFonts w:asciiTheme="minorBidi" w:hAnsiTheme="minorBidi"/>
          <w:b/>
          <w:bCs/>
          <w:sz w:val="20"/>
          <w:szCs w:val="20"/>
          <w:rtl/>
        </w:rPr>
      </w:pPr>
      <w:r w:rsidRPr="0045043B">
        <w:rPr>
          <w:rFonts w:asciiTheme="minorBidi" w:hAnsiTheme="minorBidi"/>
          <w:b/>
          <w:bCs/>
          <w:sz w:val="20"/>
          <w:szCs w:val="20"/>
          <w:rtl/>
          <w:lang w:bidi="he-IL"/>
        </w:rPr>
        <w:t>רקע</w:t>
      </w:r>
    </w:p>
    <w:p w14:paraId="22767707" w14:textId="77777777" w:rsidR="00E10C66" w:rsidRPr="0045043B" w:rsidRDefault="00E10C66" w:rsidP="00E10C66">
      <w:pPr>
        <w:bidi/>
        <w:spacing w:after="0"/>
        <w:rPr>
          <w:rFonts w:asciiTheme="minorBidi" w:hAnsiTheme="minorBidi"/>
          <w:sz w:val="20"/>
          <w:szCs w:val="20"/>
          <w:rtl/>
        </w:rPr>
      </w:pPr>
    </w:p>
    <w:p w14:paraId="35C0FF24" w14:textId="1F0DE952"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lang w:bidi="he-IL"/>
        </w:rPr>
        <w:t>מועצת זכויות האדם של האו"ם הסמיכה את הוועדה ב-27 במאי 2021 "לחקור את כל ההפרות לכאורה של המשפט הבינלאומי ההומניטרי וכל</w:t>
      </w:r>
      <w:r w:rsidRPr="0045043B">
        <w:rPr>
          <w:rFonts w:asciiTheme="minorBidi" w:hAnsiTheme="minorBidi"/>
          <w:sz w:val="20"/>
          <w:szCs w:val="20"/>
          <w:lang w:bidi="he-IL"/>
        </w:rPr>
        <w:t xml:space="preserve"> </w:t>
      </w:r>
      <w:r w:rsidRPr="0045043B">
        <w:rPr>
          <w:rFonts w:asciiTheme="minorBidi" w:hAnsiTheme="minorBidi"/>
          <w:sz w:val="20"/>
          <w:szCs w:val="20"/>
          <w:rtl/>
          <w:lang w:bidi="he-IL"/>
        </w:rPr>
        <w:t xml:space="preserve">ההפרות לכאורה של דיני זכויות האדם הבינלאומיים בשטחים הפלסטינים הכבושים, כולל מזרח ירושלים, ובישראל, עד ולאחר ה-13 באפריל 2021". ביולי 2021, הודיע ​​נשיא מועצת זכויות האדם על מינוים של נוואנתם פילאי (דרום אפריקה), מילון קותארי (הודו) וכריסטופר סידוטי (אוסטרליה) לכהן כשלושת חברי הוועדה וציין כי גב' פילאי תכהן כיו"ר. החלטה </w:t>
      </w:r>
      <w:r w:rsidRPr="0045043B">
        <w:rPr>
          <w:rFonts w:asciiTheme="minorBidi" w:hAnsiTheme="minorBidi"/>
          <w:sz w:val="20"/>
          <w:szCs w:val="20"/>
        </w:rPr>
        <w:t>A/HRC/RES/S-30/1</w:t>
      </w:r>
      <w:r w:rsidRPr="0045043B">
        <w:rPr>
          <w:rFonts w:asciiTheme="minorBidi" w:hAnsiTheme="minorBidi"/>
          <w:sz w:val="20"/>
          <w:szCs w:val="20"/>
          <w:rtl/>
          <w:lang w:bidi="he-IL"/>
        </w:rPr>
        <w:t xml:space="preserve"> ביקשה עוד מוועדת החקירה "לחקור את כל סיבות השורש של מתחים חוזרים, חוסר יציבות והתארכות הסכסוך, לרבות אפליה ודיכוי שיטתיים על בסיס זהות לאומית, אתנית, גזעית או דתית". ועדת </w:t>
      </w:r>
      <w:r w:rsidR="00EB1D16">
        <w:rPr>
          <w:rFonts w:asciiTheme="minorBidi" w:hAnsiTheme="minorBidi" w:hint="cs"/>
          <w:sz w:val="20"/>
          <w:szCs w:val="20"/>
          <w:rtl/>
          <w:lang w:bidi="he-IL"/>
        </w:rPr>
        <w:t>החקירה</w:t>
      </w:r>
      <w:r w:rsidRPr="0045043B">
        <w:rPr>
          <w:rFonts w:asciiTheme="minorBidi" w:hAnsiTheme="minorBidi"/>
          <w:sz w:val="20"/>
          <w:szCs w:val="20"/>
          <w:rtl/>
          <w:lang w:bidi="he-IL"/>
        </w:rPr>
        <w:t xml:space="preserve"> קיבלה מנדט לדווח למועצת זכויות האדם ולעצרת הכללית מדי שנה מיוני 2022 וספטמבר 2022, בהתאמה.</w:t>
      </w:r>
    </w:p>
    <w:p w14:paraId="4808D960" w14:textId="77777777" w:rsidR="00E10C66" w:rsidRPr="0045043B" w:rsidRDefault="00E10C66" w:rsidP="00E10C66">
      <w:pPr>
        <w:bidi/>
        <w:spacing w:after="0"/>
        <w:rPr>
          <w:rFonts w:asciiTheme="minorBidi" w:hAnsiTheme="minorBidi"/>
          <w:sz w:val="20"/>
          <w:szCs w:val="20"/>
          <w:rtl/>
        </w:rPr>
      </w:pPr>
    </w:p>
    <w:p w14:paraId="168814CA" w14:textId="77777777" w:rsidR="00E10C66" w:rsidRPr="0045043B" w:rsidRDefault="00E10C66" w:rsidP="00E10C66">
      <w:pPr>
        <w:bidi/>
        <w:spacing w:after="0"/>
        <w:rPr>
          <w:rFonts w:asciiTheme="minorBidi" w:hAnsiTheme="minorBidi"/>
          <w:sz w:val="20"/>
          <w:szCs w:val="20"/>
          <w:rtl/>
        </w:rPr>
      </w:pPr>
    </w:p>
    <w:p w14:paraId="7D9245D9" w14:textId="5BD8B5C6" w:rsidR="00E10C66" w:rsidRPr="0045043B" w:rsidRDefault="00E10C66" w:rsidP="00E10C66">
      <w:pPr>
        <w:bidi/>
        <w:spacing w:after="0"/>
        <w:rPr>
          <w:rFonts w:asciiTheme="minorBidi" w:hAnsiTheme="minorBidi"/>
          <w:sz w:val="20"/>
          <w:szCs w:val="20"/>
          <w:rtl/>
          <w:lang w:val="en-US" w:bidi="he-IL"/>
        </w:rPr>
      </w:pPr>
      <w:r w:rsidRPr="0045043B">
        <w:rPr>
          <w:rFonts w:asciiTheme="minorBidi" w:hAnsiTheme="minorBidi"/>
          <w:sz w:val="20"/>
          <w:szCs w:val="20"/>
          <w:rtl/>
          <w:lang w:val="en-US" w:bidi="he-IL"/>
        </w:rPr>
        <w:t xml:space="preserve">חברי הוועדה </w:t>
      </w:r>
      <w:r w:rsidR="005A7689" w:rsidRPr="0045043B">
        <w:rPr>
          <w:rFonts w:asciiTheme="minorBidi" w:hAnsiTheme="minorBidi"/>
          <w:sz w:val="20"/>
          <w:szCs w:val="20"/>
          <w:rtl/>
          <w:lang w:val="en-US" w:bidi="he-IL"/>
        </w:rPr>
        <w:t>יציגו את הדו"ח בפני העצרת הכללית</w:t>
      </w:r>
      <w:r w:rsidRPr="0045043B">
        <w:rPr>
          <w:rFonts w:asciiTheme="minorBidi" w:hAnsiTheme="minorBidi"/>
          <w:sz w:val="20"/>
          <w:szCs w:val="20"/>
          <w:rtl/>
          <w:lang w:val="en-US" w:bidi="he-IL"/>
        </w:rPr>
        <w:t xml:space="preserve"> ב-27 באוקטובר</w:t>
      </w:r>
      <w:r w:rsidR="005A7689" w:rsidRPr="0045043B">
        <w:rPr>
          <w:rFonts w:asciiTheme="minorBidi" w:hAnsiTheme="minorBidi"/>
          <w:sz w:val="20"/>
          <w:szCs w:val="20"/>
          <w:rtl/>
          <w:lang w:val="en-US" w:bidi="he-IL"/>
        </w:rPr>
        <w:t>.</w:t>
      </w:r>
    </w:p>
    <w:p w14:paraId="23C25861" w14:textId="71C546D8" w:rsidR="005A7689" w:rsidRPr="0045043B" w:rsidRDefault="005A7689" w:rsidP="005A7689">
      <w:pPr>
        <w:bidi/>
        <w:spacing w:after="0"/>
        <w:rPr>
          <w:rFonts w:asciiTheme="minorBidi" w:hAnsiTheme="minorBidi"/>
          <w:sz w:val="20"/>
          <w:szCs w:val="20"/>
          <w:rtl/>
          <w:lang w:val="en-US" w:bidi="he-IL"/>
        </w:rPr>
      </w:pPr>
    </w:p>
    <w:p w14:paraId="383BC2DB" w14:textId="5CA2FF32" w:rsidR="005A7689" w:rsidRPr="0045043B" w:rsidRDefault="005A7689" w:rsidP="005A7689">
      <w:pPr>
        <w:bidi/>
        <w:spacing w:after="0"/>
        <w:rPr>
          <w:rFonts w:asciiTheme="minorBidi" w:hAnsiTheme="minorBidi"/>
          <w:sz w:val="20"/>
          <w:szCs w:val="20"/>
          <w:rtl/>
          <w:lang w:val="en-US" w:bidi="he-IL"/>
        </w:rPr>
      </w:pPr>
      <w:r w:rsidRPr="0045043B">
        <w:rPr>
          <w:rFonts w:asciiTheme="minorBidi" w:hAnsiTheme="minorBidi"/>
          <w:sz w:val="20"/>
          <w:szCs w:val="20"/>
          <w:rtl/>
          <w:lang w:val="en-US" w:bidi="he-IL"/>
        </w:rPr>
        <w:t xml:space="preserve">הדו"ח המלא בשש שפות ומידע נוסף </w:t>
      </w:r>
      <w:r w:rsidRPr="0045043B">
        <w:rPr>
          <w:rFonts w:asciiTheme="minorBidi" w:hAnsiTheme="minorBidi"/>
          <w:sz w:val="20"/>
          <w:szCs w:val="20"/>
          <w:rtl/>
          <w:lang w:bidi="he-IL"/>
        </w:rPr>
        <w:t xml:space="preserve">אודות עבודת ועדת </w:t>
      </w:r>
      <w:r w:rsidR="00EB1D16">
        <w:rPr>
          <w:rFonts w:asciiTheme="minorBidi" w:hAnsiTheme="minorBidi" w:hint="cs"/>
          <w:sz w:val="20"/>
          <w:szCs w:val="20"/>
          <w:rtl/>
          <w:lang w:bidi="he-IL"/>
        </w:rPr>
        <w:t>החקירה</w:t>
      </w:r>
      <w:r w:rsidRPr="0045043B">
        <w:rPr>
          <w:rFonts w:asciiTheme="minorBidi" w:hAnsiTheme="minorBidi"/>
          <w:sz w:val="20"/>
          <w:szCs w:val="20"/>
          <w:rtl/>
          <w:lang w:bidi="he-IL"/>
        </w:rPr>
        <w:t xml:space="preserve"> העצמאית של האו"ם בנושא השטחים הפלסטינים הכבושים כולל ירושלים המזרחית, וישראל:</w:t>
      </w:r>
    </w:p>
    <w:p w14:paraId="793D748F" w14:textId="77777777" w:rsidR="005A7689" w:rsidRPr="0045043B" w:rsidRDefault="007D38C9" w:rsidP="005A7689">
      <w:pPr>
        <w:spacing w:after="0"/>
        <w:rPr>
          <w:rStyle w:val="Hyperlink"/>
          <w:rFonts w:asciiTheme="minorBidi" w:hAnsiTheme="minorBidi"/>
          <w:sz w:val="20"/>
          <w:szCs w:val="20"/>
        </w:rPr>
      </w:pPr>
      <w:hyperlink r:id="rId7" w:history="1">
        <w:r w:rsidR="005A7689" w:rsidRPr="0045043B">
          <w:rPr>
            <w:rStyle w:val="Hyperlink"/>
            <w:rFonts w:asciiTheme="minorBidi" w:hAnsiTheme="minorBidi"/>
            <w:sz w:val="20"/>
            <w:szCs w:val="20"/>
          </w:rPr>
          <w:t>https://www.ohchr.org/en/hr-bodies/hrc/co-israel/index</w:t>
        </w:r>
      </w:hyperlink>
    </w:p>
    <w:p w14:paraId="4590B09F" w14:textId="77777777" w:rsidR="005A7689" w:rsidRPr="0045043B" w:rsidRDefault="005A7689" w:rsidP="005A7689">
      <w:pPr>
        <w:bidi/>
        <w:spacing w:after="0"/>
        <w:rPr>
          <w:rFonts w:asciiTheme="minorBidi" w:hAnsiTheme="minorBidi"/>
          <w:sz w:val="20"/>
          <w:szCs w:val="20"/>
          <w:rtl/>
          <w:lang w:val="en-US" w:bidi="he-IL"/>
        </w:rPr>
      </w:pPr>
    </w:p>
    <w:p w14:paraId="49BA64A3" w14:textId="77777777" w:rsidR="00E10C66" w:rsidRPr="0045043B" w:rsidRDefault="00E10C66" w:rsidP="00E10C66">
      <w:pPr>
        <w:bidi/>
        <w:spacing w:after="0"/>
        <w:rPr>
          <w:rFonts w:asciiTheme="minorBidi" w:hAnsiTheme="minorBidi"/>
          <w:sz w:val="20"/>
          <w:szCs w:val="20"/>
        </w:rPr>
      </w:pPr>
      <w:r w:rsidRPr="0045043B">
        <w:rPr>
          <w:rFonts w:asciiTheme="minorBidi" w:hAnsiTheme="minorBidi"/>
          <w:sz w:val="20"/>
          <w:szCs w:val="20"/>
          <w:rtl/>
          <w:lang w:val="en-US" w:bidi="he-IL"/>
        </w:rPr>
        <w:t>למידע נוסף ופניות תקשורת</w:t>
      </w:r>
      <w:r w:rsidRPr="0045043B">
        <w:rPr>
          <w:rFonts w:asciiTheme="minorBidi" w:hAnsiTheme="minorBidi"/>
          <w:sz w:val="20"/>
          <w:szCs w:val="20"/>
          <w:lang w:val="en-US" w:bidi="he-IL"/>
        </w:rPr>
        <w:t>:</w:t>
      </w:r>
      <w:r w:rsidRPr="0045043B">
        <w:rPr>
          <w:rFonts w:asciiTheme="minorBidi" w:hAnsiTheme="minorBidi"/>
          <w:sz w:val="20"/>
          <w:szCs w:val="20"/>
          <w:rtl/>
          <w:lang w:val="en-US" w:bidi="he-IL"/>
        </w:rPr>
        <w:t xml:space="preserve"> </w:t>
      </w:r>
    </w:p>
    <w:p w14:paraId="0EB3A40C" w14:textId="77777777" w:rsidR="00E10C66" w:rsidRPr="0045043B" w:rsidRDefault="00E10C66" w:rsidP="00E10C66">
      <w:pPr>
        <w:pStyle w:val="xmsonormal"/>
        <w:shd w:val="clear" w:color="auto" w:fill="FFFFFF"/>
        <w:spacing w:before="0" w:beforeAutospacing="0" w:after="0" w:afterAutospacing="0" w:line="253" w:lineRule="atLeast"/>
        <w:rPr>
          <w:rFonts w:asciiTheme="minorBidi" w:hAnsiTheme="minorBidi" w:cstheme="minorBidi"/>
          <w:i/>
          <w:iCs/>
          <w:color w:val="000000"/>
          <w:sz w:val="20"/>
          <w:szCs w:val="20"/>
          <w:bdr w:val="none" w:sz="0" w:space="0" w:color="auto" w:frame="1"/>
          <w:rtl/>
        </w:rPr>
      </w:pPr>
      <w:r w:rsidRPr="0045043B">
        <w:rPr>
          <w:rFonts w:asciiTheme="minorBidi" w:hAnsiTheme="minorBidi" w:cstheme="minorBidi"/>
          <w:i/>
          <w:iCs/>
          <w:color w:val="000000"/>
          <w:sz w:val="20"/>
          <w:szCs w:val="20"/>
          <w:bdr w:val="none" w:sz="0" w:space="0" w:color="auto" w:frame="1"/>
        </w:rPr>
        <w:t xml:space="preserve">Rolando Gómez, HRC Media Officer, at </w:t>
      </w:r>
      <w:hyperlink r:id="rId8" w:history="1">
        <w:r w:rsidRPr="0045043B">
          <w:rPr>
            <w:rStyle w:val="Hyperlink"/>
            <w:rFonts w:asciiTheme="minorBidi" w:hAnsiTheme="minorBidi" w:cstheme="minorBidi"/>
            <w:i/>
            <w:iCs/>
            <w:sz w:val="20"/>
            <w:szCs w:val="20"/>
            <w:bdr w:val="none" w:sz="0" w:space="0" w:color="auto" w:frame="1"/>
          </w:rPr>
          <w:t>rolando.gomez@un.org</w:t>
        </w:r>
      </w:hyperlink>
      <w:r w:rsidRPr="0045043B">
        <w:rPr>
          <w:rFonts w:asciiTheme="minorBidi" w:hAnsiTheme="minorBidi" w:cstheme="minorBidi"/>
          <w:i/>
          <w:iCs/>
          <w:color w:val="000000"/>
          <w:sz w:val="20"/>
          <w:szCs w:val="20"/>
          <w:bdr w:val="none" w:sz="0" w:space="0" w:color="auto" w:frame="1"/>
        </w:rPr>
        <w:t xml:space="preserve">, Matthew Brown, HRC Public Information Officer, at </w:t>
      </w:r>
      <w:hyperlink r:id="rId9" w:tgtFrame="_blank" w:history="1">
        <w:r w:rsidRPr="0045043B">
          <w:rPr>
            <w:rStyle w:val="Hyperlink"/>
            <w:rFonts w:asciiTheme="minorBidi" w:hAnsiTheme="minorBidi" w:cstheme="minorBidi"/>
            <w:i/>
            <w:iCs/>
            <w:sz w:val="20"/>
            <w:szCs w:val="20"/>
            <w:bdr w:val="none" w:sz="0" w:space="0" w:color="auto" w:frame="1"/>
          </w:rPr>
          <w:t>matthew.brown@un.org</w:t>
        </w:r>
      </w:hyperlink>
      <w:r w:rsidRPr="0045043B">
        <w:rPr>
          <w:rFonts w:asciiTheme="minorBidi" w:hAnsiTheme="minorBidi" w:cstheme="minorBidi"/>
          <w:i/>
          <w:iCs/>
          <w:color w:val="000000"/>
          <w:sz w:val="20"/>
          <w:szCs w:val="20"/>
          <w:bdr w:val="none" w:sz="0" w:space="0" w:color="auto" w:frame="1"/>
        </w:rPr>
        <w:t xml:space="preserve">, or Pascal Sim, HRC Public Information Officer, at </w:t>
      </w:r>
      <w:hyperlink r:id="rId10" w:tgtFrame="_blank" w:history="1">
        <w:r w:rsidRPr="0045043B">
          <w:rPr>
            <w:rStyle w:val="Hyperlink"/>
            <w:rFonts w:asciiTheme="minorBidi" w:hAnsiTheme="minorBidi" w:cstheme="minorBidi"/>
            <w:i/>
            <w:iCs/>
            <w:sz w:val="20"/>
            <w:szCs w:val="20"/>
            <w:bdr w:val="none" w:sz="0" w:space="0" w:color="auto" w:frame="1"/>
          </w:rPr>
          <w:t>simp@un.org</w:t>
        </w:r>
      </w:hyperlink>
      <w:r w:rsidRPr="0045043B">
        <w:rPr>
          <w:rFonts w:asciiTheme="minorBidi" w:hAnsiTheme="minorBidi" w:cstheme="minorBidi"/>
          <w:i/>
          <w:iCs/>
          <w:color w:val="000000"/>
          <w:sz w:val="20"/>
          <w:szCs w:val="20"/>
          <w:bdr w:val="none" w:sz="0" w:space="0" w:color="auto" w:frame="1"/>
        </w:rPr>
        <w:t>  </w:t>
      </w:r>
    </w:p>
    <w:p w14:paraId="1CA92A3E" w14:textId="77777777" w:rsidR="00E10C66" w:rsidRPr="0045043B" w:rsidRDefault="00E10C66" w:rsidP="00E10C66">
      <w:pPr>
        <w:pStyle w:val="xmsonormal"/>
        <w:shd w:val="clear" w:color="auto" w:fill="FFFFFF"/>
        <w:spacing w:before="0" w:beforeAutospacing="0" w:after="0" w:afterAutospacing="0" w:line="253" w:lineRule="atLeast"/>
        <w:rPr>
          <w:rFonts w:asciiTheme="minorBidi" w:hAnsiTheme="minorBidi" w:cstheme="minorBidi"/>
          <w:color w:val="201F1E"/>
          <w:sz w:val="20"/>
          <w:szCs w:val="20"/>
        </w:rPr>
      </w:pPr>
      <w:r w:rsidRPr="0045043B">
        <w:rPr>
          <w:rFonts w:asciiTheme="minorBidi" w:hAnsiTheme="minorBidi" w:cstheme="minorBidi"/>
          <w:i/>
          <w:iCs/>
          <w:color w:val="000000"/>
          <w:sz w:val="20"/>
          <w:szCs w:val="20"/>
          <w:bdr w:val="none" w:sz="0" w:space="0" w:color="auto" w:frame="1"/>
        </w:rPr>
        <w:t> </w:t>
      </w:r>
      <w:r w:rsidRPr="0045043B">
        <w:rPr>
          <w:rFonts w:asciiTheme="minorBidi" w:hAnsiTheme="minorBidi" w:cstheme="minorBidi"/>
          <w:sz w:val="20"/>
          <w:szCs w:val="20"/>
        </w:rPr>
        <w:t xml:space="preserve"> </w:t>
      </w:r>
    </w:p>
    <w:p w14:paraId="387D7B68" w14:textId="2F6CBA8D" w:rsidR="00E10C66" w:rsidRPr="0045043B" w:rsidRDefault="00E10C66" w:rsidP="00E10C66">
      <w:pPr>
        <w:spacing w:after="0"/>
        <w:rPr>
          <w:rFonts w:asciiTheme="minorBidi" w:hAnsiTheme="minorBidi"/>
          <w:sz w:val="20"/>
          <w:szCs w:val="20"/>
        </w:rPr>
      </w:pPr>
    </w:p>
    <w:p w14:paraId="40F425D0" w14:textId="77777777" w:rsidR="00E10C66" w:rsidRPr="0045043B" w:rsidRDefault="00E10C66" w:rsidP="00E10C66">
      <w:pPr>
        <w:spacing w:after="0"/>
        <w:jc w:val="both"/>
        <w:rPr>
          <w:rFonts w:asciiTheme="minorBidi" w:hAnsiTheme="minorBidi"/>
          <w:sz w:val="20"/>
          <w:szCs w:val="20"/>
        </w:rPr>
      </w:pPr>
      <w:r w:rsidRPr="0045043B">
        <w:rPr>
          <w:rFonts w:asciiTheme="minorBidi" w:hAnsiTheme="minorBidi"/>
          <w:sz w:val="20"/>
          <w:szCs w:val="20"/>
        </w:rPr>
        <w:t>***</w:t>
      </w:r>
    </w:p>
    <w:p w14:paraId="715B7F04" w14:textId="77777777" w:rsidR="00E10C66" w:rsidRPr="0045043B" w:rsidRDefault="00E10C66" w:rsidP="00E10C66">
      <w:pPr>
        <w:jc w:val="both"/>
        <w:rPr>
          <w:rFonts w:asciiTheme="minorBidi" w:hAnsiTheme="minorBidi"/>
          <w:sz w:val="20"/>
          <w:szCs w:val="20"/>
        </w:rPr>
      </w:pPr>
    </w:p>
    <w:p w14:paraId="5E24B037" w14:textId="77777777" w:rsidR="00E10C66" w:rsidRPr="0045043B" w:rsidRDefault="00E10C66" w:rsidP="00E10C66">
      <w:pPr>
        <w:jc w:val="both"/>
        <w:rPr>
          <w:rFonts w:asciiTheme="minorBidi" w:hAnsiTheme="minorBidi"/>
          <w:sz w:val="20"/>
          <w:szCs w:val="20"/>
        </w:rPr>
      </w:pPr>
    </w:p>
    <w:p w14:paraId="7D78ED75" w14:textId="77777777" w:rsidR="003E6367" w:rsidRPr="0045043B" w:rsidRDefault="003E6367" w:rsidP="00E10C66">
      <w:pPr>
        <w:bidi/>
        <w:rPr>
          <w:rFonts w:asciiTheme="minorBidi" w:hAnsiTheme="minorBidi"/>
        </w:rPr>
      </w:pPr>
    </w:p>
    <w:sectPr w:rsidR="003E6367" w:rsidRPr="0045043B" w:rsidSect="00FA4A9D">
      <w:pgSz w:w="11906" w:h="16838"/>
      <w:pgMar w:top="709" w:right="1133"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66"/>
    <w:rsid w:val="00157DAA"/>
    <w:rsid w:val="00316BB8"/>
    <w:rsid w:val="003A4225"/>
    <w:rsid w:val="003E6367"/>
    <w:rsid w:val="0045043B"/>
    <w:rsid w:val="00462B1E"/>
    <w:rsid w:val="00481AA8"/>
    <w:rsid w:val="005A7689"/>
    <w:rsid w:val="006163D1"/>
    <w:rsid w:val="00667119"/>
    <w:rsid w:val="007646D5"/>
    <w:rsid w:val="007A5270"/>
    <w:rsid w:val="00D84D2A"/>
    <w:rsid w:val="00E10C66"/>
    <w:rsid w:val="00EB1D1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8142"/>
  <w15:chartTrackingRefBased/>
  <w15:docId w15:val="{684361D8-6DD2-4D60-9097-BA0AC28C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C66"/>
    <w:rPr>
      <w:color w:val="0563C1" w:themeColor="hyperlink"/>
      <w:u w:val="single"/>
    </w:rPr>
  </w:style>
  <w:style w:type="paragraph" w:customStyle="1" w:styleId="xmsonormal">
    <w:name w:val="x_msonormal"/>
    <w:basedOn w:val="Normal"/>
    <w:rsid w:val="00E10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A4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o.gomez@un.org" TargetMode="External"/><Relationship Id="rId3" Type="http://schemas.openxmlformats.org/officeDocument/2006/relationships/webSettings" Target="webSettings.xml"/><Relationship Id="rId7" Type="http://schemas.openxmlformats.org/officeDocument/2006/relationships/hyperlink" Target="https://www.ohchr.org/en/hr-bodies/hrc/co-israel/inde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o-israel/index" TargetMode="External"/><Relationship Id="rId11" Type="http://schemas.openxmlformats.org/officeDocument/2006/relationships/fontTable" Target="fontTable.xml"/><Relationship Id="rId5" Type="http://schemas.openxmlformats.org/officeDocument/2006/relationships/image" Target="cid:image001.png@01D8C92E.5C258130" TargetMode="External"/><Relationship Id="rId10" Type="http://schemas.openxmlformats.org/officeDocument/2006/relationships/hyperlink" Target="mailto:simp@un.org" TargetMode="External"/><Relationship Id="rId4" Type="http://schemas.openxmlformats.org/officeDocument/2006/relationships/image" Target="media/image1.png"/><Relationship Id="rId9" Type="http://schemas.openxmlformats.org/officeDocument/2006/relationships/hyperlink" Target="mailto:matthew.brown@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ESHEL Abigail</dc:creator>
  <cp:keywords/>
  <dc:description/>
  <cp:lastModifiedBy>ESHEL Abigail</cp:lastModifiedBy>
  <cp:revision>2</cp:revision>
  <dcterms:created xsi:type="dcterms:W3CDTF">2022-10-20T14:04:00Z</dcterms:created>
  <dcterms:modified xsi:type="dcterms:W3CDTF">2022-10-20T14:04:00Z</dcterms:modified>
</cp:coreProperties>
</file>