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8F" w:rsidRDefault="00971B8F" w:rsidP="00CE193D">
      <w:pPr>
        <w:tabs>
          <w:tab w:val="left" w:pos="800"/>
        </w:tabs>
        <w:jc w:val="center"/>
        <w:rPr>
          <w:rFonts w:ascii="Arial TUR" w:hAnsi="Arial TUR" w:cs="David"/>
          <w:b/>
          <w:bCs/>
          <w:color w:val="000080"/>
          <w:sz w:val="28"/>
          <w:szCs w:val="32"/>
          <w:u w:val="single"/>
          <w:rtl/>
        </w:rPr>
      </w:pPr>
      <w:r w:rsidRPr="00C0549E">
        <w:rPr>
          <w:rFonts w:ascii="Arial TUR" w:hAnsi="Arial TUR" w:cs="David"/>
          <w:b/>
          <w:bCs/>
          <w:color w:val="000080"/>
          <w:spacing w:val="6"/>
          <w:sz w:val="28"/>
          <w:szCs w:val="32"/>
          <w:rtl/>
        </w:rPr>
        <w:t xml:space="preserve">בית משפט </w:t>
      </w:r>
      <w:r w:rsidR="00CE193D">
        <w:rPr>
          <w:rFonts w:ascii="Arial TUR" w:hAnsi="Arial TUR" w:cs="David" w:hint="cs"/>
          <w:b/>
          <w:bCs/>
          <w:color w:val="000080"/>
          <w:spacing w:val="6"/>
          <w:sz w:val="28"/>
          <w:szCs w:val="32"/>
          <w:rtl/>
        </w:rPr>
        <w:t>השלום תל-אביב - יפו</w:t>
      </w:r>
    </w:p>
    <w:p w:rsidR="00971B8F" w:rsidRDefault="00BB7A4A" w:rsidP="00BB7A4A">
      <w:pPr>
        <w:tabs>
          <w:tab w:val="left" w:pos="800"/>
        </w:tabs>
        <w:jc w:val="center"/>
        <w:rPr>
          <w:rFonts w:ascii="Arial TUR" w:hAnsi="Arial TUR" w:cs="David"/>
          <w:b/>
          <w:bCs/>
          <w:color w:val="000080"/>
          <w:sz w:val="28"/>
          <w:szCs w:val="32"/>
          <w:rtl/>
        </w:rPr>
      </w:pPr>
      <w:r>
        <w:rPr>
          <w:rFonts w:ascii="Arial TUR" w:hAnsi="Arial TUR" w:cs="David" w:hint="cs"/>
          <w:b/>
          <w:bCs/>
          <w:color w:val="000080"/>
          <w:sz w:val="28"/>
          <w:szCs w:val="32"/>
          <w:rtl/>
        </w:rPr>
        <w:t>תקציר פסק הדין</w:t>
      </w:r>
    </w:p>
    <w:p w:rsidR="00CE193D" w:rsidRDefault="00CE193D" w:rsidP="00CE193D">
      <w:pPr>
        <w:tabs>
          <w:tab w:val="left" w:pos="800"/>
        </w:tabs>
        <w:jc w:val="center"/>
        <w:rPr>
          <w:rFonts w:ascii="Arial TUR" w:hAnsi="Arial TUR" w:cs="David"/>
          <w:b/>
          <w:bCs/>
          <w:color w:val="000080"/>
          <w:sz w:val="28"/>
          <w:szCs w:val="32"/>
          <w:rtl/>
        </w:rPr>
      </w:pPr>
      <w:r>
        <w:rPr>
          <w:rFonts w:ascii="Arial TUR" w:hAnsi="Arial TUR" w:cs="David" w:hint="cs"/>
          <w:b/>
          <w:bCs/>
          <w:color w:val="000080"/>
          <w:sz w:val="28"/>
          <w:szCs w:val="32"/>
          <w:rtl/>
        </w:rPr>
        <w:t xml:space="preserve">ת"א </w:t>
      </w:r>
      <w:bookmarkStart w:id="0" w:name="_GoBack"/>
      <w:r>
        <w:rPr>
          <w:rFonts w:ascii="Arial TUR" w:hAnsi="Arial TUR" w:cs="David" w:hint="cs"/>
          <w:b/>
          <w:bCs/>
          <w:color w:val="000080"/>
          <w:sz w:val="28"/>
          <w:szCs w:val="32"/>
          <w:rtl/>
        </w:rPr>
        <w:t xml:space="preserve">13429-05-21 </w:t>
      </w:r>
      <w:bookmarkEnd w:id="0"/>
      <w:r>
        <w:rPr>
          <w:rFonts w:ascii="Arial TUR" w:hAnsi="Arial TUR" w:cs="David" w:hint="cs"/>
          <w:b/>
          <w:bCs/>
          <w:color w:val="000080"/>
          <w:sz w:val="28"/>
          <w:szCs w:val="32"/>
          <w:rtl/>
        </w:rPr>
        <w:t>נתניהו ואח' נ' אולמרט</w:t>
      </w:r>
    </w:p>
    <w:p w:rsidR="00986C24" w:rsidRDefault="00986C24" w:rsidP="00B6570B">
      <w:pPr>
        <w:pStyle w:val="Ruller40"/>
        <w:tabs>
          <w:tab w:val="clear" w:pos="800"/>
          <w:tab w:val="left" w:pos="90"/>
        </w:tabs>
        <w:rPr>
          <w:rtl/>
        </w:rPr>
      </w:pPr>
    </w:p>
    <w:p w:rsidR="00BB7A4A" w:rsidRDefault="00926682" w:rsidP="00CE193D">
      <w:pPr>
        <w:pStyle w:val="Ruller40"/>
        <w:rPr>
          <w:rtl/>
        </w:rPr>
      </w:pPr>
      <w:r>
        <w:rPr>
          <w:rtl/>
        </w:rPr>
        <w:tab/>
      </w:r>
      <w:r w:rsidR="00CE193D">
        <w:rPr>
          <w:rFonts w:hint="cs"/>
          <w:rtl/>
        </w:rPr>
        <w:t xml:space="preserve">בית משפט השלום תל-אביב </w:t>
      </w:r>
      <w:r w:rsidR="00CE193D">
        <w:rPr>
          <w:rtl/>
        </w:rPr>
        <w:t>–</w:t>
      </w:r>
      <w:r w:rsidR="00CE193D">
        <w:rPr>
          <w:rFonts w:hint="cs"/>
          <w:rtl/>
        </w:rPr>
        <w:t xml:space="preserve"> יפו (סגן הנשיא </w:t>
      </w:r>
      <w:r w:rsidR="00CE193D" w:rsidRPr="00CE193D">
        <w:rPr>
          <w:rFonts w:ascii="Century" w:hAnsi="Century" w:cs="Miriam" w:hint="cs"/>
          <w:b/>
          <w:spacing w:val="0"/>
          <w:szCs w:val="24"/>
          <w:rtl/>
        </w:rPr>
        <w:t>עמית יריב</w:t>
      </w:r>
      <w:r w:rsidR="00CE193D">
        <w:rPr>
          <w:rFonts w:hint="cs"/>
          <w:rtl/>
        </w:rPr>
        <w:t xml:space="preserve">) </w:t>
      </w:r>
      <w:r w:rsidR="00BB7A4A">
        <w:rPr>
          <w:rFonts w:hint="cs"/>
          <w:rtl/>
        </w:rPr>
        <w:t>קיבל היום תביעת לשון הרע שהגישו מר בנימין נתניהו, גב' שרה נתניהו ומר יאיר נתניהו נגד מר אהוד אולמרט, וחייב את מר אולמרט לפצות את בני משפחת נתניהו בסך של 62,500 ₪ וכן שכר טרחת עו"ד בסך 25,000 ₪ והוצאות בסך 10,000 ₪.</w:t>
      </w:r>
    </w:p>
    <w:p w:rsidR="000A3DA5" w:rsidRDefault="005021CB" w:rsidP="00BB7A4A">
      <w:pPr>
        <w:pStyle w:val="Ruller40"/>
        <w:rPr>
          <w:rtl/>
        </w:rPr>
      </w:pPr>
      <w:r>
        <w:rPr>
          <w:rtl/>
        </w:rPr>
        <w:tab/>
      </w:r>
    </w:p>
    <w:p w:rsidR="005021CB" w:rsidRDefault="000A3DA5" w:rsidP="00BB7A4A">
      <w:pPr>
        <w:pStyle w:val="Ruller40"/>
        <w:rPr>
          <w:rtl/>
        </w:rPr>
      </w:pPr>
      <w:r>
        <w:rPr>
          <w:rtl/>
        </w:rPr>
        <w:tab/>
      </w:r>
      <w:r w:rsidR="005021CB">
        <w:rPr>
          <w:rFonts w:hint="cs"/>
          <w:rtl/>
        </w:rPr>
        <w:t xml:space="preserve">בני משפחת נתניהו הגישו נגד מר אולמרט תביעה לפי חוק איסור לשון הרע, תשכ"ז </w:t>
      </w:r>
      <w:r w:rsidR="005021CB">
        <w:rPr>
          <w:rtl/>
        </w:rPr>
        <w:t>–</w:t>
      </w:r>
      <w:r w:rsidR="005021CB">
        <w:rPr>
          <w:rFonts w:hint="cs"/>
          <w:rtl/>
        </w:rPr>
        <w:t xml:space="preserve"> 1967, לאחר שבראיון לאתר "דמוקרט </w:t>
      </w:r>
      <w:proofErr w:type="spellStart"/>
      <w:r w:rsidR="005021CB">
        <w:rPr>
          <w:rFonts w:hint="cs"/>
          <w:rtl/>
        </w:rPr>
        <w:t>טי.וי</w:t>
      </w:r>
      <w:proofErr w:type="spellEnd"/>
      <w:r w:rsidR="005021CB">
        <w:rPr>
          <w:rFonts w:hint="cs"/>
          <w:rtl/>
        </w:rPr>
        <w:t>" ייחס להם מחלת נפש שאינה בת-שיקום</w:t>
      </w:r>
      <w:r w:rsidR="00BB7A4A">
        <w:rPr>
          <w:rFonts w:hint="cs"/>
          <w:rtl/>
        </w:rPr>
        <w:t>, ולאחר שבראיון בתוכנית הטלוויזיה "אופירה וברקוביץ'" סירב לחזור בו מן הדברים</w:t>
      </w:r>
      <w:r w:rsidR="005021CB">
        <w:rPr>
          <w:rFonts w:hint="cs"/>
          <w:rtl/>
        </w:rPr>
        <w:t>. בכתב ההגנה שהגיש מר אולמרט, הוא טען כי הדברים שאמר בריאיון היו אמת,</w:t>
      </w:r>
      <w:r w:rsidR="00BB7A4A">
        <w:rPr>
          <w:rFonts w:hint="cs"/>
          <w:rtl/>
        </w:rPr>
        <w:t xml:space="preserve"> וכי קמה לו הגנת סעיף 14 לחוק איסור לשון הרע (הגנת "אמת דיברתי"). לחלופין טען מר אולמרט בכתב הגנתו, כי הדברים שאמר היו הבעת דעה בתום-לב, המוגנת על פי סעיף 15 לחוק איסור לשון הרע.</w:t>
      </w:r>
    </w:p>
    <w:p w:rsidR="00BB7A4A" w:rsidRDefault="005021CB" w:rsidP="00826EE0">
      <w:pPr>
        <w:pStyle w:val="Ruller40"/>
        <w:rPr>
          <w:rtl/>
        </w:rPr>
      </w:pPr>
      <w:r>
        <w:rPr>
          <w:rtl/>
        </w:rPr>
        <w:tab/>
      </w:r>
      <w:r w:rsidRPr="005021CB">
        <w:rPr>
          <w:rFonts w:hint="cs"/>
          <w:rtl/>
        </w:rPr>
        <w:t>בית המשפט קבע ב</w:t>
      </w:r>
      <w:r w:rsidR="00BB7A4A">
        <w:rPr>
          <w:rFonts w:hint="cs"/>
          <w:rtl/>
        </w:rPr>
        <w:t>פסק הדין, כי הדברים שאמר מר אולמרט בראיון באתר דמוקרט-</w:t>
      </w:r>
      <w:r w:rsidR="00BB7A4A" w:rsidRPr="00BB7A4A">
        <w:rPr>
          <w:rFonts w:asciiTheme="majorBidi" w:hAnsiTheme="majorBidi" w:cstheme="majorBidi"/>
        </w:rPr>
        <w:t>TV</w:t>
      </w:r>
      <w:r w:rsidR="00BB7A4A">
        <w:rPr>
          <w:rFonts w:hint="cs"/>
          <w:rtl/>
        </w:rPr>
        <w:t xml:space="preserve"> עומדים בהגדרת החוק ל"לשון הרע", וכי </w:t>
      </w:r>
      <w:r w:rsidR="00BB7A4A" w:rsidRPr="00BB7A4A">
        <w:rPr>
          <w:rFonts w:hint="cs"/>
          <w:rtl/>
        </w:rPr>
        <w:t>גם אם אפשר לקוות כי ביום מן הימים, ייעלם התיוג, וההתייחסות למחלות נפש תהיה כאל התייחסות לכל מחלה אחרת, לא ניתן להתעלם מכך שבישראל של שנת 2022, התייחסות לאדם כאל "חולה נפש" עלולה "</w:t>
      </w:r>
      <w:r w:rsidR="00BB7A4A" w:rsidRPr="00BB7A4A">
        <w:rPr>
          <w:rFonts w:ascii="Miriam" w:hAnsi="Miriam" w:cs="Miriam"/>
          <w:sz w:val="24"/>
          <w:szCs w:val="24"/>
          <w:rtl/>
        </w:rPr>
        <w:t>להשפיל אדם בעיני הבריות או לעשותו מטרה לשנאה, לבוז או ללעג מצדם</w:t>
      </w:r>
      <w:r w:rsidR="00BB7A4A">
        <w:rPr>
          <w:rFonts w:hint="cs"/>
          <w:rtl/>
        </w:rPr>
        <w:t>", כדרישת החוק, ודאי כך כאשר מר אולמרט התייחס לכך ש"מחלת הנפש" הנטענת מחייבת את אשפוזם של התובעים.</w:t>
      </w:r>
      <w:r w:rsidR="00826EE0">
        <w:rPr>
          <w:rFonts w:hint="cs"/>
          <w:rtl/>
        </w:rPr>
        <w:t xml:space="preserve"> </w:t>
      </w:r>
      <w:r w:rsidR="00BB7A4A">
        <w:rPr>
          <w:rFonts w:hint="cs"/>
          <w:rtl/>
        </w:rPr>
        <w:t>עם זאת, בית המשפט קבע, כי הדברים שנאמרו בתוכנית "אופירה וברקוביץ'" אינם בבחינת לשון הרע.</w:t>
      </w:r>
    </w:p>
    <w:p w:rsidR="00BB7A4A" w:rsidRDefault="00BB7A4A" w:rsidP="00BB7A4A">
      <w:pPr>
        <w:pStyle w:val="Ruller40"/>
        <w:rPr>
          <w:rtl/>
        </w:rPr>
      </w:pPr>
      <w:r>
        <w:rPr>
          <w:rtl/>
        </w:rPr>
        <w:lastRenderedPageBreak/>
        <w:tab/>
      </w:r>
      <w:r>
        <w:rPr>
          <w:rFonts w:hint="cs"/>
          <w:rtl/>
        </w:rPr>
        <w:t xml:space="preserve">בית המשפט קבע כי מר אולמרט לא עמד בנטל המוטל עליו להוכיח את הגנת "אמת דיברתי", מאחר שהסתפק בהצגת עדויות על התנהגותם של התובעים, מבלי להוכיח, באמצעות חוות דעת רפואית מתאימה, כי התנהגות מעין זו מצביעה על מחלה פסיכיאטרית. </w:t>
      </w:r>
      <w:r w:rsidRPr="00BB7A4A">
        <w:rPr>
          <w:rFonts w:hint="cs"/>
          <w:rtl/>
        </w:rPr>
        <w:t>אילו הוגשה חוות דעת שהייתה מסבירה מהם התסמינים לכל אחת מהתופעות ש</w:t>
      </w:r>
      <w:r>
        <w:rPr>
          <w:rFonts w:hint="cs"/>
          <w:rtl/>
        </w:rPr>
        <w:t>ייחס מר אולמרט לתובעים</w:t>
      </w:r>
      <w:r w:rsidRPr="00BB7A4A">
        <w:rPr>
          <w:rFonts w:hint="cs"/>
          <w:rtl/>
        </w:rPr>
        <w:t xml:space="preserve">, כיצד מתבטאת האבחנה בהתנהגות הלוקה באותה תופעה, ומה השפעתה של המחלה על מידת המסוכנות הנשקפת מן החולה </w:t>
      </w:r>
      <w:r w:rsidRPr="00BB7A4A">
        <w:rPr>
          <w:rtl/>
        </w:rPr>
        <w:t>–</w:t>
      </w:r>
      <w:r w:rsidRPr="00BB7A4A">
        <w:rPr>
          <w:rFonts w:hint="cs"/>
          <w:rtl/>
        </w:rPr>
        <w:t xml:space="preserve"> אפשר היה לבחון אם הוכחה ההתנהגות האמורה </w:t>
      </w:r>
      <w:r>
        <w:rPr>
          <w:rFonts w:hint="cs"/>
          <w:rtl/>
        </w:rPr>
        <w:t>ואם היא משקפת מחלה פסיכיאטרית. משלא הונחה תשתית רפואית מתאימה, לא הוכח יסוד האמת בפרסום.</w:t>
      </w:r>
    </w:p>
    <w:p w:rsidR="000A3DA5" w:rsidRDefault="000A3DA5" w:rsidP="00BB7A4A">
      <w:pPr>
        <w:pStyle w:val="Ruller40"/>
        <w:rPr>
          <w:rtl/>
        </w:rPr>
      </w:pPr>
    </w:p>
    <w:p w:rsidR="007E0B38" w:rsidRDefault="00826EE0" w:rsidP="007E0B38">
      <w:pPr>
        <w:pStyle w:val="Ruller40"/>
        <w:rPr>
          <w:rtl/>
        </w:rPr>
      </w:pPr>
      <w:r>
        <w:rPr>
          <w:rtl/>
        </w:rPr>
        <w:tab/>
      </w:r>
      <w:r w:rsidR="007E0B38">
        <w:rPr>
          <w:rFonts w:hint="cs"/>
          <w:rtl/>
        </w:rPr>
        <w:t xml:space="preserve">בית המשפט דחה גם את טענתו של מר אולמרט, כי הדברים שאמר הם "הבעת דעה בתום לב", המוגנים מכוח סעיף 15 לחוק איסור לשון הרע. בית המשפט קבע, כי </w:t>
      </w:r>
      <w:r w:rsidR="007E0B38" w:rsidRPr="007E0B38">
        <w:rPr>
          <w:rFonts w:hint="cs"/>
          <w:rtl/>
        </w:rPr>
        <w:t xml:space="preserve">ככל שאופי הביטוי הוא אמורפי יותר, ונוטה יותר לביטוי העממי של ייחוס מחלה פסיכיאטרית, נכון </w:t>
      </w:r>
      <w:r w:rsidR="007E0B38">
        <w:rPr>
          <w:rFonts w:hint="cs"/>
          <w:rtl/>
        </w:rPr>
        <w:t xml:space="preserve">יהיה </w:t>
      </w:r>
      <w:r w:rsidR="007E0B38" w:rsidRPr="007E0B38">
        <w:rPr>
          <w:rFonts w:hint="cs"/>
          <w:rtl/>
        </w:rPr>
        <w:t xml:space="preserve">לראות בו הבעת דעה; ככל שהביטוי הוא מדויק וקליני יותר </w:t>
      </w:r>
      <w:r w:rsidR="007E0B38" w:rsidRPr="007E0B38">
        <w:rPr>
          <w:rtl/>
        </w:rPr>
        <w:t>–</w:t>
      </w:r>
      <w:r w:rsidR="007E0B38" w:rsidRPr="007E0B38">
        <w:rPr>
          <w:rFonts w:hint="cs"/>
          <w:rtl/>
        </w:rPr>
        <w:t xml:space="preserve"> יש לראות בו קביעת עובדה.</w:t>
      </w:r>
    </w:p>
    <w:p w:rsidR="000A3DA5" w:rsidRDefault="007E0B38" w:rsidP="007E0B38">
      <w:pPr>
        <w:pStyle w:val="Ruller40"/>
        <w:rPr>
          <w:rtl/>
        </w:rPr>
      </w:pPr>
      <w:r>
        <w:rPr>
          <w:rtl/>
        </w:rPr>
        <w:tab/>
      </w:r>
    </w:p>
    <w:p w:rsidR="000A3DA5" w:rsidRDefault="000A3DA5" w:rsidP="007E0B38">
      <w:pPr>
        <w:pStyle w:val="Ruller40"/>
        <w:rPr>
          <w:rtl/>
        </w:rPr>
      </w:pPr>
    </w:p>
    <w:p w:rsidR="000A3DA5" w:rsidRDefault="000A3DA5" w:rsidP="007E0B38">
      <w:pPr>
        <w:pStyle w:val="Ruller40"/>
        <w:rPr>
          <w:rtl/>
        </w:rPr>
      </w:pPr>
    </w:p>
    <w:p w:rsidR="00CA5044" w:rsidRDefault="00CA5044" w:rsidP="007E0B38">
      <w:pPr>
        <w:pStyle w:val="Ruller40"/>
        <w:rPr>
          <w:rtl/>
        </w:rPr>
      </w:pPr>
    </w:p>
    <w:p w:rsidR="00BB7A4A" w:rsidRPr="00BB7A4A" w:rsidRDefault="000A3DA5" w:rsidP="000A3DA5">
      <w:pPr>
        <w:pStyle w:val="Ruller40"/>
      </w:pPr>
      <w:r>
        <w:rPr>
          <w:rtl/>
        </w:rPr>
        <w:tab/>
      </w:r>
      <w:r w:rsidR="007E0B38">
        <w:rPr>
          <w:rFonts w:hint="cs"/>
          <w:rtl/>
        </w:rPr>
        <w:t xml:space="preserve">בית המשפט ציין, כי דבריו של מר אולמרט </w:t>
      </w:r>
      <w:r w:rsidR="007E0B38" w:rsidRPr="00311B0A">
        <w:rPr>
          <w:rFonts w:hint="cs"/>
          <w:rtl/>
        </w:rPr>
        <w:t xml:space="preserve">לא זו בלבד שאינם מתפרשים כהבעת דעה, אלא שמר אולמרט עשה מאמץ ניכר כדי להבהיר כי אין מדובר בדעתו-הוא, אלא בעובדה מבוססת, וכי ניסוחם של הדברים מתיימר לתת להם משקל מקצועי, בדמות ההתייחסות ל"כל פסיכיאטר בעל מצפון". </w:t>
      </w:r>
      <w:r w:rsidR="00BB7A4A">
        <w:rPr>
          <w:rtl/>
        </w:rPr>
        <w:tab/>
      </w:r>
    </w:p>
    <w:p w:rsidR="00AC319F" w:rsidRPr="00BB7A4A" w:rsidRDefault="00AC319F" w:rsidP="00BB7A4A">
      <w:pPr>
        <w:pStyle w:val="Ruller40"/>
        <w:rPr>
          <w:rtl/>
        </w:rPr>
      </w:pPr>
    </w:p>
    <w:p w:rsidR="00311B0A" w:rsidRDefault="00311B0A" w:rsidP="00311B0A">
      <w:pPr>
        <w:pStyle w:val="Ruller40"/>
        <w:rPr>
          <w:rtl/>
        </w:rPr>
      </w:pPr>
      <w:r>
        <w:rPr>
          <w:rtl/>
        </w:rPr>
        <w:tab/>
      </w:r>
      <w:r>
        <w:rPr>
          <w:rFonts w:hint="cs"/>
          <w:rtl/>
        </w:rPr>
        <w:t xml:space="preserve">בשאלת הפיצוי, קבע בית המשפט כי אין מקום לקבוע כפל פיצוי, </w:t>
      </w:r>
      <w:r w:rsidRPr="00311B0A">
        <w:rPr>
          <w:rFonts w:hint="cs"/>
          <w:rtl/>
        </w:rPr>
        <w:t>ש</w:t>
      </w:r>
      <w:r>
        <w:rPr>
          <w:rFonts w:hint="cs"/>
          <w:rtl/>
        </w:rPr>
        <w:t xml:space="preserve">כן </w:t>
      </w:r>
      <w:r w:rsidRPr="00311B0A">
        <w:rPr>
          <w:rFonts w:hint="cs"/>
          <w:rtl/>
        </w:rPr>
        <w:t>אין לראות בניסיון של דמות ציבורית להשפיע על תוצאה פוליטית של הליך דמוקרטי "כוונה לפגו</w:t>
      </w:r>
      <w:r>
        <w:rPr>
          <w:rFonts w:hint="cs"/>
          <w:rtl/>
        </w:rPr>
        <w:t xml:space="preserve">ע" במובן המצדיק </w:t>
      </w:r>
      <w:r>
        <w:rPr>
          <w:rFonts w:hint="cs"/>
          <w:rtl/>
        </w:rPr>
        <w:lastRenderedPageBreak/>
        <w:t xml:space="preserve">פסיקת כפל פיצוי, ולמעשה, </w:t>
      </w:r>
      <w:r w:rsidRPr="00311B0A">
        <w:rPr>
          <w:rFonts w:hint="cs"/>
          <w:rtl/>
        </w:rPr>
        <w:t>הקשרו הפוליטי של הפרסום יש בו כדי להצדיק התייחסות מקלה יותר בעת פסיקת הפיצוי, וזאת לאור החשיבות הרבה שיש לחופש הביטוי בהקשר הפוליטי</w:t>
      </w:r>
      <w:r>
        <w:rPr>
          <w:rFonts w:hint="cs"/>
          <w:rtl/>
        </w:rPr>
        <w:t>.</w:t>
      </w:r>
    </w:p>
    <w:p w:rsidR="000A3DA5" w:rsidRDefault="000A3DA5" w:rsidP="00311B0A">
      <w:pPr>
        <w:pStyle w:val="Ruller40"/>
        <w:rPr>
          <w:rtl/>
        </w:rPr>
      </w:pPr>
    </w:p>
    <w:p w:rsidR="000A3DA5" w:rsidRDefault="00311B0A" w:rsidP="000A3DA5">
      <w:pPr>
        <w:pStyle w:val="Ruller40"/>
        <w:rPr>
          <w:rtl/>
        </w:rPr>
      </w:pPr>
      <w:r>
        <w:rPr>
          <w:rtl/>
        </w:rPr>
        <w:tab/>
      </w:r>
      <w:r>
        <w:rPr>
          <w:rFonts w:hint="cs"/>
          <w:rtl/>
        </w:rPr>
        <w:t xml:space="preserve">בית המשפט קבע, כי יש לקבוע את הפיצוי לתובעים בהתאם למעמדם, והבחין בין שלושת התובעים בכל הנוגע למעמדם הציבורי. נקבע, כי </w:t>
      </w:r>
      <w:r w:rsidRPr="00311B0A">
        <w:rPr>
          <w:rFonts w:hint="cs"/>
          <w:rtl/>
        </w:rPr>
        <w:t xml:space="preserve">ילדיו של איש ציבור שנפגעו מלשון הרע </w:t>
      </w:r>
      <w:r>
        <w:rPr>
          <w:rFonts w:hint="cs"/>
          <w:rtl/>
        </w:rPr>
        <w:t xml:space="preserve">זכאים </w:t>
      </w:r>
      <w:r w:rsidRPr="00311B0A">
        <w:rPr>
          <w:rFonts w:hint="cs"/>
          <w:rtl/>
        </w:rPr>
        <w:t xml:space="preserve">לפיצוי הגבוה </w:t>
      </w:r>
      <w:r>
        <w:rPr>
          <w:rFonts w:hint="cs"/>
          <w:rtl/>
        </w:rPr>
        <w:t xml:space="preserve">ביותר, </w:t>
      </w:r>
      <w:r w:rsidRPr="00311B0A">
        <w:rPr>
          <w:rFonts w:hint="cs"/>
          <w:rtl/>
        </w:rPr>
        <w:t xml:space="preserve">בן או בת הזוג זכאי לפיצוי השני בגובהו ואיש הציבור עצמו </w:t>
      </w:r>
      <w:r w:rsidRPr="00311B0A">
        <w:rPr>
          <w:rtl/>
        </w:rPr>
        <w:t>–</w:t>
      </w:r>
      <w:r w:rsidRPr="00311B0A">
        <w:rPr>
          <w:rFonts w:hint="cs"/>
          <w:rtl/>
        </w:rPr>
        <w:t xml:space="preserve"> לפיצוי הנמוך ביותר</w:t>
      </w:r>
      <w:r>
        <w:rPr>
          <w:rFonts w:hint="cs"/>
          <w:rtl/>
        </w:rPr>
        <w:t>.</w:t>
      </w:r>
    </w:p>
    <w:p w:rsidR="000A3DA5" w:rsidRDefault="000A3DA5" w:rsidP="000A3DA5">
      <w:pPr>
        <w:pStyle w:val="Ruller40"/>
        <w:rPr>
          <w:rtl/>
        </w:rPr>
      </w:pPr>
    </w:p>
    <w:p w:rsidR="00311B0A" w:rsidRDefault="00311B0A" w:rsidP="007F2D93">
      <w:pPr>
        <w:pStyle w:val="Ruller40"/>
        <w:rPr>
          <w:rtl/>
        </w:rPr>
      </w:pPr>
      <w:r>
        <w:rPr>
          <w:rFonts w:hint="cs"/>
          <w:rtl/>
        </w:rPr>
        <w:t xml:space="preserve">עם זאת, ומאחר שהוכח כי יאיר נתניהו פרסם במספר הזדמנויות פרסומים המייחסים לאנשי ציבור שונים מחלת נפש, קבע </w:t>
      </w:r>
      <w:r w:rsidR="007F2D93">
        <w:rPr>
          <w:rFonts w:hint="cs"/>
          <w:rtl/>
        </w:rPr>
        <w:t xml:space="preserve">בית המשפט </w:t>
      </w:r>
      <w:r>
        <w:rPr>
          <w:rFonts w:hint="cs"/>
          <w:rtl/>
        </w:rPr>
        <w:t>כי יש להפחית את הפיצוי שיהיה זכאי לו.</w:t>
      </w:r>
    </w:p>
    <w:p w:rsidR="000A3DA5" w:rsidRDefault="000A3DA5" w:rsidP="000A3DA5">
      <w:pPr>
        <w:pStyle w:val="Ruller40"/>
        <w:rPr>
          <w:rtl/>
        </w:rPr>
      </w:pPr>
    </w:p>
    <w:p w:rsidR="00311B0A" w:rsidRPr="00311B0A" w:rsidRDefault="00311B0A" w:rsidP="000A3DA5">
      <w:pPr>
        <w:pStyle w:val="Ruller40"/>
        <w:rPr>
          <w:rtl/>
        </w:rPr>
      </w:pPr>
      <w:r>
        <w:rPr>
          <w:rtl/>
        </w:rPr>
        <w:tab/>
      </w:r>
      <w:r>
        <w:rPr>
          <w:rFonts w:hint="cs"/>
          <w:rtl/>
        </w:rPr>
        <w:t>על כן, נפסק כי מר אולמרט יפצה את מר בנימין נתניהו בסך של 20,000 ₪, את גב' שרה נתניהו בסך של 35,000 ₪ ואת מר יאיר נתניהו בסך של 7,500 ₪</w:t>
      </w:r>
      <w:r w:rsidR="00DE4D2E">
        <w:rPr>
          <w:rFonts w:hint="cs"/>
          <w:rtl/>
        </w:rPr>
        <w:t>.</w:t>
      </w:r>
      <w:r w:rsidR="000A3DA5">
        <w:rPr>
          <w:rFonts w:hint="cs"/>
          <w:rtl/>
        </w:rPr>
        <w:t xml:space="preserve"> </w:t>
      </w:r>
      <w:r w:rsidR="00DE4D2E">
        <w:rPr>
          <w:rFonts w:hint="cs"/>
          <w:rtl/>
        </w:rPr>
        <w:t>עוד חויב מר אולמרט בהוצאות ההליך בסך 10,000 ₪ ובשכר טרחת עו"ד בסך 25,000 ₪, שנפסקו, בין היתר, בהתחשב באופן שבו ניהל את ההליך המשפטי.</w:t>
      </w:r>
      <w:r w:rsidRPr="00311B0A">
        <w:rPr>
          <w:rFonts w:hint="cs"/>
          <w:rtl/>
        </w:rPr>
        <w:t xml:space="preserve"> </w:t>
      </w:r>
    </w:p>
    <w:p w:rsidR="00BB7A4A" w:rsidRPr="00237B14" w:rsidRDefault="00BB7A4A" w:rsidP="00BB7A4A">
      <w:pPr>
        <w:pStyle w:val="Ruller40"/>
        <w:rPr>
          <w:rtl/>
        </w:rPr>
      </w:pPr>
    </w:p>
    <w:sectPr w:rsidR="00BB7A4A" w:rsidRPr="00237B14" w:rsidSect="00B6570B">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91" w:rsidRDefault="00564C91" w:rsidP="00971B8F">
      <w:pPr>
        <w:spacing w:after="0" w:line="240" w:lineRule="auto"/>
      </w:pPr>
      <w:r>
        <w:separator/>
      </w:r>
    </w:p>
  </w:endnote>
  <w:endnote w:type="continuationSeparator" w:id="0">
    <w:p w:rsidR="00564C91" w:rsidRDefault="00564C91" w:rsidP="0097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altName w:val="Arial"/>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91" w:rsidRDefault="00564C91" w:rsidP="00971B8F">
      <w:pPr>
        <w:spacing w:after="0" w:line="240" w:lineRule="auto"/>
      </w:pPr>
      <w:r>
        <w:separator/>
      </w:r>
    </w:p>
  </w:footnote>
  <w:footnote w:type="continuationSeparator" w:id="0">
    <w:p w:rsidR="00564C91" w:rsidRDefault="00564C91" w:rsidP="0097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8F" w:rsidRDefault="00971B8F" w:rsidP="00971B8F">
    <w:pPr>
      <w:pStyle w:val="a3"/>
      <w:jc w:val="center"/>
    </w:pPr>
    <w:r w:rsidRPr="0012560F">
      <w:rPr>
        <w:noProof/>
      </w:rPr>
      <w:drawing>
        <wp:inline distT="0" distB="0" distL="0" distR="0" wp14:anchorId="6B8092DF" wp14:editId="3E8F6E05">
          <wp:extent cx="526415" cy="621665"/>
          <wp:effectExtent l="0" t="0" r="6985" b="6985"/>
          <wp:docPr id="1" name="תמונה 1"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01B"/>
    <w:multiLevelType w:val="hybridMultilevel"/>
    <w:tmpl w:val="26F6000E"/>
    <w:lvl w:ilvl="0" w:tplc="70F6166E">
      <w:start w:val="1"/>
      <w:numFmt w:val="decimal"/>
      <w:pStyle w:val="Ruller4"/>
      <w:lvlText w:val="%1."/>
      <w:lvlJc w:val="left"/>
      <w:pPr>
        <w:tabs>
          <w:tab w:val="num" w:pos="907"/>
        </w:tabs>
        <w:ind w:left="0" w:firstLine="0"/>
      </w:pPr>
      <w:rPr>
        <w:rFonts w:hint="default"/>
        <w:lang w:val="en-US"/>
      </w:rPr>
    </w:lvl>
    <w:lvl w:ilvl="1" w:tplc="16B455C2">
      <w:start w:val="1"/>
      <w:numFmt w:val="lowerLetter"/>
      <w:lvlText w:val="%2."/>
      <w:lvlJc w:val="left"/>
      <w:pPr>
        <w:tabs>
          <w:tab w:val="num" w:pos="1440"/>
        </w:tabs>
        <w:ind w:left="1440" w:hanging="360"/>
      </w:pPr>
    </w:lvl>
    <w:lvl w:ilvl="2" w:tplc="678AA0DE" w:tentative="1">
      <w:start w:val="1"/>
      <w:numFmt w:val="lowerRoman"/>
      <w:lvlText w:val="%3."/>
      <w:lvlJc w:val="right"/>
      <w:pPr>
        <w:tabs>
          <w:tab w:val="num" w:pos="2160"/>
        </w:tabs>
        <w:ind w:left="2160" w:hanging="180"/>
      </w:pPr>
    </w:lvl>
    <w:lvl w:ilvl="3" w:tplc="CD327474" w:tentative="1">
      <w:start w:val="1"/>
      <w:numFmt w:val="decimal"/>
      <w:lvlText w:val="%4."/>
      <w:lvlJc w:val="left"/>
      <w:pPr>
        <w:tabs>
          <w:tab w:val="num" w:pos="2880"/>
        </w:tabs>
        <w:ind w:left="2880" w:hanging="360"/>
      </w:pPr>
    </w:lvl>
    <w:lvl w:ilvl="4" w:tplc="F684B4DA" w:tentative="1">
      <w:start w:val="1"/>
      <w:numFmt w:val="lowerLetter"/>
      <w:lvlText w:val="%5."/>
      <w:lvlJc w:val="left"/>
      <w:pPr>
        <w:tabs>
          <w:tab w:val="num" w:pos="3600"/>
        </w:tabs>
        <w:ind w:left="3600" w:hanging="360"/>
      </w:pPr>
    </w:lvl>
    <w:lvl w:ilvl="5" w:tplc="C51E8EDA" w:tentative="1">
      <w:start w:val="1"/>
      <w:numFmt w:val="lowerRoman"/>
      <w:lvlText w:val="%6."/>
      <w:lvlJc w:val="right"/>
      <w:pPr>
        <w:tabs>
          <w:tab w:val="num" w:pos="4320"/>
        </w:tabs>
        <w:ind w:left="4320" w:hanging="180"/>
      </w:pPr>
    </w:lvl>
    <w:lvl w:ilvl="6" w:tplc="C14AE9DC" w:tentative="1">
      <w:start w:val="1"/>
      <w:numFmt w:val="decimal"/>
      <w:lvlText w:val="%7."/>
      <w:lvlJc w:val="left"/>
      <w:pPr>
        <w:tabs>
          <w:tab w:val="num" w:pos="5040"/>
        </w:tabs>
        <w:ind w:left="5040" w:hanging="360"/>
      </w:pPr>
    </w:lvl>
    <w:lvl w:ilvl="7" w:tplc="4C945902" w:tentative="1">
      <w:start w:val="1"/>
      <w:numFmt w:val="lowerLetter"/>
      <w:lvlText w:val="%8."/>
      <w:lvlJc w:val="left"/>
      <w:pPr>
        <w:tabs>
          <w:tab w:val="num" w:pos="5760"/>
        </w:tabs>
        <w:ind w:left="5760" w:hanging="360"/>
      </w:pPr>
    </w:lvl>
    <w:lvl w:ilvl="8" w:tplc="3F24B282" w:tentative="1">
      <w:start w:val="1"/>
      <w:numFmt w:val="lowerRoman"/>
      <w:lvlText w:val="%9."/>
      <w:lvlJc w:val="right"/>
      <w:pPr>
        <w:tabs>
          <w:tab w:val="num" w:pos="6480"/>
        </w:tabs>
        <w:ind w:left="6480" w:hanging="180"/>
      </w:pPr>
    </w:lvl>
  </w:abstractNum>
  <w:abstractNum w:abstractNumId="1" w15:restartNumberingAfterBreak="0">
    <w:nsid w:val="09CF09E6"/>
    <w:multiLevelType w:val="hybridMultilevel"/>
    <w:tmpl w:val="CC4C2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180"/>
    <w:multiLevelType w:val="hybridMultilevel"/>
    <w:tmpl w:val="F2F43AC2"/>
    <w:lvl w:ilvl="0" w:tplc="31028C62">
      <w:start w:val="1"/>
      <w:numFmt w:val="decimal"/>
      <w:lvlText w:val="%1."/>
      <w:lvlJc w:val="left"/>
      <w:pPr>
        <w:ind w:left="720" w:hanging="360"/>
      </w:pPr>
    </w:lvl>
    <w:lvl w:ilvl="1" w:tplc="264A60D2">
      <w:start w:val="1"/>
      <w:numFmt w:val="hebrew1"/>
      <w:lvlText w:val="%2."/>
      <w:lvlJc w:val="center"/>
      <w:pPr>
        <w:ind w:left="1440" w:hanging="360"/>
      </w:pPr>
    </w:lvl>
    <w:lvl w:ilvl="2" w:tplc="EC866C48">
      <w:start w:val="1"/>
      <w:numFmt w:val="lowerRoman"/>
      <w:lvlText w:val="%3."/>
      <w:lvlJc w:val="right"/>
      <w:pPr>
        <w:ind w:left="2160" w:hanging="180"/>
      </w:pPr>
    </w:lvl>
    <w:lvl w:ilvl="3" w:tplc="842297FE" w:tentative="1">
      <w:start w:val="1"/>
      <w:numFmt w:val="decimal"/>
      <w:lvlText w:val="%4."/>
      <w:lvlJc w:val="left"/>
      <w:pPr>
        <w:ind w:left="2880" w:hanging="360"/>
      </w:pPr>
    </w:lvl>
    <w:lvl w:ilvl="4" w:tplc="83B2BB3A" w:tentative="1">
      <w:start w:val="1"/>
      <w:numFmt w:val="lowerLetter"/>
      <w:lvlText w:val="%5."/>
      <w:lvlJc w:val="left"/>
      <w:pPr>
        <w:ind w:left="3600" w:hanging="360"/>
      </w:pPr>
    </w:lvl>
    <w:lvl w:ilvl="5" w:tplc="220EEF74" w:tentative="1">
      <w:start w:val="1"/>
      <w:numFmt w:val="lowerRoman"/>
      <w:lvlText w:val="%6."/>
      <w:lvlJc w:val="right"/>
      <w:pPr>
        <w:ind w:left="4320" w:hanging="180"/>
      </w:pPr>
    </w:lvl>
    <w:lvl w:ilvl="6" w:tplc="ECDC3472" w:tentative="1">
      <w:start w:val="1"/>
      <w:numFmt w:val="decimal"/>
      <w:lvlText w:val="%7."/>
      <w:lvlJc w:val="left"/>
      <w:pPr>
        <w:ind w:left="5040" w:hanging="360"/>
      </w:pPr>
    </w:lvl>
    <w:lvl w:ilvl="7" w:tplc="787214B4" w:tentative="1">
      <w:start w:val="1"/>
      <w:numFmt w:val="lowerLetter"/>
      <w:lvlText w:val="%8."/>
      <w:lvlJc w:val="left"/>
      <w:pPr>
        <w:ind w:left="5760" w:hanging="360"/>
      </w:pPr>
    </w:lvl>
    <w:lvl w:ilvl="8" w:tplc="8D94D90C" w:tentative="1">
      <w:start w:val="1"/>
      <w:numFmt w:val="lowerRoman"/>
      <w:lvlText w:val="%9."/>
      <w:lvlJc w:val="right"/>
      <w:pPr>
        <w:ind w:left="6480" w:hanging="180"/>
      </w:pPr>
    </w:lvl>
  </w:abstractNum>
  <w:abstractNum w:abstractNumId="3" w15:restartNumberingAfterBreak="0">
    <w:nsid w:val="4A4C7E30"/>
    <w:multiLevelType w:val="hybridMultilevel"/>
    <w:tmpl w:val="1A68839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A7"/>
    <w:rsid w:val="00010BA3"/>
    <w:rsid w:val="000326EB"/>
    <w:rsid w:val="0003390C"/>
    <w:rsid w:val="000A3DA5"/>
    <w:rsid w:val="000E4443"/>
    <w:rsid w:val="000E6E90"/>
    <w:rsid w:val="001116DC"/>
    <w:rsid w:val="00130C83"/>
    <w:rsid w:val="00150317"/>
    <w:rsid w:val="00193708"/>
    <w:rsid w:val="001A61B7"/>
    <w:rsid w:val="001E5150"/>
    <w:rsid w:val="002376B6"/>
    <w:rsid w:val="00237B14"/>
    <w:rsid w:val="0025076A"/>
    <w:rsid w:val="002629E6"/>
    <w:rsid w:val="00292A19"/>
    <w:rsid w:val="002B4EEF"/>
    <w:rsid w:val="002D343F"/>
    <w:rsid w:val="00311B0A"/>
    <w:rsid w:val="0033375B"/>
    <w:rsid w:val="00333A0A"/>
    <w:rsid w:val="0034783B"/>
    <w:rsid w:val="003A7393"/>
    <w:rsid w:val="003B4B1A"/>
    <w:rsid w:val="003D7462"/>
    <w:rsid w:val="004374F9"/>
    <w:rsid w:val="0048409C"/>
    <w:rsid w:val="004C1E31"/>
    <w:rsid w:val="004F1F3D"/>
    <w:rsid w:val="005021CB"/>
    <w:rsid w:val="00523CFA"/>
    <w:rsid w:val="00524151"/>
    <w:rsid w:val="00541611"/>
    <w:rsid w:val="00564C91"/>
    <w:rsid w:val="00584AE9"/>
    <w:rsid w:val="005857F9"/>
    <w:rsid w:val="005D1D79"/>
    <w:rsid w:val="005D2DE8"/>
    <w:rsid w:val="00626774"/>
    <w:rsid w:val="006274A3"/>
    <w:rsid w:val="006E689A"/>
    <w:rsid w:val="00720BCE"/>
    <w:rsid w:val="007E0B38"/>
    <w:rsid w:val="007F007E"/>
    <w:rsid w:val="007F2D93"/>
    <w:rsid w:val="00803497"/>
    <w:rsid w:val="00823EA2"/>
    <w:rsid w:val="00826EE0"/>
    <w:rsid w:val="00841F95"/>
    <w:rsid w:val="008579E8"/>
    <w:rsid w:val="008736E1"/>
    <w:rsid w:val="008922F5"/>
    <w:rsid w:val="0089574C"/>
    <w:rsid w:val="008C28D5"/>
    <w:rsid w:val="008D3FDF"/>
    <w:rsid w:val="00926682"/>
    <w:rsid w:val="009516B0"/>
    <w:rsid w:val="00971B8F"/>
    <w:rsid w:val="00986C24"/>
    <w:rsid w:val="0099748A"/>
    <w:rsid w:val="00A1372D"/>
    <w:rsid w:val="00A30FCD"/>
    <w:rsid w:val="00A72EA7"/>
    <w:rsid w:val="00A97A27"/>
    <w:rsid w:val="00AA5A83"/>
    <w:rsid w:val="00AC319F"/>
    <w:rsid w:val="00AD3330"/>
    <w:rsid w:val="00B6570B"/>
    <w:rsid w:val="00BA7D08"/>
    <w:rsid w:val="00BB7A4A"/>
    <w:rsid w:val="00BD4DA6"/>
    <w:rsid w:val="00BF773C"/>
    <w:rsid w:val="00C8461B"/>
    <w:rsid w:val="00C853A9"/>
    <w:rsid w:val="00C9205A"/>
    <w:rsid w:val="00CA5044"/>
    <w:rsid w:val="00CC57CC"/>
    <w:rsid w:val="00CE193D"/>
    <w:rsid w:val="00CF3F10"/>
    <w:rsid w:val="00D123D9"/>
    <w:rsid w:val="00D45DAC"/>
    <w:rsid w:val="00D86183"/>
    <w:rsid w:val="00DC5C3B"/>
    <w:rsid w:val="00DE4D2E"/>
    <w:rsid w:val="00DF12A2"/>
    <w:rsid w:val="00E0581F"/>
    <w:rsid w:val="00E113B1"/>
    <w:rsid w:val="00E23F09"/>
    <w:rsid w:val="00E7185C"/>
    <w:rsid w:val="00EA0988"/>
    <w:rsid w:val="00ED2B27"/>
    <w:rsid w:val="00F60EE1"/>
    <w:rsid w:val="00F93150"/>
    <w:rsid w:val="00FD04FC"/>
    <w:rsid w:val="00FF7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5BF0-E821-4957-B4C6-8F9AA27E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0">
    <w:name w:val="Ruller4"/>
    <w:basedOn w:val="a"/>
    <w:rsid w:val="00A72EA7"/>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paragraph" w:styleId="a3">
    <w:name w:val="header"/>
    <w:basedOn w:val="a"/>
    <w:link w:val="a4"/>
    <w:uiPriority w:val="99"/>
    <w:unhideWhenUsed/>
    <w:rsid w:val="00971B8F"/>
    <w:pPr>
      <w:tabs>
        <w:tab w:val="center" w:pos="4153"/>
        <w:tab w:val="right" w:pos="8306"/>
      </w:tabs>
      <w:spacing w:after="0" w:line="240" w:lineRule="auto"/>
    </w:pPr>
  </w:style>
  <w:style w:type="character" w:customStyle="1" w:styleId="a4">
    <w:name w:val="כותרת עליונה תו"/>
    <w:basedOn w:val="a0"/>
    <w:link w:val="a3"/>
    <w:uiPriority w:val="99"/>
    <w:rsid w:val="00971B8F"/>
  </w:style>
  <w:style w:type="paragraph" w:styleId="a5">
    <w:name w:val="footer"/>
    <w:basedOn w:val="a"/>
    <w:link w:val="a6"/>
    <w:uiPriority w:val="99"/>
    <w:unhideWhenUsed/>
    <w:rsid w:val="00971B8F"/>
    <w:pPr>
      <w:tabs>
        <w:tab w:val="center" w:pos="4153"/>
        <w:tab w:val="right" w:pos="8306"/>
      </w:tabs>
      <w:spacing w:after="0" w:line="240" w:lineRule="auto"/>
    </w:pPr>
  </w:style>
  <w:style w:type="character" w:customStyle="1" w:styleId="a6">
    <w:name w:val="כותרת תחתונה תו"/>
    <w:basedOn w:val="a0"/>
    <w:link w:val="a5"/>
    <w:uiPriority w:val="99"/>
    <w:rsid w:val="00971B8F"/>
  </w:style>
  <w:style w:type="paragraph" w:styleId="a7">
    <w:name w:val="Balloon Text"/>
    <w:basedOn w:val="a"/>
    <w:link w:val="a8"/>
    <w:uiPriority w:val="99"/>
    <w:semiHidden/>
    <w:unhideWhenUsed/>
    <w:rsid w:val="001116D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1116DC"/>
    <w:rPr>
      <w:rFonts w:ascii="Tahoma" w:hAnsi="Tahoma" w:cs="Tahoma"/>
      <w:sz w:val="18"/>
      <w:szCs w:val="18"/>
    </w:rPr>
  </w:style>
  <w:style w:type="paragraph" w:customStyle="1" w:styleId="big-header">
    <w:name w:val="big-header"/>
    <w:basedOn w:val="a"/>
    <w:rsid w:val="00237B1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Ruller4">
    <w:name w:val="Ruller 4 ממוספר"/>
    <w:basedOn w:val="Ruller40"/>
    <w:next w:val="Ruller40"/>
    <w:rsid w:val="0089574C"/>
    <w:pPr>
      <w:numPr>
        <w:numId w:val="2"/>
      </w:numPr>
    </w:pPr>
    <w:rPr>
      <w:rFonts w:ascii="Garamond" w:hAnsi="Garamond"/>
      <w:sz w:val="24"/>
    </w:rPr>
  </w:style>
  <w:style w:type="paragraph" w:styleId="a9">
    <w:name w:val="List Paragraph"/>
    <w:basedOn w:val="a"/>
    <w:uiPriority w:val="34"/>
    <w:qFormat/>
    <w:rsid w:val="0050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2901</Characters>
  <Application>Microsoft Office Word</Application>
  <DocSecurity>4</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הדס לרנר</cp:lastModifiedBy>
  <cp:revision>2</cp:revision>
  <cp:lastPrinted>2021-01-25T16:21:00Z</cp:lastPrinted>
  <dcterms:created xsi:type="dcterms:W3CDTF">2022-11-21T07:19:00Z</dcterms:created>
  <dcterms:modified xsi:type="dcterms:W3CDTF">2022-11-21T07:19:00Z</dcterms:modified>
</cp:coreProperties>
</file>