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F78A1" w14:textId="77777777" w:rsidR="00F90E80" w:rsidRPr="00F90E80" w:rsidRDefault="00F90E80" w:rsidP="00F90E80">
      <w:pPr>
        <w:autoSpaceDE w:val="0"/>
        <w:autoSpaceDN w:val="0"/>
        <w:adjustRightInd w:val="0"/>
        <w:spacing w:before="240" w:after="60" w:line="204" w:lineRule="atLeast"/>
        <w:ind w:left="0" w:firstLine="340"/>
        <w:contextualSpacing w:val="0"/>
        <w:jc w:val="center"/>
        <w:textAlignment w:val="center"/>
        <w:outlineLvl w:val="0"/>
        <w:rPr>
          <w:rFonts w:eastAsia="Times New Roman"/>
          <w:b/>
          <w:bCs/>
          <w:color w:val="000000"/>
          <w:spacing w:val="1"/>
          <w:kern w:val="32"/>
          <w:sz w:val="32"/>
          <w:szCs w:val="32"/>
          <w:u w:val="single"/>
          <w:lang w:eastAsia="ja-JP"/>
        </w:rPr>
      </w:pPr>
      <w:bookmarkStart w:id="0" w:name="_Toc503130993"/>
      <w:r w:rsidRPr="00F90E80">
        <w:rPr>
          <w:rFonts w:eastAsia="Times New Roman"/>
          <w:b/>
          <w:bCs/>
          <w:color w:val="000000"/>
          <w:spacing w:val="1"/>
          <w:kern w:val="32"/>
          <w:sz w:val="32"/>
          <w:szCs w:val="32"/>
          <w:u w:val="single"/>
          <w:rtl/>
          <w:lang w:eastAsia="ja-JP"/>
        </w:rPr>
        <w:t>תזכיר חוק</w:t>
      </w:r>
      <w:bookmarkEnd w:id="0"/>
    </w:p>
    <w:p w14:paraId="2EC395B3" w14:textId="77777777" w:rsidR="00F90E80" w:rsidRPr="00F90E80" w:rsidRDefault="00F90E80" w:rsidP="00F90E80">
      <w:pPr>
        <w:autoSpaceDE w:val="0"/>
        <w:autoSpaceDN w:val="0"/>
        <w:adjustRightInd w:val="0"/>
        <w:spacing w:before="102" w:line="204" w:lineRule="atLeast"/>
        <w:ind w:left="0" w:firstLine="340"/>
        <w:contextualSpacing w:val="0"/>
        <w:textAlignment w:val="center"/>
        <w:rPr>
          <w:rFonts w:eastAsia="MS Mincho"/>
          <w:color w:val="000000"/>
          <w:spacing w:val="1"/>
          <w:sz w:val="17"/>
          <w:szCs w:val="17"/>
          <w:rtl/>
          <w:lang w:eastAsia="ja-JP"/>
        </w:rPr>
      </w:pPr>
    </w:p>
    <w:p w14:paraId="2052CC5F" w14:textId="77777777" w:rsidR="00F90E80" w:rsidRPr="00F90E80" w:rsidRDefault="00F90E80" w:rsidP="00F90E80">
      <w:pPr>
        <w:numPr>
          <w:ilvl w:val="0"/>
          <w:numId w:val="30"/>
        </w:numPr>
        <w:autoSpaceDE w:val="0"/>
        <w:autoSpaceDN w:val="0"/>
        <w:adjustRightInd w:val="0"/>
        <w:spacing w:before="40" w:after="120" w:line="204" w:lineRule="atLeast"/>
        <w:ind w:left="425"/>
        <w:contextualSpacing w:val="0"/>
        <w:textAlignment w:val="center"/>
        <w:outlineLvl w:val="3"/>
        <w:rPr>
          <w:b/>
          <w:bCs/>
          <w:color w:val="000000" w:themeColor="text1"/>
          <w:sz w:val="26"/>
          <w:szCs w:val="26"/>
          <w:rtl/>
        </w:rPr>
      </w:pPr>
      <w:r w:rsidRPr="00F90E80">
        <w:rPr>
          <w:b/>
          <w:bCs/>
          <w:color w:val="000000" w:themeColor="text1"/>
          <w:sz w:val="26"/>
          <w:szCs w:val="26"/>
          <w:rtl/>
        </w:rPr>
        <w:t>שם החוק המוצע</w:t>
      </w:r>
    </w:p>
    <w:p w14:paraId="237711E9" w14:textId="77777777" w:rsidR="00F90E80" w:rsidRPr="00F90E80" w:rsidRDefault="00F90E80" w:rsidP="00F90E80">
      <w:pPr>
        <w:autoSpaceDE w:val="0"/>
        <w:autoSpaceDN w:val="0"/>
        <w:adjustRightInd w:val="0"/>
        <w:spacing w:before="240" w:after="240" w:line="240" w:lineRule="auto"/>
        <w:ind w:left="425"/>
        <w:contextualSpacing w:val="0"/>
        <w:textAlignment w:val="center"/>
        <w:rPr>
          <w:rFonts w:eastAsia="MS Mincho"/>
          <w:color w:val="000000"/>
          <w:spacing w:val="1"/>
          <w:sz w:val="26"/>
          <w:szCs w:val="26"/>
          <w:rtl/>
          <w:lang w:eastAsia="ja-JP"/>
        </w:rPr>
      </w:pPr>
      <w:r w:rsidRPr="00F90E80">
        <w:rPr>
          <w:rFonts w:eastAsia="MS Mincho"/>
          <w:color w:val="000000"/>
          <w:spacing w:val="1"/>
          <w:sz w:val="26"/>
          <w:szCs w:val="26"/>
          <w:rtl/>
          <w:lang w:eastAsia="ja-JP"/>
        </w:rPr>
        <w:t xml:space="preserve">חוק הממשלה (תיקון מס' ...) (ביצוע בדיקה עתית, לרבות על-ידי שימוש בבדיקות פוליגרף, למשתתפי דיוני הקבינט), התשפ"ד-2023 </w:t>
      </w:r>
    </w:p>
    <w:p w14:paraId="29F6D05E" w14:textId="77777777" w:rsidR="00F90E80" w:rsidRPr="00F90E80" w:rsidRDefault="00F90E80" w:rsidP="00F90E80">
      <w:pPr>
        <w:numPr>
          <w:ilvl w:val="0"/>
          <w:numId w:val="30"/>
        </w:numPr>
        <w:autoSpaceDE w:val="0"/>
        <w:autoSpaceDN w:val="0"/>
        <w:adjustRightInd w:val="0"/>
        <w:spacing w:before="40" w:after="120" w:line="204" w:lineRule="atLeast"/>
        <w:ind w:left="425"/>
        <w:contextualSpacing w:val="0"/>
        <w:textAlignment w:val="center"/>
        <w:outlineLvl w:val="3"/>
        <w:rPr>
          <w:b/>
          <w:bCs/>
          <w:color w:val="000000" w:themeColor="text1"/>
          <w:sz w:val="26"/>
          <w:szCs w:val="26"/>
          <w:rtl/>
        </w:rPr>
      </w:pPr>
      <w:r w:rsidRPr="00F90E80">
        <w:rPr>
          <w:b/>
          <w:bCs/>
          <w:color w:val="000000" w:themeColor="text1"/>
          <w:sz w:val="26"/>
          <w:szCs w:val="26"/>
          <w:rtl/>
        </w:rPr>
        <w:t>מטרת החוק המוצע, הצורך בו, עיקרי הוראותיו והשפעתו על הדין הקיים</w:t>
      </w:r>
    </w:p>
    <w:p w14:paraId="7CA46CE1" w14:textId="1F18613E" w:rsidR="00F90E80" w:rsidRPr="00F90E80" w:rsidRDefault="00F90E80" w:rsidP="00DB177A">
      <w:pPr>
        <w:tabs>
          <w:tab w:val="left" w:pos="680"/>
          <w:tab w:val="left" w:pos="1020"/>
        </w:tabs>
        <w:autoSpaceDE w:val="0"/>
        <w:autoSpaceDN w:val="0"/>
        <w:adjustRightInd w:val="0"/>
        <w:snapToGrid w:val="0"/>
        <w:spacing w:before="240" w:after="240" w:line="240" w:lineRule="auto"/>
        <w:ind w:left="425"/>
        <w:contextualSpacing w:val="0"/>
        <w:textAlignment w:val="center"/>
        <w:rPr>
          <w:rFonts w:eastAsia="Arial Unicode MS"/>
          <w:snapToGrid w:val="0"/>
          <w:color w:val="000000"/>
          <w:sz w:val="26"/>
          <w:szCs w:val="26"/>
          <w:rtl/>
          <w:lang w:eastAsia="ja-JP"/>
        </w:rPr>
      </w:pPr>
      <w:r w:rsidRPr="00F90E80">
        <w:rPr>
          <w:rFonts w:eastAsia="Arial Unicode MS"/>
          <w:snapToGrid w:val="0"/>
          <w:color w:val="000000"/>
          <w:sz w:val="26"/>
          <w:szCs w:val="26"/>
          <w:rtl/>
          <w:lang w:eastAsia="ja-JP"/>
        </w:rPr>
        <w:t xml:space="preserve">מטרת תזכיר החוק המוצע היא </w:t>
      </w:r>
      <w:r w:rsidR="00834B8F">
        <w:rPr>
          <w:rFonts w:eastAsia="Arial Unicode MS" w:hint="cs"/>
          <w:snapToGrid w:val="0"/>
          <w:color w:val="000000"/>
          <w:sz w:val="26"/>
          <w:szCs w:val="26"/>
          <w:rtl/>
          <w:lang w:eastAsia="ja-JP"/>
        </w:rPr>
        <w:t>להסמיך את</w:t>
      </w:r>
      <w:r w:rsidRPr="00F90E80">
        <w:rPr>
          <w:rFonts w:eastAsia="Arial Unicode MS"/>
          <w:snapToGrid w:val="0"/>
          <w:color w:val="000000"/>
          <w:sz w:val="26"/>
          <w:szCs w:val="26"/>
          <w:rtl/>
          <w:lang w:eastAsia="ja-JP"/>
        </w:rPr>
        <w:t xml:space="preserve"> שירות הביטחון הכללי לבצע בדיקה עתית, לרבות על-ידי שימוש בבדיקות פוליגרף, אשר תקבע האם קיים חשש שמשתתף בדיוני קבינט</w:t>
      </w:r>
      <w:r w:rsidR="00E41A1F">
        <w:rPr>
          <w:rFonts w:eastAsia="Arial Unicode MS" w:hint="cs"/>
          <w:snapToGrid w:val="0"/>
          <w:color w:val="000000"/>
          <w:sz w:val="26"/>
          <w:szCs w:val="26"/>
          <w:rtl/>
          <w:lang w:eastAsia="ja-JP"/>
        </w:rPr>
        <w:t>, לרבות נבחר ציבור,</w:t>
      </w:r>
      <w:r w:rsidRPr="00F90E80">
        <w:rPr>
          <w:rFonts w:eastAsia="Arial Unicode MS"/>
          <w:snapToGrid w:val="0"/>
          <w:color w:val="000000"/>
          <w:sz w:val="26"/>
          <w:szCs w:val="26"/>
          <w:rtl/>
          <w:lang w:eastAsia="ja-JP"/>
        </w:rPr>
        <w:t xml:space="preserve"> </w:t>
      </w:r>
      <w:r w:rsidRPr="00F90E80">
        <w:rPr>
          <w:rFonts w:eastAsia="Arial Unicode MS" w:hint="cs"/>
          <w:snapToGrid w:val="0"/>
          <w:color w:val="000000"/>
          <w:sz w:val="26"/>
          <w:szCs w:val="26"/>
          <w:rtl/>
          <w:lang w:eastAsia="ja-JP"/>
        </w:rPr>
        <w:t>העביר</w:t>
      </w:r>
      <w:r w:rsidR="00B1686E">
        <w:rPr>
          <w:rFonts w:eastAsia="Arial Unicode MS" w:hint="cs"/>
          <w:snapToGrid w:val="0"/>
          <w:color w:val="000000"/>
          <w:sz w:val="26"/>
          <w:szCs w:val="26"/>
          <w:rtl/>
          <w:lang w:eastAsia="ja-JP"/>
        </w:rPr>
        <w:t xml:space="preserve"> בלי סמכות</w:t>
      </w:r>
      <w:bookmarkStart w:id="1" w:name="_GoBack"/>
      <w:bookmarkEnd w:id="1"/>
      <w:r w:rsidRPr="00F90E80">
        <w:rPr>
          <w:rFonts w:eastAsia="Arial Unicode MS" w:hint="cs"/>
          <w:snapToGrid w:val="0"/>
          <w:color w:val="000000"/>
          <w:sz w:val="26"/>
          <w:szCs w:val="26"/>
          <w:rtl/>
          <w:lang w:eastAsia="ja-JP"/>
        </w:rPr>
        <w:t xml:space="preserve"> </w:t>
      </w:r>
      <w:r w:rsidRPr="00F90E80">
        <w:rPr>
          <w:rFonts w:eastAsia="Arial Unicode MS"/>
          <w:snapToGrid w:val="0"/>
          <w:color w:val="000000"/>
          <w:sz w:val="26"/>
          <w:szCs w:val="26"/>
          <w:rtl/>
          <w:lang w:eastAsia="ja-JP"/>
        </w:rPr>
        <w:t xml:space="preserve">מידע </w:t>
      </w:r>
      <w:r w:rsidR="00B1686E">
        <w:rPr>
          <w:rFonts w:eastAsia="Arial Unicode MS" w:hint="cs"/>
          <w:snapToGrid w:val="0"/>
          <w:color w:val="000000"/>
          <w:sz w:val="26"/>
          <w:szCs w:val="26"/>
          <w:rtl/>
          <w:lang w:eastAsia="ja-JP"/>
        </w:rPr>
        <w:t xml:space="preserve">מדיוני הקבינט </w:t>
      </w:r>
      <w:r w:rsidRPr="00F90E80">
        <w:rPr>
          <w:rFonts w:eastAsia="Arial Unicode MS" w:hint="cs"/>
          <w:snapToGrid w:val="0"/>
          <w:color w:val="000000"/>
          <w:sz w:val="26"/>
          <w:szCs w:val="26"/>
          <w:rtl/>
          <w:lang w:eastAsia="ja-JP"/>
        </w:rPr>
        <w:t>לידי גורם בתקשורת, או לידי גורם אחר, לשם פרסומם ברבים</w:t>
      </w:r>
      <w:r w:rsidRPr="00F90E80">
        <w:rPr>
          <w:rFonts w:eastAsia="Arial Unicode MS"/>
          <w:snapToGrid w:val="0"/>
          <w:color w:val="000000"/>
          <w:sz w:val="26"/>
          <w:szCs w:val="26"/>
          <w:rtl/>
          <w:lang w:eastAsia="ja-JP"/>
        </w:rPr>
        <w:t xml:space="preserve">. </w:t>
      </w:r>
    </w:p>
    <w:p w14:paraId="4AF1DF8F" w14:textId="68601736" w:rsidR="00F90E80" w:rsidRPr="00F90E80" w:rsidRDefault="00F90E80" w:rsidP="00F90E80">
      <w:pPr>
        <w:tabs>
          <w:tab w:val="left" w:pos="680"/>
          <w:tab w:val="left" w:pos="1020"/>
        </w:tabs>
        <w:autoSpaceDE w:val="0"/>
        <w:autoSpaceDN w:val="0"/>
        <w:adjustRightInd w:val="0"/>
        <w:snapToGrid w:val="0"/>
        <w:spacing w:before="240" w:after="240" w:line="240" w:lineRule="auto"/>
        <w:ind w:left="425"/>
        <w:contextualSpacing w:val="0"/>
        <w:textAlignment w:val="center"/>
        <w:rPr>
          <w:rFonts w:eastAsia="Arial Unicode MS"/>
          <w:snapToGrid w:val="0"/>
          <w:color w:val="000000"/>
          <w:sz w:val="26"/>
          <w:szCs w:val="26"/>
          <w:rtl/>
          <w:lang w:eastAsia="ja-JP"/>
        </w:rPr>
      </w:pPr>
      <w:r w:rsidRPr="00F90E80">
        <w:rPr>
          <w:rFonts w:eastAsia="Arial Unicode MS"/>
          <w:snapToGrid w:val="0"/>
          <w:color w:val="000000"/>
          <w:sz w:val="26"/>
          <w:szCs w:val="26"/>
          <w:rtl/>
          <w:lang w:eastAsia="ja-JP"/>
        </w:rPr>
        <w:t xml:space="preserve">בבסיס תזכיר החוק עומד </w:t>
      </w:r>
      <w:r w:rsidRPr="00F90E80">
        <w:rPr>
          <w:rFonts w:eastAsia="Arial Unicode MS" w:hint="cs"/>
          <w:snapToGrid w:val="0"/>
          <w:color w:val="000000"/>
          <w:sz w:val="26"/>
          <w:szCs w:val="26"/>
          <w:rtl/>
          <w:lang w:eastAsia="ja-JP"/>
        </w:rPr>
        <w:t>הצורך להיאבק</w:t>
      </w:r>
      <w:r w:rsidRPr="00F90E80">
        <w:rPr>
          <w:rFonts w:eastAsia="Arial Unicode MS"/>
          <w:snapToGrid w:val="0"/>
          <w:color w:val="000000"/>
          <w:sz w:val="26"/>
          <w:szCs w:val="26"/>
          <w:rtl/>
          <w:lang w:eastAsia="ja-JP"/>
        </w:rPr>
        <w:t xml:space="preserve"> </w:t>
      </w:r>
      <w:r w:rsidRPr="00F90E80">
        <w:rPr>
          <w:rFonts w:eastAsia="Arial Unicode MS" w:hint="cs"/>
          <w:snapToGrid w:val="0"/>
          <w:color w:val="000000"/>
          <w:sz w:val="26"/>
          <w:szCs w:val="26"/>
          <w:rtl/>
          <w:lang w:eastAsia="ja-JP"/>
        </w:rPr>
        <w:t>ב</w:t>
      </w:r>
      <w:r w:rsidRPr="00F90E80">
        <w:rPr>
          <w:rFonts w:eastAsia="Arial Unicode MS"/>
          <w:snapToGrid w:val="0"/>
          <w:color w:val="000000"/>
          <w:sz w:val="26"/>
          <w:szCs w:val="26"/>
          <w:rtl/>
          <w:lang w:eastAsia="ja-JP"/>
        </w:rPr>
        <w:t xml:space="preserve">תופעת ההדלפות מדיוני הקבינט המדיני-ביטחוני (להלן: "הקבינט") </w:t>
      </w:r>
      <w:r w:rsidR="00B63BF2">
        <w:rPr>
          <w:rFonts w:eastAsia="Arial Unicode MS" w:hint="cs"/>
          <w:snapToGrid w:val="0"/>
          <w:color w:val="000000"/>
          <w:sz w:val="26"/>
          <w:szCs w:val="26"/>
          <w:rtl/>
          <w:lang w:eastAsia="ja-JP"/>
        </w:rPr>
        <w:t>שגורמ</w:t>
      </w:r>
      <w:r w:rsidRPr="00F90E80">
        <w:rPr>
          <w:rFonts w:eastAsia="Arial Unicode MS" w:hint="cs"/>
          <w:snapToGrid w:val="0"/>
          <w:color w:val="000000"/>
          <w:sz w:val="26"/>
          <w:szCs w:val="26"/>
          <w:rtl/>
          <w:lang w:eastAsia="ja-JP"/>
        </w:rPr>
        <w:t>ת</w:t>
      </w:r>
      <w:r w:rsidRPr="00F90E80">
        <w:rPr>
          <w:rFonts w:eastAsia="Arial Unicode MS"/>
          <w:snapToGrid w:val="0"/>
          <w:color w:val="000000"/>
          <w:sz w:val="26"/>
          <w:szCs w:val="26"/>
          <w:rtl/>
          <w:lang w:eastAsia="ja-JP"/>
        </w:rPr>
        <w:t xml:space="preserve"> </w:t>
      </w:r>
      <w:r w:rsidRPr="00F90E80">
        <w:rPr>
          <w:rFonts w:eastAsia="Arial Unicode MS" w:hint="cs"/>
          <w:snapToGrid w:val="0"/>
          <w:color w:val="000000"/>
          <w:sz w:val="26"/>
          <w:szCs w:val="26"/>
          <w:u w:val="single"/>
          <w:rtl/>
          <w:lang w:eastAsia="ja-JP"/>
        </w:rPr>
        <w:t>ל</w:t>
      </w:r>
      <w:r w:rsidRPr="00F90E80">
        <w:rPr>
          <w:rFonts w:eastAsia="Arial Unicode MS"/>
          <w:snapToGrid w:val="0"/>
          <w:color w:val="000000"/>
          <w:sz w:val="26"/>
          <w:szCs w:val="26"/>
          <w:u w:val="single"/>
          <w:rtl/>
          <w:lang w:eastAsia="ja-JP"/>
        </w:rPr>
        <w:t>פגיעה חמורה ביותר</w:t>
      </w:r>
      <w:r w:rsidRPr="00F90E80">
        <w:rPr>
          <w:rFonts w:eastAsia="Arial Unicode MS"/>
          <w:snapToGrid w:val="0"/>
          <w:color w:val="000000"/>
          <w:sz w:val="26"/>
          <w:szCs w:val="26"/>
          <w:rtl/>
          <w:lang w:eastAsia="ja-JP"/>
        </w:rPr>
        <w:t xml:space="preserve"> </w:t>
      </w:r>
      <w:r w:rsidRPr="00F90E80">
        <w:rPr>
          <w:rFonts w:eastAsia="Arial Unicode MS" w:hint="cs"/>
          <w:snapToGrid w:val="0"/>
          <w:color w:val="000000"/>
          <w:sz w:val="26"/>
          <w:szCs w:val="26"/>
          <w:rtl/>
          <w:lang w:eastAsia="ja-JP"/>
        </w:rPr>
        <w:t>ב</w:t>
      </w:r>
      <w:r w:rsidRPr="00F90E80">
        <w:rPr>
          <w:rFonts w:eastAsia="Arial Unicode MS"/>
          <w:snapToGrid w:val="0"/>
          <w:color w:val="000000"/>
          <w:sz w:val="26"/>
          <w:szCs w:val="26"/>
          <w:rtl/>
          <w:lang w:eastAsia="ja-JP"/>
        </w:rPr>
        <w:t xml:space="preserve">ביטחון הלאומי של מדינת ישראל, במיוחד בעת מלחמה, בשני מישורים עיקריים: </w:t>
      </w:r>
    </w:p>
    <w:p w14:paraId="3C1A597A" w14:textId="77777777" w:rsidR="00F90E80" w:rsidRPr="00F90E80" w:rsidRDefault="00F90E80" w:rsidP="00F90E80">
      <w:pPr>
        <w:widowControl/>
        <w:numPr>
          <w:ilvl w:val="1"/>
          <w:numId w:val="20"/>
        </w:numPr>
        <w:tabs>
          <w:tab w:val="center" w:pos="4648"/>
          <w:tab w:val="left" w:pos="5926"/>
        </w:tabs>
        <w:autoSpaceDE w:val="0"/>
        <w:autoSpaceDN w:val="0"/>
        <w:adjustRightInd w:val="0"/>
        <w:spacing w:before="360" w:after="360" w:line="240" w:lineRule="auto"/>
        <w:ind w:left="850"/>
        <w:contextualSpacing w:val="0"/>
        <w:textAlignment w:val="center"/>
        <w:rPr>
          <w:rFonts w:eastAsia="Times New Roman"/>
          <w:sz w:val="26"/>
          <w:szCs w:val="26"/>
        </w:rPr>
      </w:pPr>
      <w:r w:rsidRPr="00F90E80">
        <w:rPr>
          <w:rFonts w:eastAsia="Times New Roman"/>
          <w:sz w:val="26"/>
          <w:szCs w:val="26"/>
          <w:u w:val="single"/>
          <w:rtl/>
        </w:rPr>
        <w:t>פגיעה משמעותית בביטחון המדינה וביחסי החוץ שלה</w:t>
      </w:r>
      <w:r w:rsidRPr="00F90E80">
        <w:rPr>
          <w:rFonts w:eastAsia="Times New Roman"/>
          <w:sz w:val="26"/>
          <w:szCs w:val="26"/>
          <w:rtl/>
        </w:rPr>
        <w:t xml:space="preserve"> - לאור חשיפת מידע מדיוני הקבינט שמגיע גם לידי האויב; </w:t>
      </w:r>
    </w:p>
    <w:p w14:paraId="59E75FB5" w14:textId="77777777" w:rsidR="00F90E80" w:rsidRPr="00F90E80" w:rsidRDefault="00F90E80" w:rsidP="00F90E80">
      <w:pPr>
        <w:widowControl/>
        <w:numPr>
          <w:ilvl w:val="1"/>
          <w:numId w:val="20"/>
        </w:numPr>
        <w:tabs>
          <w:tab w:val="center" w:pos="4648"/>
          <w:tab w:val="left" w:pos="5926"/>
        </w:tabs>
        <w:autoSpaceDE w:val="0"/>
        <w:autoSpaceDN w:val="0"/>
        <w:adjustRightInd w:val="0"/>
        <w:spacing w:before="360" w:after="360" w:line="240" w:lineRule="auto"/>
        <w:ind w:left="850"/>
        <w:contextualSpacing w:val="0"/>
        <w:textAlignment w:val="center"/>
        <w:rPr>
          <w:rFonts w:eastAsia="Times New Roman"/>
          <w:sz w:val="26"/>
          <w:szCs w:val="26"/>
        </w:rPr>
      </w:pPr>
      <w:r w:rsidRPr="00F90E80">
        <w:rPr>
          <w:rFonts w:eastAsia="Times New Roman"/>
          <w:sz w:val="26"/>
          <w:szCs w:val="26"/>
          <w:u w:val="single"/>
          <w:rtl/>
        </w:rPr>
        <w:t>פגיעה משמעותית בתהליך קבלת ההחלטות של הקבינט</w:t>
      </w:r>
      <w:r w:rsidRPr="00F90E80">
        <w:rPr>
          <w:rFonts w:eastAsia="Times New Roman"/>
          <w:sz w:val="26"/>
          <w:szCs w:val="26"/>
          <w:rtl/>
        </w:rPr>
        <w:t xml:space="preserve"> - לנוכח הקושי לקיים שיח פתוח, אמין ואפקטיבי במסגרת דיוני</w:t>
      </w:r>
      <w:r w:rsidRPr="00F90E80">
        <w:rPr>
          <w:rFonts w:eastAsia="Times New Roman" w:hint="cs"/>
          <w:sz w:val="26"/>
          <w:szCs w:val="26"/>
          <w:rtl/>
        </w:rPr>
        <w:t xml:space="preserve"> הקבינט (קרי, "האפקט המצנן")</w:t>
      </w:r>
      <w:r w:rsidRPr="00F90E80">
        <w:rPr>
          <w:rFonts w:eastAsia="Times New Roman"/>
          <w:sz w:val="26"/>
          <w:szCs w:val="26"/>
          <w:rtl/>
        </w:rPr>
        <w:t>.</w:t>
      </w:r>
    </w:p>
    <w:p w14:paraId="1C4F7A0C" w14:textId="366C58FF" w:rsidR="00F90E80" w:rsidRPr="00F90E80" w:rsidRDefault="00F90E80" w:rsidP="006701CC">
      <w:pPr>
        <w:tabs>
          <w:tab w:val="left" w:pos="680"/>
          <w:tab w:val="left" w:pos="1020"/>
        </w:tabs>
        <w:autoSpaceDE w:val="0"/>
        <w:autoSpaceDN w:val="0"/>
        <w:adjustRightInd w:val="0"/>
        <w:snapToGrid w:val="0"/>
        <w:spacing w:before="240" w:after="240" w:line="240" w:lineRule="auto"/>
        <w:ind w:left="425"/>
        <w:contextualSpacing w:val="0"/>
        <w:textAlignment w:val="center"/>
        <w:rPr>
          <w:rFonts w:eastAsia="Arial Unicode MS"/>
          <w:b/>
          <w:bCs/>
          <w:snapToGrid w:val="0"/>
          <w:color w:val="000000"/>
          <w:sz w:val="26"/>
          <w:szCs w:val="26"/>
          <w:lang w:eastAsia="ja-JP"/>
        </w:rPr>
      </w:pPr>
      <w:r w:rsidRPr="00F90E80">
        <w:rPr>
          <w:rFonts w:eastAsia="Arial Unicode MS"/>
          <w:snapToGrid w:val="0"/>
          <w:color w:val="000000"/>
          <w:sz w:val="26"/>
          <w:szCs w:val="26"/>
          <w:rtl/>
          <w:lang w:eastAsia="ja-JP"/>
        </w:rPr>
        <w:t xml:space="preserve">תזכיר החוק מקודם לאור אירועי הדלפות רבים בשנים האחרונות מדיוני הקבינט, לרבות בעת האחרונה בתקופת המלחמה, שגרמו לנזק ביטחוני חמור </w:t>
      </w:r>
      <w:r w:rsidRPr="00F90E80">
        <w:rPr>
          <w:rFonts w:eastAsia="Arial Unicode MS" w:hint="cs"/>
          <w:snapToGrid w:val="0"/>
          <w:color w:val="000000"/>
          <w:sz w:val="26"/>
          <w:szCs w:val="26"/>
          <w:rtl/>
          <w:lang w:eastAsia="ja-JP"/>
        </w:rPr>
        <w:t>ביותר</w:t>
      </w:r>
      <w:r w:rsidRPr="00F90E80">
        <w:rPr>
          <w:rFonts w:eastAsia="Arial Unicode MS"/>
          <w:snapToGrid w:val="0"/>
          <w:color w:val="000000"/>
          <w:sz w:val="26"/>
          <w:szCs w:val="26"/>
          <w:rtl/>
          <w:lang w:eastAsia="ja-JP"/>
        </w:rPr>
        <w:t xml:space="preserve">; וכן לנוכח מסקנת עבודת המטה שהתבצעה במל"ל לפיה הכלים הקיימים להתמודד עם תופעת ההדלפות </w:t>
      </w:r>
      <w:r w:rsidRPr="00F90E80">
        <w:rPr>
          <w:rFonts w:eastAsia="Arial Unicode MS"/>
          <w:b/>
          <w:bCs/>
          <w:snapToGrid w:val="0"/>
          <w:color w:val="000000"/>
          <w:sz w:val="26"/>
          <w:szCs w:val="26"/>
          <w:rtl/>
          <w:lang w:eastAsia="ja-JP"/>
        </w:rPr>
        <w:t xml:space="preserve">לא נותנים מענה אפקטיבי לעצירת התופעה. </w:t>
      </w:r>
    </w:p>
    <w:p w14:paraId="3009E94A" w14:textId="181CA96C" w:rsidR="00F90E80" w:rsidRPr="00F90E80" w:rsidRDefault="00F90E80" w:rsidP="00CB3FB0">
      <w:pPr>
        <w:tabs>
          <w:tab w:val="left" w:pos="680"/>
          <w:tab w:val="left" w:pos="1020"/>
        </w:tabs>
        <w:autoSpaceDE w:val="0"/>
        <w:autoSpaceDN w:val="0"/>
        <w:adjustRightInd w:val="0"/>
        <w:snapToGrid w:val="0"/>
        <w:spacing w:before="240" w:after="240" w:line="240" w:lineRule="auto"/>
        <w:ind w:left="425"/>
        <w:contextualSpacing w:val="0"/>
        <w:textAlignment w:val="center"/>
        <w:rPr>
          <w:rFonts w:eastAsia="Arial Unicode MS"/>
          <w:snapToGrid w:val="0"/>
          <w:color w:val="000000"/>
          <w:sz w:val="26"/>
          <w:szCs w:val="26"/>
          <w:rtl/>
          <w:lang w:eastAsia="ja-JP"/>
        </w:rPr>
      </w:pPr>
      <w:r w:rsidRPr="00F90E80">
        <w:rPr>
          <w:rFonts w:eastAsia="Arial Unicode MS"/>
          <w:snapToGrid w:val="0"/>
          <w:color w:val="000000"/>
          <w:sz w:val="26"/>
          <w:szCs w:val="26"/>
          <w:rtl/>
          <w:lang w:eastAsia="ja-JP"/>
        </w:rPr>
        <w:t xml:space="preserve">לסיכום, </w:t>
      </w:r>
      <w:r w:rsidRPr="00F90E80">
        <w:rPr>
          <w:rFonts w:eastAsia="Arial Unicode MS"/>
          <w:b/>
          <w:bCs/>
          <w:snapToGrid w:val="0"/>
          <w:color w:val="000000"/>
          <w:sz w:val="26"/>
          <w:szCs w:val="26"/>
          <w:rtl/>
          <w:lang w:eastAsia="ja-JP"/>
        </w:rPr>
        <w:t>קיים אינטרס ציבורי חיוני גובר, בעיקר בעת מלחמה</w:t>
      </w:r>
      <w:r w:rsidRPr="00F90E80">
        <w:rPr>
          <w:rFonts w:eastAsia="Arial Unicode MS"/>
          <w:snapToGrid w:val="0"/>
          <w:color w:val="000000"/>
          <w:sz w:val="26"/>
          <w:szCs w:val="26"/>
          <w:rtl/>
          <w:lang w:eastAsia="ja-JP"/>
        </w:rPr>
        <w:t>,</w:t>
      </w:r>
      <w:r w:rsidRPr="00F90E80">
        <w:rPr>
          <w:rFonts w:eastAsia="Arial Unicode MS"/>
          <w:b/>
          <w:bCs/>
          <w:snapToGrid w:val="0"/>
          <w:color w:val="000000"/>
          <w:sz w:val="26"/>
          <w:szCs w:val="26"/>
          <w:rtl/>
          <w:lang w:eastAsia="ja-JP"/>
        </w:rPr>
        <w:t xml:space="preserve"> לקדם </w:t>
      </w:r>
      <w:r w:rsidRPr="00F90E80">
        <w:rPr>
          <w:rFonts w:eastAsia="Arial Unicode MS" w:hint="cs"/>
          <w:b/>
          <w:bCs/>
          <w:snapToGrid w:val="0"/>
          <w:color w:val="000000"/>
          <w:sz w:val="26"/>
          <w:szCs w:val="26"/>
          <w:rtl/>
          <w:lang w:eastAsia="ja-JP"/>
        </w:rPr>
        <w:t>את ה</w:t>
      </w:r>
      <w:r w:rsidRPr="00F90E80">
        <w:rPr>
          <w:rFonts w:eastAsia="Arial Unicode MS"/>
          <w:b/>
          <w:bCs/>
          <w:snapToGrid w:val="0"/>
          <w:color w:val="000000"/>
          <w:sz w:val="26"/>
          <w:szCs w:val="26"/>
          <w:rtl/>
          <w:lang w:eastAsia="ja-JP"/>
        </w:rPr>
        <w:t>חוק</w:t>
      </w:r>
      <w:r w:rsidRPr="00F90E80">
        <w:rPr>
          <w:rFonts w:eastAsia="Arial Unicode MS" w:hint="cs"/>
          <w:b/>
          <w:bCs/>
          <w:snapToGrid w:val="0"/>
          <w:color w:val="000000"/>
          <w:sz w:val="26"/>
          <w:szCs w:val="26"/>
          <w:rtl/>
          <w:lang w:eastAsia="ja-JP"/>
        </w:rPr>
        <w:t xml:space="preserve"> האמור</w:t>
      </w:r>
      <w:r w:rsidRPr="00F90E80">
        <w:rPr>
          <w:rFonts w:eastAsia="Arial Unicode MS"/>
          <w:b/>
          <w:bCs/>
          <w:snapToGrid w:val="0"/>
          <w:color w:val="000000"/>
          <w:sz w:val="26"/>
          <w:szCs w:val="26"/>
          <w:rtl/>
          <w:lang w:eastAsia="ja-JP"/>
        </w:rPr>
        <w:t xml:space="preserve"> </w:t>
      </w:r>
      <w:r w:rsidR="00CB3FB0">
        <w:rPr>
          <w:rFonts w:eastAsia="Arial Unicode MS" w:hint="cs"/>
          <w:b/>
          <w:bCs/>
          <w:snapToGrid w:val="0"/>
          <w:color w:val="000000"/>
          <w:sz w:val="26"/>
          <w:szCs w:val="26"/>
          <w:rtl/>
          <w:lang w:eastAsia="ja-JP"/>
        </w:rPr>
        <w:t>לצורך</w:t>
      </w:r>
      <w:r w:rsidRPr="00F90E80">
        <w:rPr>
          <w:rFonts w:eastAsia="Arial Unicode MS"/>
          <w:b/>
          <w:bCs/>
          <w:snapToGrid w:val="0"/>
          <w:color w:val="000000"/>
          <w:sz w:val="26"/>
          <w:szCs w:val="26"/>
          <w:rtl/>
          <w:lang w:eastAsia="ja-JP"/>
        </w:rPr>
        <w:t xml:space="preserve"> </w:t>
      </w:r>
      <w:r w:rsidR="00CB3FB0">
        <w:rPr>
          <w:rFonts w:eastAsia="Arial Unicode MS" w:hint="cs"/>
          <w:b/>
          <w:bCs/>
          <w:snapToGrid w:val="0"/>
          <w:color w:val="000000"/>
          <w:sz w:val="26"/>
          <w:szCs w:val="26"/>
          <w:rtl/>
          <w:lang w:eastAsia="ja-JP"/>
        </w:rPr>
        <w:t>הגשמת</w:t>
      </w:r>
      <w:r w:rsidR="00E14889">
        <w:rPr>
          <w:rFonts w:eastAsia="Arial Unicode MS" w:hint="cs"/>
          <w:b/>
          <w:bCs/>
          <w:snapToGrid w:val="0"/>
          <w:color w:val="000000"/>
          <w:sz w:val="26"/>
          <w:szCs w:val="26"/>
          <w:rtl/>
          <w:lang w:eastAsia="ja-JP"/>
        </w:rPr>
        <w:t xml:space="preserve"> </w:t>
      </w:r>
      <w:r w:rsidRPr="00F90E80">
        <w:rPr>
          <w:rFonts w:eastAsia="Arial Unicode MS"/>
          <w:b/>
          <w:bCs/>
          <w:snapToGrid w:val="0"/>
          <w:color w:val="000000"/>
          <w:sz w:val="26"/>
          <w:szCs w:val="26"/>
          <w:rtl/>
          <w:lang w:eastAsia="ja-JP"/>
        </w:rPr>
        <w:t>התכליות הבאות</w:t>
      </w:r>
      <w:r w:rsidRPr="00F90E80">
        <w:rPr>
          <w:rFonts w:eastAsia="Arial Unicode MS" w:hint="cs"/>
          <w:b/>
          <w:bCs/>
          <w:snapToGrid w:val="0"/>
          <w:color w:val="000000"/>
          <w:sz w:val="26"/>
          <w:szCs w:val="26"/>
          <w:rtl/>
          <w:lang w:eastAsia="ja-JP"/>
        </w:rPr>
        <w:t>:</w:t>
      </w:r>
      <w:r w:rsidRPr="00F90E80">
        <w:rPr>
          <w:rFonts w:eastAsia="Arial Unicode MS"/>
          <w:b/>
          <w:bCs/>
          <w:snapToGrid w:val="0"/>
          <w:color w:val="000000"/>
          <w:sz w:val="26"/>
          <w:szCs w:val="26"/>
          <w:rtl/>
          <w:lang w:eastAsia="ja-JP"/>
        </w:rPr>
        <w:t xml:space="preserve"> מניעת פגיעה בביטחון וביחסי החוץ של המדינה ובתהליך קבלת ההחלטות של הקבינט</w:t>
      </w:r>
      <w:r w:rsidRPr="00F90E80">
        <w:rPr>
          <w:rFonts w:eastAsia="Arial Unicode MS"/>
          <w:snapToGrid w:val="0"/>
          <w:color w:val="000000"/>
          <w:sz w:val="26"/>
          <w:szCs w:val="26"/>
          <w:rtl/>
          <w:lang w:eastAsia="ja-JP"/>
        </w:rPr>
        <w:t xml:space="preserve">.  </w:t>
      </w:r>
    </w:p>
    <w:p w14:paraId="074787F0" w14:textId="77777777" w:rsidR="00F90E80" w:rsidRPr="00F90E80" w:rsidRDefault="00F90E80" w:rsidP="00F90E80">
      <w:pPr>
        <w:numPr>
          <w:ilvl w:val="0"/>
          <w:numId w:val="30"/>
        </w:numPr>
        <w:autoSpaceDE w:val="0"/>
        <w:autoSpaceDN w:val="0"/>
        <w:adjustRightInd w:val="0"/>
        <w:spacing w:before="40" w:after="120" w:line="204" w:lineRule="atLeast"/>
        <w:ind w:left="425"/>
        <w:contextualSpacing w:val="0"/>
        <w:textAlignment w:val="center"/>
        <w:outlineLvl w:val="3"/>
        <w:rPr>
          <w:b/>
          <w:bCs/>
          <w:color w:val="000000" w:themeColor="text1"/>
          <w:sz w:val="26"/>
          <w:szCs w:val="26"/>
          <w:rtl/>
        </w:rPr>
      </w:pPr>
      <w:r w:rsidRPr="00F90E80">
        <w:rPr>
          <w:b/>
          <w:bCs/>
          <w:color w:val="000000" w:themeColor="text1"/>
          <w:sz w:val="26"/>
          <w:szCs w:val="26"/>
          <w:rtl/>
        </w:rPr>
        <w:t xml:space="preserve">השפעת החוק המוצע על קבוצות אוכלוסייה מסוימות </w:t>
      </w:r>
    </w:p>
    <w:p w14:paraId="5E36C3AC" w14:textId="77777777" w:rsidR="00F90E80" w:rsidRPr="00F90E80" w:rsidRDefault="00F90E80" w:rsidP="00F90E80">
      <w:pPr>
        <w:tabs>
          <w:tab w:val="left" w:pos="680"/>
          <w:tab w:val="left" w:pos="1020"/>
        </w:tabs>
        <w:autoSpaceDE w:val="0"/>
        <w:autoSpaceDN w:val="0"/>
        <w:adjustRightInd w:val="0"/>
        <w:snapToGrid w:val="0"/>
        <w:spacing w:before="240" w:after="240" w:line="240" w:lineRule="auto"/>
        <w:ind w:left="425"/>
        <w:contextualSpacing w:val="0"/>
        <w:textAlignment w:val="center"/>
        <w:rPr>
          <w:rFonts w:eastAsia="Arial Unicode MS"/>
          <w:snapToGrid w:val="0"/>
          <w:color w:val="000000"/>
          <w:sz w:val="26"/>
          <w:szCs w:val="26"/>
          <w:rtl/>
          <w:lang w:eastAsia="ja-JP"/>
        </w:rPr>
      </w:pPr>
      <w:r w:rsidRPr="00F90E80">
        <w:rPr>
          <w:rFonts w:eastAsia="Arial Unicode MS"/>
          <w:snapToGrid w:val="0"/>
          <w:color w:val="000000"/>
          <w:sz w:val="26"/>
          <w:szCs w:val="26"/>
          <w:rtl/>
          <w:lang w:eastAsia="ja-JP"/>
        </w:rPr>
        <w:t>לא רלוונטי.</w:t>
      </w:r>
    </w:p>
    <w:p w14:paraId="75FD943E" w14:textId="77777777" w:rsidR="00F90E80" w:rsidRPr="00F90E80" w:rsidRDefault="00F90E80" w:rsidP="00F90E80">
      <w:pPr>
        <w:numPr>
          <w:ilvl w:val="0"/>
          <w:numId w:val="30"/>
        </w:numPr>
        <w:autoSpaceDE w:val="0"/>
        <w:autoSpaceDN w:val="0"/>
        <w:adjustRightInd w:val="0"/>
        <w:spacing w:before="40" w:after="120" w:line="204" w:lineRule="atLeast"/>
        <w:ind w:left="425"/>
        <w:contextualSpacing w:val="0"/>
        <w:textAlignment w:val="center"/>
        <w:outlineLvl w:val="3"/>
        <w:rPr>
          <w:b/>
          <w:bCs/>
          <w:color w:val="000000" w:themeColor="text1"/>
          <w:sz w:val="26"/>
          <w:szCs w:val="26"/>
          <w:rtl/>
        </w:rPr>
      </w:pPr>
      <w:r w:rsidRPr="00F90E80">
        <w:rPr>
          <w:b/>
          <w:bCs/>
          <w:color w:val="000000" w:themeColor="text1"/>
          <w:sz w:val="26"/>
          <w:szCs w:val="26"/>
          <w:rtl/>
        </w:rPr>
        <w:t xml:space="preserve">השפעת תזכיר החוק המוצע על התקציב ועל התקן המנהלי של המשרד היוזם, משרדים אחרים ורשויות אחרות. </w:t>
      </w:r>
    </w:p>
    <w:p w14:paraId="1C2D0AE8" w14:textId="77777777" w:rsidR="00F90E80" w:rsidRPr="00F90E80" w:rsidRDefault="00F90E80" w:rsidP="00F90E80">
      <w:pPr>
        <w:tabs>
          <w:tab w:val="left" w:pos="680"/>
          <w:tab w:val="left" w:pos="1020"/>
        </w:tabs>
        <w:autoSpaceDE w:val="0"/>
        <w:autoSpaceDN w:val="0"/>
        <w:adjustRightInd w:val="0"/>
        <w:snapToGrid w:val="0"/>
        <w:spacing w:before="240" w:after="240" w:line="240" w:lineRule="auto"/>
        <w:ind w:left="425"/>
        <w:contextualSpacing w:val="0"/>
        <w:textAlignment w:val="center"/>
        <w:rPr>
          <w:rFonts w:eastAsia="Arial Unicode MS"/>
          <w:snapToGrid w:val="0"/>
          <w:color w:val="000000"/>
          <w:sz w:val="26"/>
          <w:szCs w:val="26"/>
          <w:rtl/>
          <w:lang w:eastAsia="ja-JP"/>
        </w:rPr>
      </w:pPr>
      <w:r w:rsidRPr="00F90E80">
        <w:rPr>
          <w:rFonts w:eastAsia="Arial Unicode MS"/>
          <w:snapToGrid w:val="0"/>
          <w:color w:val="000000"/>
          <w:sz w:val="26"/>
          <w:szCs w:val="26"/>
          <w:rtl/>
          <w:lang w:eastAsia="ja-JP"/>
        </w:rPr>
        <w:t>לא רלוונטי.</w:t>
      </w:r>
    </w:p>
    <w:p w14:paraId="07082DD7" w14:textId="77777777" w:rsidR="00674DFE" w:rsidRPr="00F90E80" w:rsidRDefault="00674DFE" w:rsidP="00F90E80">
      <w:pPr>
        <w:numPr>
          <w:ilvl w:val="0"/>
          <w:numId w:val="30"/>
        </w:numPr>
        <w:autoSpaceDE w:val="0"/>
        <w:autoSpaceDN w:val="0"/>
        <w:adjustRightInd w:val="0"/>
        <w:spacing w:before="40" w:after="120" w:line="204" w:lineRule="atLeast"/>
        <w:ind w:left="425"/>
        <w:contextualSpacing w:val="0"/>
        <w:textAlignment w:val="center"/>
        <w:outlineLvl w:val="3"/>
        <w:rPr>
          <w:b/>
          <w:bCs/>
          <w:color w:val="000000" w:themeColor="text1"/>
          <w:sz w:val="26"/>
          <w:szCs w:val="26"/>
          <w:rtl/>
        </w:rPr>
      </w:pPr>
      <w:r w:rsidRPr="00F90E80">
        <w:rPr>
          <w:rFonts w:hint="cs"/>
          <w:b/>
          <w:bCs/>
          <w:color w:val="000000" w:themeColor="text1"/>
          <w:sz w:val="26"/>
          <w:szCs w:val="26"/>
          <w:rtl/>
        </w:rPr>
        <w:t>להלן נוסח תזכיר החוק המוצע ודברי הסבר</w:t>
      </w:r>
    </w:p>
    <w:p w14:paraId="5FD3567D" w14:textId="77777777" w:rsidR="00674DFE" w:rsidRDefault="00674DFE" w:rsidP="00722C14">
      <w:pPr>
        <w:bidi w:val="0"/>
        <w:rPr>
          <w:rFonts w:asciiTheme="minorHAnsi" w:hAnsiTheme="minorHAnsi"/>
        </w:rPr>
      </w:pPr>
      <w:r>
        <w:rPr>
          <w:rtl/>
        </w:rPr>
        <w:br w:type="page"/>
      </w:r>
    </w:p>
    <w:p w14:paraId="49A9DAE4" w14:textId="77777777" w:rsidR="00674DFE" w:rsidRDefault="00674DFE" w:rsidP="00D80A81">
      <w:pPr>
        <w:pStyle w:val="HeadMitparsemetBaze"/>
        <w:keepNext w:val="0"/>
        <w:keepLines w:val="0"/>
        <w:pageBreakBefore w:val="0"/>
      </w:pPr>
      <w:r>
        <w:rPr>
          <w:rtl/>
        </w:rPr>
        <w:lastRenderedPageBreak/>
        <w:t xml:space="preserve">תזכיר חוק מטעם </w:t>
      </w:r>
      <w:r w:rsidR="00D80A81">
        <w:rPr>
          <w:rFonts w:hint="cs"/>
          <w:rtl/>
        </w:rPr>
        <w:t>ראש הממשלה</w:t>
      </w:r>
      <w:r>
        <w:rPr>
          <w:rtl/>
        </w:rPr>
        <w:t xml:space="preserve">: </w:t>
      </w:r>
    </w:p>
    <w:p w14:paraId="143F42BC" w14:textId="77777777" w:rsidR="00674DFE" w:rsidRDefault="00674DFE" w:rsidP="00722C14">
      <w:pPr>
        <w:pStyle w:val="HeadHatzaotHok"/>
        <w:keepNext w:val="0"/>
        <w:keepLines w:val="0"/>
        <w:rPr>
          <w:rtl/>
        </w:rPr>
      </w:pPr>
      <w:r>
        <w:rPr>
          <w:rFonts w:hint="cs"/>
          <w:rtl/>
        </w:rPr>
        <w:t>תזכיר חוק הממשלה (תיקון מס'...) (ביצוע בדיקה עתית, לרבות על-ידי שימוש בבדיקות פוליגרף, למשתתפי דיוני הקבינט), התשפ"ד-2023</w:t>
      </w: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624"/>
        <w:gridCol w:w="255"/>
        <w:gridCol w:w="4395"/>
      </w:tblGrid>
      <w:tr w:rsidR="00674DFE" w14:paraId="74F62FB5" w14:textId="77777777" w:rsidTr="00E814D3">
        <w:trPr>
          <w:cantSplit/>
          <w:trHeight w:val="60"/>
        </w:trPr>
        <w:tc>
          <w:tcPr>
            <w:tcW w:w="1871" w:type="dxa"/>
          </w:tcPr>
          <w:p w14:paraId="59EFDAF8" w14:textId="74B44C7E" w:rsidR="00674DFE" w:rsidRDefault="00E814D3">
            <w:pPr>
              <w:pStyle w:val="TableSideHeading"/>
              <w:rPr>
                <w:rtl/>
              </w:rPr>
            </w:pPr>
            <w:r>
              <w:rPr>
                <w:rFonts w:hint="cs"/>
                <w:rtl/>
              </w:rPr>
              <w:t>הוספת סעיף 7</w:t>
            </w:r>
            <w:r w:rsidR="00611840">
              <w:rPr>
                <w:rFonts w:hint="cs"/>
                <w:rtl/>
              </w:rPr>
              <w:t>א</w:t>
            </w:r>
            <w:r w:rsidR="004C5C65">
              <w:rPr>
                <w:rFonts w:hint="cs"/>
                <w:rtl/>
              </w:rPr>
              <w:t>.</w:t>
            </w:r>
          </w:p>
        </w:tc>
        <w:tc>
          <w:tcPr>
            <w:tcW w:w="624" w:type="dxa"/>
          </w:tcPr>
          <w:p w14:paraId="61B05088" w14:textId="73CDC9D4" w:rsidR="00674DFE" w:rsidRDefault="00DA28A2">
            <w:pPr>
              <w:pStyle w:val="TableText"/>
            </w:pPr>
            <w:r>
              <w:rPr>
                <w:rFonts w:hint="cs"/>
                <w:rtl/>
              </w:rPr>
              <w:t xml:space="preserve"> </w:t>
            </w:r>
            <w:r w:rsidR="00EE5085">
              <w:rPr>
                <w:rFonts w:hint="cs"/>
                <w:rtl/>
              </w:rPr>
              <w:t>1</w:t>
            </w:r>
            <w:r w:rsidR="004C5C65">
              <w:rPr>
                <w:rFonts w:hint="cs"/>
                <w:rtl/>
              </w:rPr>
              <w:t>.</w:t>
            </w:r>
          </w:p>
        </w:tc>
        <w:tc>
          <w:tcPr>
            <w:tcW w:w="7146" w:type="dxa"/>
            <w:gridSpan w:val="6"/>
          </w:tcPr>
          <w:p w14:paraId="440E5596" w14:textId="73CE405D" w:rsidR="00674DFE" w:rsidRPr="000C0137" w:rsidRDefault="00611840" w:rsidP="000C0137">
            <w:pPr>
              <w:pStyle w:val="TableHead"/>
              <w:jc w:val="both"/>
              <w:rPr>
                <w:b w:val="0"/>
                <w:bCs w:val="0"/>
              </w:rPr>
            </w:pPr>
            <w:r w:rsidRPr="000C0137">
              <w:rPr>
                <w:rFonts w:hint="eastAsia"/>
                <w:b w:val="0"/>
                <w:bCs w:val="0"/>
                <w:rtl/>
              </w:rPr>
              <w:t>בחוק</w:t>
            </w:r>
            <w:r w:rsidRPr="000C0137">
              <w:rPr>
                <w:b w:val="0"/>
                <w:bCs w:val="0"/>
                <w:rtl/>
              </w:rPr>
              <w:t xml:space="preserve"> </w:t>
            </w:r>
            <w:r>
              <w:rPr>
                <w:rFonts w:hint="cs"/>
                <w:b w:val="0"/>
                <w:bCs w:val="0"/>
                <w:rtl/>
              </w:rPr>
              <w:t xml:space="preserve">הממשלה, התשס"א-2001, אחרי סעיף 7, יבוא:  </w:t>
            </w:r>
          </w:p>
        </w:tc>
      </w:tr>
      <w:tr w:rsidR="00E814D3" w14:paraId="0BEBB948" w14:textId="77777777" w:rsidTr="00E814D3">
        <w:trPr>
          <w:cantSplit/>
          <w:trHeight w:val="60"/>
        </w:trPr>
        <w:tc>
          <w:tcPr>
            <w:tcW w:w="1871" w:type="dxa"/>
          </w:tcPr>
          <w:p w14:paraId="23913941" w14:textId="77777777" w:rsidR="00E814D3" w:rsidRDefault="00E814D3">
            <w:pPr>
              <w:pStyle w:val="TableSideHeading"/>
              <w:keepLines w:val="0"/>
            </w:pPr>
          </w:p>
        </w:tc>
        <w:tc>
          <w:tcPr>
            <w:tcW w:w="624" w:type="dxa"/>
          </w:tcPr>
          <w:p w14:paraId="154E27E4" w14:textId="77777777" w:rsidR="00E814D3" w:rsidRPr="00611840" w:rsidRDefault="00E814D3" w:rsidP="00EE5085">
            <w:pPr>
              <w:pStyle w:val="TableText"/>
              <w:keepLines w:val="0"/>
            </w:pPr>
          </w:p>
        </w:tc>
        <w:tc>
          <w:tcPr>
            <w:tcW w:w="1872" w:type="dxa"/>
            <w:gridSpan w:val="3"/>
          </w:tcPr>
          <w:p w14:paraId="725D0EEC" w14:textId="77777777" w:rsidR="00E814D3" w:rsidRDefault="00E814D3" w:rsidP="002063E4">
            <w:pPr>
              <w:pStyle w:val="TableSideHeading"/>
            </w:pPr>
            <w:r w:rsidRPr="00E814D3">
              <w:rPr>
                <w:rtl/>
              </w:rPr>
              <w:t>ביצוע בדיקה עתית, לרבות על-ידי שימוש בבדיקות פוליגרף, למשתתפי דיוני הקבינט</w:t>
            </w:r>
          </w:p>
        </w:tc>
        <w:tc>
          <w:tcPr>
            <w:tcW w:w="624" w:type="dxa"/>
          </w:tcPr>
          <w:p w14:paraId="77125D4E" w14:textId="43E78445" w:rsidR="00E814D3" w:rsidRDefault="00E814D3" w:rsidP="00F90E80">
            <w:pPr>
              <w:pStyle w:val="TableSideHeading"/>
              <w:jc w:val="both"/>
            </w:pPr>
            <w:r>
              <w:rPr>
                <w:rFonts w:hint="cs"/>
                <w:rtl/>
              </w:rPr>
              <w:t xml:space="preserve"> 7</w:t>
            </w:r>
            <w:r w:rsidR="00611840">
              <w:rPr>
                <w:rFonts w:hint="cs"/>
                <w:rtl/>
              </w:rPr>
              <w:t>א</w:t>
            </w:r>
            <w:r w:rsidR="004C5C65">
              <w:rPr>
                <w:rFonts w:hint="cs"/>
                <w:rtl/>
              </w:rPr>
              <w:t>.</w:t>
            </w:r>
          </w:p>
        </w:tc>
        <w:tc>
          <w:tcPr>
            <w:tcW w:w="4650" w:type="dxa"/>
            <w:gridSpan w:val="2"/>
          </w:tcPr>
          <w:p w14:paraId="65DF5FC1" w14:textId="63C74C72" w:rsidR="00E814D3" w:rsidRPr="00161FCE" w:rsidRDefault="00E66A3C" w:rsidP="008C06C1">
            <w:pPr>
              <w:pStyle w:val="TableSideHeading"/>
              <w:jc w:val="both"/>
            </w:pPr>
            <w:r w:rsidRPr="00E66A3C">
              <w:rPr>
                <w:rFonts w:hint="cs"/>
                <w:rtl/>
              </w:rPr>
              <w:t>(א</w:t>
            </w:r>
            <w:r>
              <w:rPr>
                <w:rtl/>
              </w:rPr>
              <w:t xml:space="preserve">) </w:t>
            </w:r>
            <w:r w:rsidR="00530FC6" w:rsidRPr="000D4472">
              <w:rPr>
                <w:rFonts w:ascii="David" w:hAnsi="David"/>
                <w:sz w:val="26"/>
                <w:rtl/>
              </w:rPr>
              <w:t xml:space="preserve">שירות הביטחון הכללי (בסעיף זה – השירות) יבצע בדיקה עתית, לרבות על-ידי שימוש בבדיקות פוליגרף, אשר </w:t>
            </w:r>
            <w:r w:rsidR="00530FC6" w:rsidRPr="0025588C">
              <w:rPr>
                <w:rFonts w:ascii="David" w:hAnsi="David"/>
                <w:sz w:val="26"/>
                <w:rtl/>
              </w:rPr>
              <w:t>תקבע האם עלה חשש</w:t>
            </w:r>
            <w:r w:rsidR="00530FC6" w:rsidRPr="000D4472">
              <w:rPr>
                <w:rFonts w:ascii="David" w:hAnsi="David"/>
                <w:sz w:val="26"/>
                <w:rtl/>
              </w:rPr>
              <w:t xml:space="preserve"> שמשתתף בדיוני קבינט </w:t>
            </w:r>
            <w:r w:rsidR="00530FC6">
              <w:rPr>
                <w:rFonts w:ascii="David" w:hAnsi="David" w:hint="cs"/>
                <w:sz w:val="26"/>
                <w:rtl/>
              </w:rPr>
              <w:t>העביר</w:t>
            </w:r>
            <w:r w:rsidR="00530FC6" w:rsidRPr="000D4472">
              <w:rPr>
                <w:rFonts w:ascii="David" w:hAnsi="David"/>
                <w:sz w:val="26"/>
                <w:rtl/>
              </w:rPr>
              <w:t xml:space="preserve"> מידע שלא בסמכות</w:t>
            </w:r>
            <w:r w:rsidR="00161FCE">
              <w:rPr>
                <w:rFonts w:ascii="David" w:hAnsi="David" w:hint="cs"/>
                <w:sz w:val="26"/>
                <w:rtl/>
              </w:rPr>
              <w:t>.</w:t>
            </w:r>
            <w:r w:rsidR="008C06C1">
              <w:rPr>
                <w:rFonts w:hint="cs"/>
                <w:rtl/>
              </w:rPr>
              <w:t xml:space="preserve">                    </w:t>
            </w:r>
          </w:p>
        </w:tc>
      </w:tr>
      <w:tr w:rsidR="00E66A3C" w14:paraId="4CC1D4B3" w14:textId="77777777" w:rsidTr="00E814D3">
        <w:trPr>
          <w:cantSplit/>
          <w:trHeight w:val="60"/>
        </w:trPr>
        <w:tc>
          <w:tcPr>
            <w:tcW w:w="1871" w:type="dxa"/>
          </w:tcPr>
          <w:p w14:paraId="6D2FABD0" w14:textId="77777777" w:rsidR="00E66A3C" w:rsidRDefault="00E66A3C">
            <w:pPr>
              <w:pStyle w:val="TableSideHeading"/>
              <w:keepLines w:val="0"/>
            </w:pPr>
          </w:p>
        </w:tc>
        <w:tc>
          <w:tcPr>
            <w:tcW w:w="624" w:type="dxa"/>
          </w:tcPr>
          <w:p w14:paraId="58DF2E4A" w14:textId="77777777" w:rsidR="00E66A3C" w:rsidRDefault="00E66A3C" w:rsidP="00E66A3C">
            <w:pPr>
              <w:pStyle w:val="TableText"/>
            </w:pPr>
          </w:p>
        </w:tc>
        <w:tc>
          <w:tcPr>
            <w:tcW w:w="1872" w:type="dxa"/>
            <w:gridSpan w:val="3"/>
          </w:tcPr>
          <w:p w14:paraId="04FFC419" w14:textId="77777777" w:rsidR="00E66A3C" w:rsidRPr="00E814D3" w:rsidRDefault="00E66A3C" w:rsidP="00F90E80">
            <w:pPr>
              <w:pStyle w:val="TableSideHeading"/>
              <w:jc w:val="both"/>
              <w:rPr>
                <w:rtl/>
              </w:rPr>
            </w:pPr>
          </w:p>
        </w:tc>
        <w:tc>
          <w:tcPr>
            <w:tcW w:w="624" w:type="dxa"/>
          </w:tcPr>
          <w:p w14:paraId="6312A62E" w14:textId="77777777" w:rsidR="00E66A3C" w:rsidRDefault="00E66A3C" w:rsidP="00F90E80">
            <w:pPr>
              <w:pStyle w:val="TableSideHeading"/>
              <w:jc w:val="both"/>
              <w:rPr>
                <w:rtl/>
              </w:rPr>
            </w:pPr>
          </w:p>
        </w:tc>
        <w:tc>
          <w:tcPr>
            <w:tcW w:w="4650" w:type="dxa"/>
            <w:gridSpan w:val="2"/>
          </w:tcPr>
          <w:p w14:paraId="5D7E2E44" w14:textId="77777777" w:rsidR="00E66A3C" w:rsidRPr="00E66A3C" w:rsidRDefault="00E66A3C" w:rsidP="00F90E80">
            <w:pPr>
              <w:pStyle w:val="TableSideHeading"/>
              <w:jc w:val="both"/>
              <w:rPr>
                <w:rtl/>
              </w:rPr>
            </w:pPr>
            <w:r>
              <w:rPr>
                <w:rFonts w:hint="cs"/>
                <w:rtl/>
              </w:rPr>
              <w:t>(ב) הבדיקה העתית תתבצע במועדים הבאים:</w:t>
            </w:r>
          </w:p>
        </w:tc>
      </w:tr>
      <w:tr w:rsidR="00DA28A2" w14:paraId="5EC79036" w14:textId="77777777" w:rsidTr="008C06C1">
        <w:trPr>
          <w:cantSplit/>
          <w:trHeight w:val="60"/>
        </w:trPr>
        <w:tc>
          <w:tcPr>
            <w:tcW w:w="1871" w:type="dxa"/>
          </w:tcPr>
          <w:p w14:paraId="4309A361" w14:textId="77777777" w:rsidR="00DA28A2" w:rsidRDefault="00DA28A2">
            <w:pPr>
              <w:pStyle w:val="TableSideHeading"/>
            </w:pPr>
          </w:p>
        </w:tc>
        <w:tc>
          <w:tcPr>
            <w:tcW w:w="624" w:type="dxa"/>
          </w:tcPr>
          <w:p w14:paraId="63CD9D99" w14:textId="77777777" w:rsidR="00DA28A2" w:rsidRDefault="00DA28A2">
            <w:pPr>
              <w:pStyle w:val="TableText"/>
            </w:pPr>
          </w:p>
        </w:tc>
        <w:tc>
          <w:tcPr>
            <w:tcW w:w="624" w:type="dxa"/>
          </w:tcPr>
          <w:p w14:paraId="6223DCDB" w14:textId="77777777" w:rsidR="00DA28A2" w:rsidRDefault="00DA28A2" w:rsidP="00F90E80">
            <w:pPr>
              <w:pStyle w:val="TableText"/>
              <w:jc w:val="both"/>
            </w:pPr>
          </w:p>
        </w:tc>
        <w:tc>
          <w:tcPr>
            <w:tcW w:w="624" w:type="dxa"/>
          </w:tcPr>
          <w:p w14:paraId="14DCBB71" w14:textId="77777777" w:rsidR="00DA28A2" w:rsidRDefault="00DA28A2" w:rsidP="00F90E80">
            <w:pPr>
              <w:pStyle w:val="TableText"/>
              <w:jc w:val="both"/>
            </w:pPr>
          </w:p>
        </w:tc>
        <w:tc>
          <w:tcPr>
            <w:tcW w:w="624" w:type="dxa"/>
          </w:tcPr>
          <w:p w14:paraId="730F9785" w14:textId="77777777" w:rsidR="00DA28A2" w:rsidRDefault="00DA28A2" w:rsidP="00F90E80">
            <w:pPr>
              <w:pStyle w:val="TableText"/>
              <w:jc w:val="both"/>
            </w:pPr>
          </w:p>
        </w:tc>
        <w:tc>
          <w:tcPr>
            <w:tcW w:w="624" w:type="dxa"/>
          </w:tcPr>
          <w:p w14:paraId="3834AF5F" w14:textId="77777777" w:rsidR="00DA28A2" w:rsidRDefault="00DA28A2" w:rsidP="00F90E80">
            <w:pPr>
              <w:pStyle w:val="TableText"/>
              <w:jc w:val="both"/>
            </w:pPr>
          </w:p>
        </w:tc>
        <w:tc>
          <w:tcPr>
            <w:tcW w:w="255" w:type="dxa"/>
          </w:tcPr>
          <w:p w14:paraId="58389246" w14:textId="77777777" w:rsidR="00DA28A2" w:rsidRDefault="00DA28A2" w:rsidP="00F90E80">
            <w:pPr>
              <w:pStyle w:val="TableText"/>
              <w:jc w:val="both"/>
            </w:pPr>
          </w:p>
        </w:tc>
        <w:tc>
          <w:tcPr>
            <w:tcW w:w="4395" w:type="dxa"/>
          </w:tcPr>
          <w:p w14:paraId="0D505B34" w14:textId="06DEB8CD" w:rsidR="00DA28A2" w:rsidRDefault="007C739E" w:rsidP="00F90E80">
            <w:pPr>
              <w:pStyle w:val="TableBlock"/>
            </w:pPr>
            <w:r>
              <w:rPr>
                <w:rFonts w:hint="cs"/>
                <w:rtl/>
              </w:rPr>
              <w:t xml:space="preserve">(1) </w:t>
            </w:r>
            <w:r w:rsidR="00DA28A2">
              <w:rPr>
                <w:rFonts w:hint="cs"/>
                <w:rtl/>
              </w:rPr>
              <w:t>לאחר שחלפה שנה ממועד הקמת ממשלה חדשה.</w:t>
            </w:r>
          </w:p>
        </w:tc>
      </w:tr>
      <w:tr w:rsidR="00DA28A2" w14:paraId="44E4AC92" w14:textId="77777777" w:rsidTr="008C06C1">
        <w:trPr>
          <w:cantSplit/>
          <w:trHeight w:val="60"/>
        </w:trPr>
        <w:tc>
          <w:tcPr>
            <w:tcW w:w="1871" w:type="dxa"/>
          </w:tcPr>
          <w:p w14:paraId="28F45BE8" w14:textId="77777777" w:rsidR="00DA28A2" w:rsidRDefault="00DA28A2">
            <w:pPr>
              <w:pStyle w:val="TableSideHeading"/>
            </w:pPr>
          </w:p>
        </w:tc>
        <w:tc>
          <w:tcPr>
            <w:tcW w:w="624" w:type="dxa"/>
          </w:tcPr>
          <w:p w14:paraId="4176A986" w14:textId="77777777" w:rsidR="00DA28A2" w:rsidRDefault="00DA28A2" w:rsidP="00DA28A2">
            <w:pPr>
              <w:pStyle w:val="TableText"/>
            </w:pPr>
          </w:p>
        </w:tc>
        <w:tc>
          <w:tcPr>
            <w:tcW w:w="624" w:type="dxa"/>
          </w:tcPr>
          <w:p w14:paraId="00525625" w14:textId="77777777" w:rsidR="00DA28A2" w:rsidRDefault="00DA28A2" w:rsidP="00F90E80">
            <w:pPr>
              <w:pStyle w:val="TableText"/>
              <w:jc w:val="both"/>
            </w:pPr>
          </w:p>
        </w:tc>
        <w:tc>
          <w:tcPr>
            <w:tcW w:w="624" w:type="dxa"/>
          </w:tcPr>
          <w:p w14:paraId="71BF8276" w14:textId="77777777" w:rsidR="00DA28A2" w:rsidRDefault="00DA28A2" w:rsidP="00F90E80">
            <w:pPr>
              <w:pStyle w:val="TableText"/>
              <w:jc w:val="both"/>
            </w:pPr>
          </w:p>
        </w:tc>
        <w:tc>
          <w:tcPr>
            <w:tcW w:w="624" w:type="dxa"/>
          </w:tcPr>
          <w:p w14:paraId="5AFCCB79" w14:textId="77777777" w:rsidR="00DA28A2" w:rsidRDefault="00DA28A2" w:rsidP="00F90E80">
            <w:pPr>
              <w:pStyle w:val="TableText"/>
              <w:jc w:val="both"/>
            </w:pPr>
          </w:p>
        </w:tc>
        <w:tc>
          <w:tcPr>
            <w:tcW w:w="624" w:type="dxa"/>
          </w:tcPr>
          <w:p w14:paraId="2F16CAAF" w14:textId="77777777" w:rsidR="00DA28A2" w:rsidRDefault="00DA28A2" w:rsidP="00F90E80">
            <w:pPr>
              <w:pStyle w:val="TableText"/>
              <w:jc w:val="both"/>
            </w:pPr>
          </w:p>
        </w:tc>
        <w:tc>
          <w:tcPr>
            <w:tcW w:w="255" w:type="dxa"/>
          </w:tcPr>
          <w:p w14:paraId="186A5A5E" w14:textId="77777777" w:rsidR="00DA28A2" w:rsidRDefault="00DA28A2" w:rsidP="00F90E80">
            <w:pPr>
              <w:pStyle w:val="TableText"/>
              <w:jc w:val="both"/>
            </w:pPr>
          </w:p>
        </w:tc>
        <w:tc>
          <w:tcPr>
            <w:tcW w:w="4395" w:type="dxa"/>
          </w:tcPr>
          <w:p w14:paraId="431983DE" w14:textId="49145C01" w:rsidR="00DA28A2" w:rsidRDefault="007C739E" w:rsidP="00F90E80">
            <w:pPr>
              <w:pStyle w:val="TableBlock"/>
              <w:rPr>
                <w:rtl/>
              </w:rPr>
            </w:pPr>
            <w:r>
              <w:rPr>
                <w:rFonts w:hint="cs"/>
                <w:rtl/>
              </w:rPr>
              <w:t xml:space="preserve">(2) </w:t>
            </w:r>
            <w:r w:rsidR="00DA28A2">
              <w:rPr>
                <w:rFonts w:hint="cs"/>
                <w:rtl/>
              </w:rPr>
              <w:t>לאחר שחלפו שלוש שנים ממועד הקמת ממשלה חדשה</w:t>
            </w:r>
            <w:r w:rsidR="00652E27">
              <w:rPr>
                <w:rFonts w:hint="cs"/>
                <w:rtl/>
              </w:rPr>
              <w:t>.</w:t>
            </w:r>
          </w:p>
        </w:tc>
      </w:tr>
      <w:tr w:rsidR="00E66A3C" w14:paraId="68E9FF25" w14:textId="77777777" w:rsidTr="00E814D3">
        <w:trPr>
          <w:cantSplit/>
          <w:trHeight w:val="60"/>
        </w:trPr>
        <w:tc>
          <w:tcPr>
            <w:tcW w:w="1871" w:type="dxa"/>
          </w:tcPr>
          <w:p w14:paraId="13BD3D7A" w14:textId="77777777" w:rsidR="00E66A3C" w:rsidRDefault="00E66A3C">
            <w:pPr>
              <w:pStyle w:val="TableSideHeading"/>
              <w:keepLines w:val="0"/>
            </w:pPr>
          </w:p>
        </w:tc>
        <w:tc>
          <w:tcPr>
            <w:tcW w:w="624" w:type="dxa"/>
          </w:tcPr>
          <w:p w14:paraId="5DEC1C07" w14:textId="77777777" w:rsidR="00E66A3C" w:rsidRDefault="00E66A3C" w:rsidP="00E66A3C">
            <w:pPr>
              <w:pStyle w:val="TableText"/>
            </w:pPr>
          </w:p>
        </w:tc>
        <w:tc>
          <w:tcPr>
            <w:tcW w:w="1872" w:type="dxa"/>
            <w:gridSpan w:val="3"/>
          </w:tcPr>
          <w:p w14:paraId="45FC26EA" w14:textId="77777777" w:rsidR="00E66A3C" w:rsidRPr="00E814D3" w:rsidRDefault="00E66A3C" w:rsidP="00F90E80">
            <w:pPr>
              <w:pStyle w:val="TableSideHeading"/>
              <w:jc w:val="both"/>
              <w:rPr>
                <w:rtl/>
              </w:rPr>
            </w:pPr>
          </w:p>
        </w:tc>
        <w:tc>
          <w:tcPr>
            <w:tcW w:w="624" w:type="dxa"/>
          </w:tcPr>
          <w:p w14:paraId="756DA7D6" w14:textId="77777777" w:rsidR="00E66A3C" w:rsidRDefault="00E66A3C" w:rsidP="00F90E80">
            <w:pPr>
              <w:pStyle w:val="TableSideHeading"/>
              <w:jc w:val="both"/>
              <w:rPr>
                <w:rtl/>
              </w:rPr>
            </w:pPr>
          </w:p>
        </w:tc>
        <w:tc>
          <w:tcPr>
            <w:tcW w:w="4650" w:type="dxa"/>
            <w:gridSpan w:val="2"/>
          </w:tcPr>
          <w:p w14:paraId="0ACCABDD" w14:textId="5DDFE66D" w:rsidR="00E66A3C" w:rsidRDefault="00E66A3C" w:rsidP="00F90E80">
            <w:pPr>
              <w:pStyle w:val="TableSideHeading"/>
              <w:jc w:val="both"/>
              <w:rPr>
                <w:rtl/>
              </w:rPr>
            </w:pPr>
            <w:r>
              <w:rPr>
                <w:rFonts w:hint="cs"/>
                <w:rtl/>
              </w:rPr>
              <w:t xml:space="preserve">(ג) </w:t>
            </w:r>
            <w:r w:rsidR="00530FC6" w:rsidRPr="000D4472">
              <w:rPr>
                <w:rFonts w:ascii="David" w:hAnsi="David"/>
                <w:sz w:val="26"/>
                <w:rtl/>
              </w:rPr>
              <w:t>השירות יעביר את תוצאות הבדיקה של משתתף בדיוני הקבינט, למשתתף שנבדק, לצוות שרים בראשות ראש הממשלה, ובהשתתפות שר הביטחון</w:t>
            </w:r>
            <w:r w:rsidR="00530FC6">
              <w:rPr>
                <w:rFonts w:ascii="David" w:hAnsi="David" w:hint="cs"/>
                <w:sz w:val="26"/>
                <w:rtl/>
              </w:rPr>
              <w:t xml:space="preserve">, </w:t>
            </w:r>
            <w:r w:rsidR="00530FC6" w:rsidRPr="000D4472">
              <w:rPr>
                <w:rFonts w:ascii="David" w:hAnsi="David"/>
                <w:sz w:val="26"/>
                <w:rtl/>
              </w:rPr>
              <w:t>שר המשפטים</w:t>
            </w:r>
            <w:r w:rsidR="00530FC6">
              <w:rPr>
                <w:rFonts w:ascii="David" w:hAnsi="David" w:hint="cs"/>
                <w:sz w:val="26"/>
                <w:rtl/>
              </w:rPr>
              <w:t xml:space="preserve"> והשר הממונה, במידת הצורך (בסעיף זה </w:t>
            </w:r>
            <w:r w:rsidR="00530FC6">
              <w:rPr>
                <w:rFonts w:ascii="David" w:hAnsi="David"/>
                <w:sz w:val="26"/>
                <w:rtl/>
              </w:rPr>
              <w:t>–</w:t>
            </w:r>
            <w:r w:rsidR="00530FC6">
              <w:rPr>
                <w:rFonts w:ascii="David" w:hAnsi="David" w:hint="cs"/>
                <w:sz w:val="26"/>
                <w:rtl/>
              </w:rPr>
              <w:t xml:space="preserve"> צוות </w:t>
            </w:r>
            <w:r w:rsidR="00530FC6" w:rsidRPr="0025588C">
              <w:rPr>
                <w:rFonts w:ascii="David" w:hAnsi="David" w:hint="cs"/>
                <w:sz w:val="26"/>
                <w:rtl/>
              </w:rPr>
              <w:t>השרים)</w:t>
            </w:r>
            <w:r w:rsidR="00530FC6">
              <w:rPr>
                <w:rFonts w:ascii="David" w:hAnsi="David"/>
                <w:sz w:val="26"/>
                <w:rtl/>
              </w:rPr>
              <w:t xml:space="preserve">; </w:t>
            </w:r>
            <w:r w:rsidR="00530FC6">
              <w:rPr>
                <w:rFonts w:ascii="David" w:hAnsi="David" w:hint="cs"/>
                <w:sz w:val="26"/>
                <w:rtl/>
              </w:rPr>
              <w:t xml:space="preserve">וכן </w:t>
            </w:r>
            <w:r w:rsidR="00530FC6" w:rsidRPr="0025588C">
              <w:rPr>
                <w:rFonts w:ascii="David" w:hAnsi="David"/>
                <w:sz w:val="26"/>
                <w:rtl/>
              </w:rPr>
              <w:t>ליועצת המשפטית לממשלה</w:t>
            </w:r>
            <w:r w:rsidR="004F0BCE">
              <w:rPr>
                <w:rFonts w:hint="cs"/>
                <w:rtl/>
              </w:rPr>
              <w:t>.</w:t>
            </w:r>
          </w:p>
        </w:tc>
      </w:tr>
      <w:tr w:rsidR="00E66A3C" w14:paraId="4A756926" w14:textId="77777777" w:rsidTr="00E814D3">
        <w:trPr>
          <w:cantSplit/>
          <w:trHeight w:val="60"/>
        </w:trPr>
        <w:tc>
          <w:tcPr>
            <w:tcW w:w="1871" w:type="dxa"/>
          </w:tcPr>
          <w:p w14:paraId="73EE21AE" w14:textId="77777777" w:rsidR="00E66A3C" w:rsidRDefault="00E66A3C">
            <w:pPr>
              <w:pStyle w:val="TableSideHeading"/>
              <w:keepLines w:val="0"/>
            </w:pPr>
          </w:p>
        </w:tc>
        <w:tc>
          <w:tcPr>
            <w:tcW w:w="624" w:type="dxa"/>
          </w:tcPr>
          <w:p w14:paraId="118EF7FD" w14:textId="77777777" w:rsidR="00E66A3C" w:rsidRDefault="00E66A3C" w:rsidP="00E66A3C">
            <w:pPr>
              <w:pStyle w:val="TableText"/>
            </w:pPr>
          </w:p>
        </w:tc>
        <w:tc>
          <w:tcPr>
            <w:tcW w:w="1872" w:type="dxa"/>
            <w:gridSpan w:val="3"/>
          </w:tcPr>
          <w:p w14:paraId="34CC6E6A" w14:textId="77777777" w:rsidR="00E66A3C" w:rsidRPr="00E814D3" w:rsidRDefault="00E66A3C" w:rsidP="00F90E80">
            <w:pPr>
              <w:pStyle w:val="TableSideHeading"/>
              <w:jc w:val="both"/>
              <w:rPr>
                <w:rtl/>
              </w:rPr>
            </w:pPr>
          </w:p>
        </w:tc>
        <w:tc>
          <w:tcPr>
            <w:tcW w:w="624" w:type="dxa"/>
          </w:tcPr>
          <w:p w14:paraId="21B4B99E" w14:textId="77777777" w:rsidR="00E66A3C" w:rsidRDefault="00E66A3C" w:rsidP="00F90E80">
            <w:pPr>
              <w:pStyle w:val="TableSideHeading"/>
              <w:jc w:val="both"/>
              <w:rPr>
                <w:rtl/>
              </w:rPr>
            </w:pPr>
          </w:p>
        </w:tc>
        <w:tc>
          <w:tcPr>
            <w:tcW w:w="4650" w:type="dxa"/>
            <w:gridSpan w:val="2"/>
          </w:tcPr>
          <w:p w14:paraId="2D41A576" w14:textId="3A14CE6A" w:rsidR="00E66A3C" w:rsidRPr="00E66A3C" w:rsidRDefault="00E66A3C" w:rsidP="004713DC">
            <w:pPr>
              <w:pStyle w:val="TableSideHeading"/>
              <w:jc w:val="both"/>
              <w:rPr>
                <w:rFonts w:ascii="David" w:hAnsi="David"/>
                <w:sz w:val="26"/>
                <w:rtl/>
              </w:rPr>
            </w:pPr>
            <w:r>
              <w:rPr>
                <w:rFonts w:hint="cs"/>
                <w:rtl/>
              </w:rPr>
              <w:t xml:space="preserve">(ד) </w:t>
            </w:r>
            <w:r w:rsidR="004F0BCE">
              <w:rPr>
                <w:rFonts w:ascii="David" w:hAnsi="David" w:hint="cs"/>
                <w:sz w:val="26"/>
                <w:rtl/>
              </w:rPr>
              <w:t xml:space="preserve">העלו </w:t>
            </w:r>
            <w:r>
              <w:rPr>
                <w:rFonts w:ascii="David" w:hAnsi="David" w:hint="cs"/>
                <w:sz w:val="26"/>
                <w:rtl/>
              </w:rPr>
              <w:t xml:space="preserve">תוצאות הבדיקה של משתתף בדיוני קבינט חשש כי העביר מידע שלא בסמכות, יפעלו הגורמים הבאים, לפי העניין, באופן הבא </w:t>
            </w:r>
            <w:r w:rsidRPr="000D4472">
              <w:rPr>
                <w:rFonts w:ascii="David" w:hAnsi="David"/>
                <w:sz w:val="26"/>
                <w:rtl/>
              </w:rPr>
              <w:t>–</w:t>
            </w:r>
            <w:r>
              <w:rPr>
                <w:rFonts w:ascii="David" w:hAnsi="David" w:hint="cs"/>
                <w:sz w:val="26"/>
                <w:rtl/>
              </w:rPr>
              <w:t xml:space="preserve"> </w:t>
            </w:r>
          </w:p>
        </w:tc>
      </w:tr>
      <w:tr w:rsidR="00DA28A2" w14:paraId="27D20532" w14:textId="77777777" w:rsidTr="008C06C1">
        <w:trPr>
          <w:cantSplit/>
          <w:trHeight w:val="60"/>
        </w:trPr>
        <w:tc>
          <w:tcPr>
            <w:tcW w:w="1871" w:type="dxa"/>
          </w:tcPr>
          <w:p w14:paraId="154FA302" w14:textId="77777777" w:rsidR="00DA28A2" w:rsidRDefault="00DA28A2">
            <w:pPr>
              <w:pStyle w:val="TableSideHeading"/>
            </w:pPr>
          </w:p>
        </w:tc>
        <w:tc>
          <w:tcPr>
            <w:tcW w:w="624" w:type="dxa"/>
          </w:tcPr>
          <w:p w14:paraId="2B2D5327" w14:textId="77777777" w:rsidR="00DA28A2" w:rsidRDefault="00DA28A2">
            <w:pPr>
              <w:pStyle w:val="TableText"/>
            </w:pPr>
          </w:p>
        </w:tc>
        <w:tc>
          <w:tcPr>
            <w:tcW w:w="624" w:type="dxa"/>
          </w:tcPr>
          <w:p w14:paraId="04DBC754" w14:textId="77777777" w:rsidR="00DA28A2" w:rsidRDefault="00DA28A2" w:rsidP="00F90E80">
            <w:pPr>
              <w:pStyle w:val="TableText"/>
              <w:jc w:val="both"/>
            </w:pPr>
          </w:p>
        </w:tc>
        <w:tc>
          <w:tcPr>
            <w:tcW w:w="624" w:type="dxa"/>
          </w:tcPr>
          <w:p w14:paraId="7E7A91EA" w14:textId="77777777" w:rsidR="00DA28A2" w:rsidRDefault="00DA28A2" w:rsidP="00F90E80">
            <w:pPr>
              <w:pStyle w:val="TableText"/>
              <w:jc w:val="both"/>
            </w:pPr>
          </w:p>
        </w:tc>
        <w:tc>
          <w:tcPr>
            <w:tcW w:w="624" w:type="dxa"/>
          </w:tcPr>
          <w:p w14:paraId="3F3CCB3F" w14:textId="77777777" w:rsidR="00DA28A2" w:rsidRDefault="00DA28A2" w:rsidP="00F90E80">
            <w:pPr>
              <w:pStyle w:val="TableText"/>
              <w:jc w:val="both"/>
            </w:pPr>
          </w:p>
        </w:tc>
        <w:tc>
          <w:tcPr>
            <w:tcW w:w="624" w:type="dxa"/>
          </w:tcPr>
          <w:p w14:paraId="1A4E18DD" w14:textId="77777777" w:rsidR="00DA28A2" w:rsidRDefault="00DA28A2" w:rsidP="00F90E80">
            <w:pPr>
              <w:pStyle w:val="TableText"/>
              <w:jc w:val="both"/>
            </w:pPr>
          </w:p>
        </w:tc>
        <w:tc>
          <w:tcPr>
            <w:tcW w:w="255" w:type="dxa"/>
          </w:tcPr>
          <w:p w14:paraId="411C9C1E" w14:textId="77777777" w:rsidR="00DA28A2" w:rsidRDefault="00DA28A2" w:rsidP="00F90E80">
            <w:pPr>
              <w:pStyle w:val="TableText"/>
              <w:jc w:val="both"/>
            </w:pPr>
          </w:p>
        </w:tc>
        <w:tc>
          <w:tcPr>
            <w:tcW w:w="4395" w:type="dxa"/>
          </w:tcPr>
          <w:p w14:paraId="019E0FD5" w14:textId="7BBE3D7F" w:rsidR="00DA28A2" w:rsidRDefault="00DA28A2" w:rsidP="00750EE6">
            <w:pPr>
              <w:pStyle w:val="TableBlock"/>
            </w:pPr>
            <w:r w:rsidRPr="008C7763">
              <w:rPr>
                <w:rFonts w:ascii="David" w:hAnsi="David"/>
                <w:sz w:val="26"/>
                <w:rtl/>
              </w:rPr>
              <w:t>(1) בעניינו של משתתף בדיוני הקבינט שהינו נבחר ציבור –</w:t>
            </w:r>
            <w:r w:rsidRPr="008C7763">
              <w:rPr>
                <w:rFonts w:ascii="David" w:hAnsi="David" w:hint="cs"/>
                <w:sz w:val="26"/>
                <w:rtl/>
              </w:rPr>
              <w:t xml:space="preserve"> </w:t>
            </w:r>
            <w:r w:rsidR="002063E4">
              <w:rPr>
                <w:rFonts w:ascii="David" w:hAnsi="David" w:hint="cs"/>
                <w:sz w:val="26"/>
                <w:rtl/>
              </w:rPr>
              <w:t>ראש הממשלה י</w:t>
            </w:r>
            <w:r w:rsidR="00652E27">
              <w:rPr>
                <w:rFonts w:ascii="David" w:hAnsi="David" w:hint="cs"/>
                <w:sz w:val="26"/>
                <w:rtl/>
              </w:rPr>
              <w:t>תייעץ עם</w:t>
            </w:r>
            <w:r w:rsidR="002063E4">
              <w:rPr>
                <w:rFonts w:ascii="David" w:hAnsi="David" w:hint="cs"/>
                <w:sz w:val="26"/>
                <w:rtl/>
              </w:rPr>
              <w:t xml:space="preserve"> </w:t>
            </w:r>
            <w:r w:rsidRPr="008C7763">
              <w:rPr>
                <w:rFonts w:ascii="David" w:hAnsi="David" w:hint="cs"/>
                <w:sz w:val="26"/>
                <w:rtl/>
              </w:rPr>
              <w:t xml:space="preserve">צוות השרים </w:t>
            </w:r>
            <w:r w:rsidR="00652E27">
              <w:rPr>
                <w:rFonts w:ascii="David" w:hAnsi="David" w:hint="cs"/>
                <w:sz w:val="26"/>
                <w:rtl/>
              </w:rPr>
              <w:t xml:space="preserve">אם </w:t>
            </w:r>
            <w:r w:rsidRPr="008C7763">
              <w:rPr>
                <w:rFonts w:ascii="David" w:hAnsi="David" w:hint="cs"/>
                <w:sz w:val="26"/>
                <w:rtl/>
              </w:rPr>
              <w:t>לנקוט בצעדים כנגד המשתתף האמור</w:t>
            </w:r>
            <w:r>
              <w:rPr>
                <w:rFonts w:ascii="David" w:hAnsi="David" w:hint="cs"/>
                <w:sz w:val="26"/>
                <w:rtl/>
              </w:rPr>
              <w:t xml:space="preserve">, לרבות </w:t>
            </w:r>
            <w:r w:rsidRPr="008C7763">
              <w:rPr>
                <w:rFonts w:ascii="David" w:hAnsi="David" w:hint="cs"/>
                <w:sz w:val="26"/>
                <w:rtl/>
              </w:rPr>
              <w:t>האפשרות להעבירו מתפקידו</w:t>
            </w:r>
            <w:r w:rsidRPr="008C7763">
              <w:rPr>
                <w:rFonts w:ascii="David" w:hAnsi="David"/>
                <w:sz w:val="26"/>
                <w:rtl/>
              </w:rPr>
              <w:t>.</w:t>
            </w:r>
            <w:r w:rsidRPr="008C7763">
              <w:rPr>
                <w:rFonts w:ascii="David" w:hAnsi="David" w:hint="cs"/>
                <w:sz w:val="26"/>
                <w:rtl/>
              </w:rPr>
              <w:t xml:space="preserve"> </w:t>
            </w:r>
            <w:r w:rsidRPr="008C7763">
              <w:rPr>
                <w:rFonts w:ascii="David" w:hAnsi="David"/>
                <w:sz w:val="26"/>
                <w:rtl/>
              </w:rPr>
              <w:t>אין באמור בס"ק זה להקנות לראש הממשלה</w:t>
            </w:r>
            <w:r w:rsidRPr="008C7763">
              <w:rPr>
                <w:rFonts w:ascii="David" w:hAnsi="David" w:hint="cs"/>
                <w:sz w:val="26"/>
                <w:rtl/>
              </w:rPr>
              <w:t xml:space="preserve"> או לכל גורם אחר</w:t>
            </w:r>
            <w:r w:rsidRPr="008C7763">
              <w:rPr>
                <w:rFonts w:ascii="David" w:hAnsi="David"/>
                <w:sz w:val="26"/>
                <w:rtl/>
              </w:rPr>
              <w:t xml:space="preserve"> סמכויות שאינן מצויות ביד</w:t>
            </w:r>
            <w:r w:rsidRPr="008C7763">
              <w:rPr>
                <w:rFonts w:ascii="David" w:hAnsi="David" w:hint="cs"/>
                <w:sz w:val="26"/>
                <w:rtl/>
              </w:rPr>
              <w:t>יהם</w:t>
            </w:r>
            <w:r w:rsidRPr="008C7763">
              <w:rPr>
                <w:rFonts w:ascii="David" w:hAnsi="David"/>
                <w:sz w:val="26"/>
                <w:rtl/>
              </w:rPr>
              <w:t xml:space="preserve"> כיום על-פי כל דין. </w:t>
            </w:r>
            <w:r w:rsidR="008B5FBB" w:rsidRPr="008B5FBB">
              <w:rPr>
                <w:rFonts w:ascii="David" w:hAnsi="David"/>
                <w:sz w:val="26"/>
                <w:rtl/>
              </w:rPr>
              <w:t>עלה החשש שאחד מצוות השרים שאינו ראש הממשלה העביר מידע שלא בסמכות – לא ישתתף השר בהתי</w:t>
            </w:r>
            <w:r w:rsidR="00121030">
              <w:rPr>
                <w:rFonts w:ascii="David" w:hAnsi="David"/>
                <w:sz w:val="26"/>
                <w:rtl/>
              </w:rPr>
              <w:t xml:space="preserve">יעצות שיקיים ראש הממשלה </w:t>
            </w:r>
            <w:r w:rsidR="008B5FBB" w:rsidRPr="008B5FBB">
              <w:rPr>
                <w:rFonts w:ascii="David" w:hAnsi="David"/>
                <w:sz w:val="26"/>
                <w:rtl/>
              </w:rPr>
              <w:t xml:space="preserve">לפי סעיף קטן זה. </w:t>
            </w:r>
            <w:r w:rsidRPr="008C7763">
              <w:rPr>
                <w:rFonts w:ascii="David" w:hAnsi="David"/>
                <w:sz w:val="26"/>
                <w:rtl/>
              </w:rPr>
              <w:t xml:space="preserve">עלה החשש </w:t>
            </w:r>
            <w:r w:rsidR="008B5FBB">
              <w:rPr>
                <w:rFonts w:ascii="David" w:hAnsi="David" w:hint="cs"/>
                <w:sz w:val="26"/>
                <w:rtl/>
              </w:rPr>
              <w:t>ש</w:t>
            </w:r>
            <w:r w:rsidRPr="008C7763">
              <w:rPr>
                <w:rFonts w:ascii="David" w:hAnsi="David"/>
                <w:sz w:val="26"/>
                <w:rtl/>
              </w:rPr>
              <w:t xml:space="preserve">ראש הממשלה </w:t>
            </w:r>
            <w:r>
              <w:rPr>
                <w:rFonts w:ascii="David" w:hAnsi="David" w:hint="cs"/>
                <w:sz w:val="26"/>
                <w:rtl/>
              </w:rPr>
              <w:t>העביר</w:t>
            </w:r>
            <w:r w:rsidRPr="0025588C">
              <w:rPr>
                <w:rFonts w:ascii="David" w:hAnsi="David"/>
                <w:sz w:val="26"/>
                <w:rtl/>
              </w:rPr>
              <w:t xml:space="preserve"> מידע שלא בסמכות, יתייעצו </w:t>
            </w:r>
            <w:r w:rsidR="00DE6458">
              <w:rPr>
                <w:rFonts w:ascii="David" w:hAnsi="David" w:hint="cs"/>
                <w:sz w:val="26"/>
                <w:rtl/>
              </w:rPr>
              <w:t xml:space="preserve">בעניין </w:t>
            </w:r>
            <w:r w:rsidRPr="0025588C">
              <w:rPr>
                <w:rFonts w:ascii="David" w:hAnsi="David"/>
                <w:sz w:val="26"/>
                <w:rtl/>
              </w:rPr>
              <w:t>שר הביטחון ושר המשפטים עם שר נוסף</w:t>
            </w:r>
            <w:r w:rsidRPr="0025588C">
              <w:rPr>
                <w:rFonts w:ascii="David" w:hAnsi="David" w:hint="cs"/>
                <w:sz w:val="26"/>
                <w:rtl/>
              </w:rPr>
              <w:t>,</w:t>
            </w:r>
            <w:r w:rsidRPr="0025588C">
              <w:rPr>
                <w:rFonts w:ascii="David" w:hAnsi="David"/>
                <w:sz w:val="26"/>
                <w:rtl/>
              </w:rPr>
              <w:t xml:space="preserve"> </w:t>
            </w:r>
            <w:r w:rsidR="00DE6458">
              <w:rPr>
                <w:rFonts w:ascii="David" w:hAnsi="David" w:hint="cs"/>
                <w:sz w:val="26"/>
                <w:rtl/>
              </w:rPr>
              <w:t>שיוסכם ביניהם</w:t>
            </w:r>
            <w:r w:rsidR="00750EE6">
              <w:rPr>
                <w:rFonts w:ascii="David" w:hAnsi="David" w:hint="cs"/>
                <w:sz w:val="26"/>
                <w:rtl/>
              </w:rPr>
              <w:t xml:space="preserve">. </w:t>
            </w:r>
          </w:p>
        </w:tc>
      </w:tr>
      <w:tr w:rsidR="00DA28A2" w14:paraId="1D48D797" w14:textId="77777777" w:rsidTr="008C06C1">
        <w:trPr>
          <w:cantSplit/>
          <w:trHeight w:val="60"/>
        </w:trPr>
        <w:tc>
          <w:tcPr>
            <w:tcW w:w="1871" w:type="dxa"/>
          </w:tcPr>
          <w:p w14:paraId="3F1E0617" w14:textId="77777777" w:rsidR="00DA28A2" w:rsidRDefault="00DA28A2">
            <w:pPr>
              <w:pStyle w:val="TableSideHeading"/>
            </w:pPr>
          </w:p>
        </w:tc>
        <w:tc>
          <w:tcPr>
            <w:tcW w:w="624" w:type="dxa"/>
          </w:tcPr>
          <w:p w14:paraId="7DDC64CD" w14:textId="77777777" w:rsidR="00DA28A2" w:rsidRDefault="00DA28A2" w:rsidP="00DA28A2">
            <w:pPr>
              <w:pStyle w:val="TableText"/>
            </w:pPr>
          </w:p>
        </w:tc>
        <w:tc>
          <w:tcPr>
            <w:tcW w:w="624" w:type="dxa"/>
          </w:tcPr>
          <w:p w14:paraId="0B13F6B9" w14:textId="77777777" w:rsidR="00DA28A2" w:rsidRDefault="00DA28A2" w:rsidP="00F90E80">
            <w:pPr>
              <w:pStyle w:val="TableText"/>
              <w:jc w:val="both"/>
            </w:pPr>
          </w:p>
        </w:tc>
        <w:tc>
          <w:tcPr>
            <w:tcW w:w="624" w:type="dxa"/>
          </w:tcPr>
          <w:p w14:paraId="17ECE091" w14:textId="77777777" w:rsidR="00DA28A2" w:rsidRDefault="00DA28A2" w:rsidP="00F90E80">
            <w:pPr>
              <w:pStyle w:val="TableText"/>
              <w:jc w:val="both"/>
            </w:pPr>
          </w:p>
        </w:tc>
        <w:tc>
          <w:tcPr>
            <w:tcW w:w="624" w:type="dxa"/>
          </w:tcPr>
          <w:p w14:paraId="756FC77B" w14:textId="77777777" w:rsidR="00DA28A2" w:rsidRDefault="00DA28A2" w:rsidP="00F90E80">
            <w:pPr>
              <w:pStyle w:val="TableText"/>
              <w:jc w:val="both"/>
            </w:pPr>
          </w:p>
        </w:tc>
        <w:tc>
          <w:tcPr>
            <w:tcW w:w="624" w:type="dxa"/>
          </w:tcPr>
          <w:p w14:paraId="5C44AB59" w14:textId="77777777" w:rsidR="00DA28A2" w:rsidRDefault="00DA28A2" w:rsidP="00F90E80">
            <w:pPr>
              <w:pStyle w:val="TableText"/>
              <w:jc w:val="both"/>
            </w:pPr>
          </w:p>
        </w:tc>
        <w:tc>
          <w:tcPr>
            <w:tcW w:w="255" w:type="dxa"/>
          </w:tcPr>
          <w:p w14:paraId="516E644D" w14:textId="77777777" w:rsidR="00DA28A2" w:rsidRDefault="00DA28A2" w:rsidP="00F90E80">
            <w:pPr>
              <w:pStyle w:val="TableText"/>
              <w:jc w:val="both"/>
            </w:pPr>
          </w:p>
        </w:tc>
        <w:tc>
          <w:tcPr>
            <w:tcW w:w="4395" w:type="dxa"/>
          </w:tcPr>
          <w:p w14:paraId="130AB830" w14:textId="5E10BFBA" w:rsidR="00DA28A2" w:rsidRPr="008C7763" w:rsidRDefault="00DA28A2" w:rsidP="00F90E80">
            <w:pPr>
              <w:pStyle w:val="TableBlock"/>
              <w:rPr>
                <w:rFonts w:ascii="David" w:hAnsi="David"/>
                <w:sz w:val="26"/>
                <w:rtl/>
              </w:rPr>
            </w:pPr>
            <w:r>
              <w:rPr>
                <w:rFonts w:ascii="David" w:hAnsi="David" w:hint="cs"/>
                <w:sz w:val="26"/>
                <w:rtl/>
              </w:rPr>
              <w:t>(2)</w:t>
            </w:r>
            <w:r w:rsidRPr="000D4472">
              <w:rPr>
                <w:rFonts w:ascii="David" w:hAnsi="David"/>
                <w:sz w:val="26"/>
                <w:rtl/>
              </w:rPr>
              <w:t xml:space="preserve"> בעניינו של משתתף בדיוני הקבינט שאינו נבחר ציבור – </w:t>
            </w:r>
            <w:r w:rsidR="00652E27">
              <w:rPr>
                <w:rFonts w:ascii="David" w:hAnsi="David" w:hint="cs"/>
                <w:sz w:val="26"/>
                <w:rtl/>
              </w:rPr>
              <w:t xml:space="preserve">ראש הממשלה יתייעץ עם </w:t>
            </w:r>
            <w:r>
              <w:rPr>
                <w:rFonts w:ascii="David" w:hAnsi="David" w:hint="cs"/>
                <w:sz w:val="26"/>
                <w:rtl/>
              </w:rPr>
              <w:t xml:space="preserve">צוות השרים </w:t>
            </w:r>
            <w:r w:rsidR="00652E27">
              <w:rPr>
                <w:rFonts w:ascii="David" w:hAnsi="David" w:hint="cs"/>
                <w:sz w:val="26"/>
                <w:rtl/>
              </w:rPr>
              <w:t xml:space="preserve">אם לפעול </w:t>
            </w:r>
            <w:r w:rsidR="002063E4">
              <w:rPr>
                <w:rFonts w:ascii="David" w:hAnsi="David" w:hint="cs"/>
                <w:sz w:val="26"/>
                <w:rtl/>
              </w:rPr>
              <w:t xml:space="preserve"> </w:t>
            </w:r>
            <w:r>
              <w:rPr>
                <w:rFonts w:ascii="David" w:hAnsi="David" w:hint="cs"/>
                <w:sz w:val="26"/>
                <w:rtl/>
              </w:rPr>
              <w:t>הפסק</w:t>
            </w:r>
            <w:r w:rsidR="002063E4">
              <w:rPr>
                <w:rFonts w:ascii="David" w:hAnsi="David" w:hint="cs"/>
                <w:sz w:val="26"/>
                <w:rtl/>
              </w:rPr>
              <w:t>ת</w:t>
            </w:r>
            <w:r>
              <w:rPr>
                <w:rFonts w:ascii="David" w:hAnsi="David" w:hint="cs"/>
                <w:sz w:val="26"/>
                <w:rtl/>
              </w:rPr>
              <w:t xml:space="preserve"> הזמנת המשתתף לדיוני הקבינט</w:t>
            </w:r>
            <w:r>
              <w:rPr>
                <w:rFonts w:ascii="David" w:hAnsi="David"/>
                <w:sz w:val="26"/>
              </w:rPr>
              <w:t>;</w:t>
            </w:r>
            <w:r>
              <w:rPr>
                <w:rFonts w:ascii="David" w:hAnsi="David" w:hint="cs"/>
                <w:sz w:val="26"/>
                <w:rtl/>
              </w:rPr>
              <w:t xml:space="preserve"> הגוף הציבורי אליו המשתתף משתייך ישקול לנקוט בצעדים כנגדו, לרבות האפשרות לפעול להפסקת תפקידו בגוף הציבורי</w:t>
            </w:r>
            <w:r w:rsidRPr="000D4472">
              <w:rPr>
                <w:rFonts w:ascii="David" w:hAnsi="David"/>
                <w:sz w:val="26"/>
                <w:rtl/>
              </w:rPr>
              <w:t>.</w:t>
            </w:r>
          </w:p>
        </w:tc>
      </w:tr>
      <w:tr w:rsidR="00E66A3C" w14:paraId="67DBB1F4" w14:textId="77777777" w:rsidTr="00E814D3">
        <w:trPr>
          <w:cantSplit/>
          <w:trHeight w:val="60"/>
        </w:trPr>
        <w:tc>
          <w:tcPr>
            <w:tcW w:w="1871" w:type="dxa"/>
          </w:tcPr>
          <w:p w14:paraId="0E8380A5" w14:textId="77777777" w:rsidR="00E66A3C" w:rsidRDefault="00E66A3C">
            <w:pPr>
              <w:pStyle w:val="TableSideHeading"/>
              <w:keepLines w:val="0"/>
            </w:pPr>
          </w:p>
        </w:tc>
        <w:tc>
          <w:tcPr>
            <w:tcW w:w="624" w:type="dxa"/>
          </w:tcPr>
          <w:p w14:paraId="65EAE3AD" w14:textId="77777777" w:rsidR="00E66A3C" w:rsidRDefault="00E66A3C" w:rsidP="00E66A3C">
            <w:pPr>
              <w:pStyle w:val="TableText"/>
            </w:pPr>
          </w:p>
        </w:tc>
        <w:tc>
          <w:tcPr>
            <w:tcW w:w="1872" w:type="dxa"/>
            <w:gridSpan w:val="3"/>
          </w:tcPr>
          <w:p w14:paraId="7F2D445A" w14:textId="77777777" w:rsidR="00E66A3C" w:rsidRPr="00E814D3" w:rsidRDefault="00E66A3C" w:rsidP="00F90E80">
            <w:pPr>
              <w:pStyle w:val="TableSideHeading"/>
              <w:jc w:val="both"/>
              <w:rPr>
                <w:rtl/>
              </w:rPr>
            </w:pPr>
          </w:p>
        </w:tc>
        <w:tc>
          <w:tcPr>
            <w:tcW w:w="624" w:type="dxa"/>
          </w:tcPr>
          <w:p w14:paraId="06A42F1A" w14:textId="77777777" w:rsidR="00E66A3C" w:rsidRDefault="00E66A3C" w:rsidP="00F90E80">
            <w:pPr>
              <w:pStyle w:val="TableSideHeading"/>
              <w:jc w:val="both"/>
              <w:rPr>
                <w:rtl/>
              </w:rPr>
            </w:pPr>
          </w:p>
        </w:tc>
        <w:tc>
          <w:tcPr>
            <w:tcW w:w="4650" w:type="dxa"/>
            <w:gridSpan w:val="2"/>
          </w:tcPr>
          <w:p w14:paraId="63AFBC67" w14:textId="43983A61" w:rsidR="00E66A3C" w:rsidRDefault="0078378D" w:rsidP="004713DC">
            <w:pPr>
              <w:pStyle w:val="TableSideHeading"/>
              <w:jc w:val="both"/>
              <w:rPr>
                <w:rtl/>
              </w:rPr>
            </w:pPr>
            <w:r>
              <w:rPr>
                <w:rFonts w:hint="cs"/>
                <w:rtl/>
              </w:rPr>
              <w:t>(ה)</w:t>
            </w:r>
            <w:r w:rsidR="00530FC6">
              <w:rPr>
                <w:rFonts w:hint="cs"/>
                <w:rtl/>
              </w:rPr>
              <w:t xml:space="preserve"> </w:t>
            </w:r>
            <w:r w:rsidR="00530FC6" w:rsidRPr="000D4472">
              <w:rPr>
                <w:rFonts w:ascii="David" w:hAnsi="David"/>
                <w:sz w:val="26"/>
                <w:rtl/>
              </w:rPr>
              <w:t xml:space="preserve">משתתף בדיוני הקבינט הרואה עצמו נפגע מתוצאות הבדיקה, </w:t>
            </w:r>
            <w:r w:rsidR="004713DC">
              <w:rPr>
                <w:rFonts w:ascii="David" w:hAnsi="David" w:hint="cs"/>
                <w:sz w:val="26"/>
                <w:rtl/>
              </w:rPr>
              <w:t>רשאי</w:t>
            </w:r>
            <w:r w:rsidR="004713DC" w:rsidRPr="000D4472">
              <w:rPr>
                <w:rFonts w:ascii="David" w:hAnsi="David"/>
                <w:sz w:val="26"/>
                <w:rtl/>
              </w:rPr>
              <w:t xml:space="preserve"> </w:t>
            </w:r>
            <w:r w:rsidR="00530FC6" w:rsidRPr="000D4472">
              <w:rPr>
                <w:rFonts w:ascii="David" w:hAnsi="David"/>
                <w:sz w:val="26"/>
                <w:rtl/>
              </w:rPr>
              <w:t>להשיג על התוצאות לפני ועדה של שלושה, שיושב הראש שלה יהיה שופט בית משפט עליון בדימוס</w:t>
            </w:r>
            <w:r w:rsidR="00530FC6">
              <w:rPr>
                <w:rFonts w:ascii="David" w:hAnsi="David" w:hint="cs"/>
                <w:sz w:val="26"/>
                <w:rtl/>
              </w:rPr>
              <w:t xml:space="preserve"> או נשיא בית משפט מחוזי בדימוס</w:t>
            </w:r>
            <w:r w:rsidR="00530FC6" w:rsidRPr="000D4472">
              <w:rPr>
                <w:rFonts w:ascii="David" w:hAnsi="David"/>
                <w:sz w:val="26"/>
                <w:rtl/>
              </w:rPr>
              <w:t xml:space="preserve">, אשר </w:t>
            </w:r>
            <w:r w:rsidR="00844A6D">
              <w:rPr>
                <w:rFonts w:ascii="David" w:hAnsi="David" w:hint="cs"/>
                <w:sz w:val="26"/>
                <w:rtl/>
              </w:rPr>
              <w:t>י</w:t>
            </w:r>
            <w:r w:rsidR="00844A6D" w:rsidRPr="000D4472">
              <w:rPr>
                <w:rFonts w:ascii="David" w:hAnsi="David"/>
                <w:sz w:val="26"/>
                <w:rtl/>
              </w:rPr>
              <w:t xml:space="preserve">מונה </w:t>
            </w:r>
            <w:r w:rsidR="00530FC6" w:rsidRPr="000D4472">
              <w:rPr>
                <w:rFonts w:ascii="David" w:hAnsi="David"/>
                <w:sz w:val="26"/>
                <w:rtl/>
              </w:rPr>
              <w:t>על ידי ועדת השרים לענייני ביטחון לאומי, בהמלצת שר המשפטים</w:t>
            </w:r>
            <w:r w:rsidR="00530FC6">
              <w:rPr>
                <w:rFonts w:ascii="David" w:hAnsi="David" w:hint="cs"/>
                <w:sz w:val="26"/>
                <w:rtl/>
              </w:rPr>
              <w:t xml:space="preserve"> (להלן </w:t>
            </w:r>
            <w:r w:rsidR="00530FC6">
              <w:rPr>
                <w:rFonts w:ascii="David" w:hAnsi="David"/>
                <w:sz w:val="26"/>
                <w:rtl/>
              </w:rPr>
              <w:t>–</w:t>
            </w:r>
            <w:r w:rsidR="00530FC6">
              <w:rPr>
                <w:rFonts w:ascii="David" w:hAnsi="David" w:hint="cs"/>
                <w:sz w:val="26"/>
                <w:rtl/>
              </w:rPr>
              <w:t xml:space="preserve"> הוועדה)</w:t>
            </w:r>
            <w:r w:rsidR="00530FC6">
              <w:rPr>
                <w:rFonts w:ascii="David" w:hAnsi="David"/>
                <w:sz w:val="26"/>
                <w:rtl/>
              </w:rPr>
              <w:t xml:space="preserve">. </w:t>
            </w:r>
          </w:p>
        </w:tc>
      </w:tr>
      <w:tr w:rsidR="0078378D" w14:paraId="00E57698" w14:textId="77777777" w:rsidTr="00E814D3">
        <w:trPr>
          <w:cantSplit/>
          <w:trHeight w:val="60"/>
        </w:trPr>
        <w:tc>
          <w:tcPr>
            <w:tcW w:w="1871" w:type="dxa"/>
          </w:tcPr>
          <w:p w14:paraId="7246C51D" w14:textId="77777777" w:rsidR="0078378D" w:rsidRDefault="0078378D">
            <w:pPr>
              <w:pStyle w:val="TableSideHeading"/>
              <w:keepLines w:val="0"/>
            </w:pPr>
          </w:p>
        </w:tc>
        <w:tc>
          <w:tcPr>
            <w:tcW w:w="624" w:type="dxa"/>
          </w:tcPr>
          <w:p w14:paraId="2004E3D2" w14:textId="77777777" w:rsidR="0078378D" w:rsidRDefault="0078378D" w:rsidP="0078378D">
            <w:pPr>
              <w:pStyle w:val="TableText"/>
            </w:pPr>
          </w:p>
        </w:tc>
        <w:tc>
          <w:tcPr>
            <w:tcW w:w="1872" w:type="dxa"/>
            <w:gridSpan w:val="3"/>
          </w:tcPr>
          <w:p w14:paraId="76A4B38C" w14:textId="77777777" w:rsidR="0078378D" w:rsidRPr="00E814D3" w:rsidRDefault="0078378D" w:rsidP="00F90E80">
            <w:pPr>
              <w:pStyle w:val="TableSideHeading"/>
              <w:jc w:val="both"/>
              <w:rPr>
                <w:rtl/>
              </w:rPr>
            </w:pPr>
          </w:p>
        </w:tc>
        <w:tc>
          <w:tcPr>
            <w:tcW w:w="624" w:type="dxa"/>
          </w:tcPr>
          <w:p w14:paraId="2788EDE8" w14:textId="77777777" w:rsidR="0078378D" w:rsidRDefault="0078378D" w:rsidP="00F90E80">
            <w:pPr>
              <w:pStyle w:val="TableSideHeading"/>
              <w:jc w:val="both"/>
              <w:rPr>
                <w:rtl/>
              </w:rPr>
            </w:pPr>
          </w:p>
        </w:tc>
        <w:tc>
          <w:tcPr>
            <w:tcW w:w="4650" w:type="dxa"/>
            <w:gridSpan w:val="2"/>
          </w:tcPr>
          <w:p w14:paraId="4B1BB46C" w14:textId="2867B017" w:rsidR="0078378D" w:rsidRDefault="0078378D" w:rsidP="00161FCE">
            <w:pPr>
              <w:pStyle w:val="TableSideHeading"/>
              <w:jc w:val="both"/>
              <w:rPr>
                <w:rtl/>
              </w:rPr>
            </w:pPr>
            <w:r>
              <w:rPr>
                <w:rFonts w:hint="cs"/>
                <w:rtl/>
              </w:rPr>
              <w:t xml:space="preserve">(ו) </w:t>
            </w:r>
            <w:r w:rsidR="00B72B56" w:rsidRPr="000D4472">
              <w:rPr>
                <w:rFonts w:ascii="David" w:hAnsi="David"/>
                <w:sz w:val="26"/>
                <w:rtl/>
              </w:rPr>
              <w:t xml:space="preserve">ראש הממשלה </w:t>
            </w:r>
            <w:r w:rsidR="00B72B56">
              <w:rPr>
                <w:rFonts w:ascii="David" w:hAnsi="David" w:hint="cs"/>
                <w:sz w:val="26"/>
                <w:rtl/>
              </w:rPr>
              <w:t xml:space="preserve">יקבע, </w:t>
            </w:r>
            <w:r w:rsidR="00B72B56" w:rsidRPr="000D4472">
              <w:rPr>
                <w:rFonts w:ascii="David" w:hAnsi="David"/>
                <w:sz w:val="26"/>
                <w:rtl/>
              </w:rPr>
              <w:t>באישור ועדת השרים לענייני ביטחון לאומי ו</w:t>
            </w:r>
            <w:r w:rsidR="005612A7">
              <w:rPr>
                <w:rFonts w:ascii="David" w:hAnsi="David" w:hint="cs"/>
                <w:sz w:val="26"/>
                <w:rtl/>
              </w:rPr>
              <w:t xml:space="preserve">באישור </w:t>
            </w:r>
            <w:r w:rsidR="00B72B56" w:rsidRPr="000D4472">
              <w:rPr>
                <w:rFonts w:ascii="David" w:hAnsi="David"/>
                <w:sz w:val="26"/>
                <w:rtl/>
              </w:rPr>
              <w:t>ועדת חוץ וביטחון של הכנסת</w:t>
            </w:r>
            <w:r w:rsidR="00B72B56">
              <w:rPr>
                <w:rFonts w:ascii="David" w:hAnsi="David" w:hint="cs"/>
                <w:sz w:val="26"/>
                <w:rtl/>
              </w:rPr>
              <w:t>,</w:t>
            </w:r>
            <w:r w:rsidR="00B72B56" w:rsidRPr="000D4472">
              <w:rPr>
                <w:rFonts w:ascii="David" w:hAnsi="David"/>
                <w:sz w:val="26"/>
                <w:rtl/>
              </w:rPr>
              <w:t xml:space="preserve"> </w:t>
            </w:r>
            <w:r w:rsidR="002063E4">
              <w:rPr>
                <w:rFonts w:ascii="David" w:hAnsi="David" w:hint="cs"/>
                <w:sz w:val="26"/>
                <w:rtl/>
              </w:rPr>
              <w:t>תקנות</w:t>
            </w:r>
            <w:r w:rsidR="002063E4" w:rsidRPr="000D4472">
              <w:rPr>
                <w:rFonts w:ascii="David" w:hAnsi="David"/>
                <w:sz w:val="26"/>
                <w:rtl/>
              </w:rPr>
              <w:t xml:space="preserve"> </w:t>
            </w:r>
            <w:r w:rsidR="00B72B56" w:rsidRPr="000D4472">
              <w:rPr>
                <w:rFonts w:ascii="David" w:hAnsi="David"/>
                <w:sz w:val="26"/>
                <w:rtl/>
              </w:rPr>
              <w:t xml:space="preserve">לעניין </w:t>
            </w:r>
            <w:r w:rsidR="005612A7">
              <w:rPr>
                <w:rFonts w:ascii="David" w:hAnsi="David" w:hint="cs"/>
                <w:sz w:val="26"/>
                <w:rtl/>
              </w:rPr>
              <w:t xml:space="preserve">אופן </w:t>
            </w:r>
            <w:r w:rsidR="00B72B56" w:rsidRPr="000D4472">
              <w:rPr>
                <w:rFonts w:ascii="David" w:hAnsi="David"/>
                <w:sz w:val="26"/>
                <w:rtl/>
              </w:rPr>
              <w:t>ביצוע בדיקה עתית</w:t>
            </w:r>
            <w:r w:rsidR="002650DE">
              <w:rPr>
                <w:rFonts w:ascii="David" w:hAnsi="David" w:hint="cs"/>
                <w:sz w:val="26"/>
                <w:rtl/>
              </w:rPr>
              <w:t>,</w:t>
            </w:r>
            <w:r w:rsidR="00161FCE">
              <w:rPr>
                <w:rFonts w:ascii="David" w:hAnsi="David" w:hint="cs"/>
                <w:sz w:val="26"/>
                <w:rtl/>
              </w:rPr>
              <w:t xml:space="preserve"> </w:t>
            </w:r>
            <w:r w:rsidR="005612A7">
              <w:rPr>
                <w:rFonts w:ascii="David" w:hAnsi="David" w:hint="cs"/>
                <w:sz w:val="26"/>
                <w:rtl/>
              </w:rPr>
              <w:t xml:space="preserve">ובכלל זה: דרכי </w:t>
            </w:r>
            <w:r w:rsidR="00B72B56">
              <w:rPr>
                <w:rFonts w:ascii="David" w:hAnsi="David" w:hint="cs"/>
                <w:sz w:val="26"/>
                <w:rtl/>
              </w:rPr>
              <w:t xml:space="preserve">ביצוע הבדיקה, </w:t>
            </w:r>
            <w:r w:rsidR="00222199">
              <w:rPr>
                <w:rFonts w:ascii="David" w:hAnsi="David" w:hint="cs"/>
                <w:sz w:val="26"/>
                <w:rtl/>
              </w:rPr>
              <w:t xml:space="preserve">שימוש במידע ומורשי הגישה אליו, </w:t>
            </w:r>
            <w:r w:rsidR="00B72B56">
              <w:rPr>
                <w:rFonts w:ascii="David" w:hAnsi="David" w:hint="cs"/>
                <w:sz w:val="26"/>
                <w:rtl/>
              </w:rPr>
              <w:t>שמירת המידע שנאסף במהלך הבדיקה על ידי השירות</w:t>
            </w:r>
            <w:r w:rsidR="00F106F2">
              <w:rPr>
                <w:rFonts w:ascii="David" w:hAnsi="David" w:hint="cs"/>
                <w:sz w:val="26"/>
                <w:rtl/>
              </w:rPr>
              <w:t xml:space="preserve"> ומחיקתו,</w:t>
            </w:r>
            <w:r w:rsidR="00B72B56">
              <w:rPr>
                <w:rFonts w:ascii="David" w:hAnsi="David" w:hint="cs"/>
                <w:sz w:val="26"/>
                <w:rtl/>
              </w:rPr>
              <w:t xml:space="preserve"> וכן </w:t>
            </w:r>
            <w:r w:rsidR="005612A7">
              <w:rPr>
                <w:rFonts w:ascii="David" w:hAnsi="David" w:hint="cs"/>
                <w:sz w:val="26"/>
                <w:rtl/>
              </w:rPr>
              <w:t xml:space="preserve">אופן </w:t>
            </w:r>
            <w:r w:rsidR="00B72B56">
              <w:rPr>
                <w:rFonts w:ascii="David" w:hAnsi="David" w:hint="cs"/>
                <w:sz w:val="26"/>
                <w:rtl/>
              </w:rPr>
              <w:t xml:space="preserve">מינוי חברי הוועדה, דרכי הפנייה לוועדה, וסדרי הדיון בה. </w:t>
            </w:r>
            <w:r w:rsidR="004713DC">
              <w:rPr>
                <w:rStyle w:val="default"/>
                <w:rFonts w:ascii="David" w:hAnsi="David" w:cs="David" w:hint="cs"/>
                <w:rtl/>
              </w:rPr>
              <w:t>על אף האמור, היבטים הנוגעים לאופן ביצוע בדיקת הפוליגרף יוסדרו ב</w:t>
            </w:r>
            <w:r w:rsidR="002063E4" w:rsidRPr="000C0137">
              <w:rPr>
                <w:rStyle w:val="default"/>
                <w:rFonts w:ascii="David" w:hAnsi="David" w:cs="David"/>
                <w:rtl/>
              </w:rPr>
              <w:t xml:space="preserve">כללים חסויים </w:t>
            </w:r>
            <w:r w:rsidR="004713DC">
              <w:rPr>
                <w:rStyle w:val="default"/>
                <w:rFonts w:ascii="David" w:hAnsi="David" w:cs="David" w:hint="cs"/>
                <w:rtl/>
              </w:rPr>
              <w:t xml:space="preserve">אשר </w:t>
            </w:r>
            <w:r w:rsidR="002063E4" w:rsidRPr="000C0137">
              <w:rPr>
                <w:rStyle w:val="default"/>
                <w:rFonts w:ascii="David" w:hAnsi="David" w:cs="David"/>
                <w:rtl/>
              </w:rPr>
              <w:t>גילוי</w:t>
            </w:r>
            <w:r w:rsidR="00274ACC">
              <w:rPr>
                <w:rStyle w:val="default"/>
                <w:rFonts w:ascii="David" w:hAnsi="David" w:cs="David" w:hint="cs"/>
                <w:rtl/>
              </w:rPr>
              <w:t>י</w:t>
            </w:r>
            <w:r w:rsidR="002063E4" w:rsidRPr="000C0137">
              <w:rPr>
                <w:rStyle w:val="default"/>
                <w:rFonts w:ascii="David" w:hAnsi="David" w:cs="David"/>
                <w:rtl/>
              </w:rPr>
              <w:t>ם או פרסומם אסור</w:t>
            </w:r>
            <w:r w:rsidR="00B72B56">
              <w:rPr>
                <w:rFonts w:ascii="David" w:hAnsi="David" w:hint="cs"/>
                <w:sz w:val="26"/>
                <w:rtl/>
              </w:rPr>
              <w:t>.</w:t>
            </w:r>
          </w:p>
        </w:tc>
      </w:tr>
      <w:tr w:rsidR="0078378D" w14:paraId="04ECB1F2" w14:textId="77777777" w:rsidTr="00E814D3">
        <w:trPr>
          <w:cantSplit/>
          <w:trHeight w:val="60"/>
        </w:trPr>
        <w:tc>
          <w:tcPr>
            <w:tcW w:w="1871" w:type="dxa"/>
          </w:tcPr>
          <w:p w14:paraId="7E035325" w14:textId="77777777" w:rsidR="0078378D" w:rsidRDefault="0078378D">
            <w:pPr>
              <w:pStyle w:val="TableSideHeading"/>
              <w:keepLines w:val="0"/>
            </w:pPr>
          </w:p>
        </w:tc>
        <w:tc>
          <w:tcPr>
            <w:tcW w:w="624" w:type="dxa"/>
          </w:tcPr>
          <w:p w14:paraId="6099BFE8" w14:textId="77777777" w:rsidR="0078378D" w:rsidRDefault="0078378D" w:rsidP="0078378D">
            <w:pPr>
              <w:pStyle w:val="TableText"/>
            </w:pPr>
          </w:p>
        </w:tc>
        <w:tc>
          <w:tcPr>
            <w:tcW w:w="1872" w:type="dxa"/>
            <w:gridSpan w:val="3"/>
          </w:tcPr>
          <w:p w14:paraId="05640A44" w14:textId="77777777" w:rsidR="0078378D" w:rsidRPr="00E814D3" w:rsidRDefault="0078378D" w:rsidP="00F90E80">
            <w:pPr>
              <w:pStyle w:val="TableSideHeading"/>
              <w:jc w:val="both"/>
              <w:rPr>
                <w:rtl/>
              </w:rPr>
            </w:pPr>
          </w:p>
        </w:tc>
        <w:tc>
          <w:tcPr>
            <w:tcW w:w="624" w:type="dxa"/>
          </w:tcPr>
          <w:p w14:paraId="69EA8427" w14:textId="77777777" w:rsidR="0078378D" w:rsidRDefault="0078378D" w:rsidP="00F90E80">
            <w:pPr>
              <w:pStyle w:val="TableSideHeading"/>
              <w:jc w:val="both"/>
              <w:rPr>
                <w:rtl/>
              </w:rPr>
            </w:pPr>
          </w:p>
        </w:tc>
        <w:tc>
          <w:tcPr>
            <w:tcW w:w="4650" w:type="dxa"/>
            <w:gridSpan w:val="2"/>
          </w:tcPr>
          <w:p w14:paraId="233B187E" w14:textId="77777777" w:rsidR="0078378D" w:rsidRDefault="0078378D" w:rsidP="00F90E80">
            <w:pPr>
              <w:pStyle w:val="TableSideHeading"/>
              <w:jc w:val="both"/>
              <w:rPr>
                <w:rFonts w:ascii="David" w:hAnsi="David"/>
                <w:sz w:val="26"/>
                <w:rtl/>
              </w:rPr>
            </w:pPr>
            <w:r>
              <w:rPr>
                <w:rFonts w:hint="cs"/>
                <w:rtl/>
              </w:rPr>
              <w:t xml:space="preserve">(ז) </w:t>
            </w:r>
            <w:r w:rsidR="00B72B56" w:rsidRPr="000D4472">
              <w:rPr>
                <w:rFonts w:ascii="David" w:hAnsi="David"/>
                <w:sz w:val="26"/>
                <w:rtl/>
              </w:rPr>
              <w:t>סעיף זה יחול על משתתפי דיוני הקבינט שכיהנו בתפקיד ערב כניסת החוק לתוקף. מועד הבדיקה העתי</w:t>
            </w:r>
            <w:r w:rsidR="00F90E80">
              <w:rPr>
                <w:rFonts w:ascii="David" w:hAnsi="David"/>
                <w:sz w:val="26"/>
                <w:rtl/>
              </w:rPr>
              <w:t>ת הראשון בהתאם לחוק זה יה</w:t>
            </w:r>
            <w:r w:rsidR="00F90E80">
              <w:rPr>
                <w:rFonts w:ascii="David" w:hAnsi="David" w:hint="cs"/>
                <w:sz w:val="26"/>
                <w:rtl/>
              </w:rPr>
              <w:t>א לאחר</w:t>
            </w:r>
            <w:r w:rsidR="00B72B56" w:rsidRPr="000D4472">
              <w:rPr>
                <w:rFonts w:ascii="David" w:hAnsi="David"/>
                <w:sz w:val="26"/>
                <w:rtl/>
              </w:rPr>
              <w:t xml:space="preserve"> שנה מהקמת הממשלה שכיהנה ערב כניסת החוק לתוקף</w:t>
            </w:r>
            <w:r w:rsidR="00F90E80">
              <w:rPr>
                <w:rFonts w:ascii="David" w:hAnsi="David" w:hint="cs"/>
                <w:sz w:val="26"/>
                <w:rtl/>
              </w:rPr>
              <w:t>, במועד המוקדם האפשרי</w:t>
            </w:r>
            <w:r w:rsidR="00B72B56">
              <w:rPr>
                <w:rFonts w:ascii="David" w:hAnsi="David" w:hint="cs"/>
                <w:sz w:val="26"/>
                <w:rtl/>
              </w:rPr>
              <w:t>.</w:t>
            </w:r>
            <w:r w:rsidR="00B72B56" w:rsidRPr="000D4472">
              <w:rPr>
                <w:rFonts w:ascii="David" w:hAnsi="David"/>
                <w:sz w:val="26"/>
                <w:rtl/>
              </w:rPr>
              <w:t xml:space="preserve">  </w:t>
            </w:r>
          </w:p>
          <w:p w14:paraId="595F9878" w14:textId="239C5D71" w:rsidR="006B0635" w:rsidRDefault="006B0635" w:rsidP="00F90E80">
            <w:pPr>
              <w:pStyle w:val="TableSideHeading"/>
              <w:jc w:val="both"/>
              <w:rPr>
                <w:rtl/>
              </w:rPr>
            </w:pPr>
            <w:r>
              <w:rPr>
                <w:rFonts w:hint="cs"/>
                <w:rtl/>
              </w:rPr>
              <w:t xml:space="preserve">(ח) לעניין סעיף זה </w:t>
            </w:r>
            <w:r>
              <w:rPr>
                <w:rtl/>
              </w:rPr>
              <w:t>–</w:t>
            </w:r>
            <w:r>
              <w:rPr>
                <w:rFonts w:hint="cs"/>
                <w:rtl/>
              </w:rPr>
              <w:t xml:space="preserve"> </w:t>
            </w:r>
          </w:p>
          <w:p w14:paraId="21AEF40D" w14:textId="40E81457" w:rsidR="006B0635" w:rsidRDefault="006B0635" w:rsidP="00F90E80">
            <w:pPr>
              <w:pStyle w:val="TableSideHeading"/>
              <w:jc w:val="both"/>
              <w:rPr>
                <w:rtl/>
              </w:rPr>
            </w:pPr>
            <w:r>
              <w:rPr>
                <w:rFonts w:hint="cs"/>
                <w:rtl/>
              </w:rPr>
              <w:t xml:space="preserve">"העברת מידע שלא בסמכות" - </w:t>
            </w:r>
            <w:r w:rsidRPr="000D4472">
              <w:rPr>
                <w:rFonts w:ascii="David" w:hAnsi="David"/>
                <w:sz w:val="26"/>
                <w:rtl/>
              </w:rPr>
              <w:t xml:space="preserve">העברה, במישרין או בעקיפין, בלי סמכות, של מידע מדיוני ועדת השרים לענייני ביטחון לאומי ומדיוני </w:t>
            </w:r>
            <w:r>
              <w:rPr>
                <w:rFonts w:ascii="David" w:hAnsi="David" w:hint="cs"/>
                <w:sz w:val="26"/>
                <w:rtl/>
              </w:rPr>
              <w:t>צוות השרים</w:t>
            </w:r>
            <w:r w:rsidRPr="000D4472">
              <w:rPr>
                <w:rFonts w:ascii="David" w:hAnsi="David"/>
                <w:sz w:val="26"/>
                <w:rtl/>
              </w:rPr>
              <w:t xml:space="preserve"> </w:t>
            </w:r>
            <w:r>
              <w:rPr>
                <w:rFonts w:ascii="David" w:hAnsi="David" w:hint="cs"/>
                <w:sz w:val="26"/>
                <w:rtl/>
              </w:rPr>
              <w:t>ל</w:t>
            </w:r>
            <w:r w:rsidRPr="000D4472">
              <w:rPr>
                <w:rFonts w:ascii="David" w:hAnsi="David"/>
                <w:sz w:val="26"/>
                <w:rtl/>
              </w:rPr>
              <w:t xml:space="preserve">ניהול המלחמה על ידי מי שהמידע הגיע אליו בתוקף תפקידו לידי גורם בתקשורת, או לידי גורם אחר, </w:t>
            </w:r>
            <w:r>
              <w:rPr>
                <w:rFonts w:ascii="David" w:hAnsi="David" w:hint="cs"/>
                <w:sz w:val="26"/>
                <w:rtl/>
              </w:rPr>
              <w:t xml:space="preserve">וזאת </w:t>
            </w:r>
            <w:r w:rsidRPr="000D4472">
              <w:rPr>
                <w:rFonts w:ascii="David" w:hAnsi="David"/>
                <w:sz w:val="26"/>
                <w:rtl/>
              </w:rPr>
              <w:t>לשם פרסומו ברבים</w:t>
            </w:r>
            <w:r>
              <w:rPr>
                <w:rFonts w:hint="cs"/>
                <w:rtl/>
              </w:rPr>
              <w:t>.</w:t>
            </w:r>
          </w:p>
          <w:p w14:paraId="22612A4B" w14:textId="12AB0840" w:rsidR="006B0635" w:rsidRDefault="006B0635" w:rsidP="00F90E80">
            <w:pPr>
              <w:pStyle w:val="TableSideHeading"/>
              <w:jc w:val="both"/>
              <w:rPr>
                <w:rtl/>
              </w:rPr>
            </w:pPr>
            <w:r>
              <w:rPr>
                <w:rFonts w:hint="cs"/>
                <w:rtl/>
              </w:rPr>
              <w:t>"</w:t>
            </w:r>
            <w:r w:rsidRPr="000D4472">
              <w:rPr>
                <w:rFonts w:ascii="David" w:hAnsi="David"/>
                <w:sz w:val="26"/>
                <w:rtl/>
              </w:rPr>
              <w:t xml:space="preserve"> משתתף בדיוני הקבינט"</w:t>
            </w:r>
            <w:r>
              <w:rPr>
                <w:rFonts w:hint="cs"/>
                <w:rtl/>
              </w:rPr>
              <w:t xml:space="preserve"> - </w:t>
            </w:r>
            <w:r w:rsidRPr="000D4472">
              <w:rPr>
                <w:rFonts w:ascii="David" w:hAnsi="David"/>
                <w:sz w:val="26"/>
                <w:rtl/>
              </w:rPr>
              <w:t xml:space="preserve">כל גורם המשתתף דרך קבע בדיוני ועדת השרים לענייני ביטחון לאומי </w:t>
            </w:r>
            <w:r>
              <w:rPr>
                <w:rFonts w:ascii="David" w:hAnsi="David" w:hint="cs"/>
                <w:sz w:val="26"/>
                <w:rtl/>
              </w:rPr>
              <w:t xml:space="preserve">או </w:t>
            </w:r>
            <w:r w:rsidRPr="000D4472">
              <w:rPr>
                <w:rFonts w:ascii="David" w:hAnsi="David"/>
                <w:sz w:val="26"/>
                <w:rtl/>
              </w:rPr>
              <w:t xml:space="preserve">בדיוני </w:t>
            </w:r>
            <w:r>
              <w:rPr>
                <w:rFonts w:ascii="David" w:hAnsi="David" w:hint="cs"/>
                <w:sz w:val="26"/>
                <w:rtl/>
              </w:rPr>
              <w:t>צוות השרים ל</w:t>
            </w:r>
            <w:r w:rsidRPr="000D4472">
              <w:rPr>
                <w:rFonts w:ascii="David" w:hAnsi="David"/>
                <w:sz w:val="26"/>
                <w:rtl/>
              </w:rPr>
              <w:t>ניהול המלחמה, לרבות נבחר ציבור</w:t>
            </w:r>
            <w:r>
              <w:rPr>
                <w:rFonts w:hint="cs"/>
                <w:rtl/>
              </w:rPr>
              <w:t>.</w:t>
            </w:r>
          </w:p>
          <w:p w14:paraId="466842D6" w14:textId="3F0E99EF" w:rsidR="006B0635" w:rsidRDefault="006B0635" w:rsidP="00F90E80">
            <w:pPr>
              <w:pStyle w:val="TableSideHeading"/>
              <w:jc w:val="both"/>
              <w:rPr>
                <w:rtl/>
              </w:rPr>
            </w:pPr>
            <w:r>
              <w:rPr>
                <w:rFonts w:hint="cs"/>
                <w:rtl/>
              </w:rPr>
              <w:t>"</w:t>
            </w:r>
            <w:r>
              <w:rPr>
                <w:rFonts w:ascii="David" w:hAnsi="David" w:hint="cs"/>
                <w:sz w:val="26"/>
                <w:rtl/>
              </w:rPr>
              <w:t>צוות השרים</w:t>
            </w:r>
            <w:r w:rsidRPr="000D4472">
              <w:rPr>
                <w:rFonts w:ascii="David" w:hAnsi="David"/>
                <w:sz w:val="26"/>
                <w:rtl/>
              </w:rPr>
              <w:t xml:space="preserve"> </w:t>
            </w:r>
            <w:r>
              <w:rPr>
                <w:rFonts w:ascii="David" w:hAnsi="David" w:hint="cs"/>
                <w:sz w:val="26"/>
                <w:rtl/>
              </w:rPr>
              <w:t>ל</w:t>
            </w:r>
            <w:r w:rsidRPr="000D4472">
              <w:rPr>
                <w:rFonts w:ascii="David" w:hAnsi="David"/>
                <w:sz w:val="26"/>
                <w:rtl/>
              </w:rPr>
              <w:t>ניהול המלחמה</w:t>
            </w:r>
            <w:r>
              <w:rPr>
                <w:rFonts w:hint="cs"/>
                <w:rtl/>
              </w:rPr>
              <w:t>" -</w:t>
            </w:r>
            <w:r>
              <w:rPr>
                <w:rFonts w:ascii="David" w:hAnsi="David" w:hint="cs"/>
                <w:sz w:val="26"/>
                <w:rtl/>
              </w:rPr>
              <w:t xml:space="preserve"> </w:t>
            </w:r>
            <w:r w:rsidRPr="000D4472">
              <w:rPr>
                <w:rFonts w:ascii="David" w:hAnsi="David"/>
                <w:sz w:val="26"/>
                <w:rtl/>
              </w:rPr>
              <w:t xml:space="preserve">צוות שרים מצומצם </w:t>
            </w:r>
            <w:r>
              <w:rPr>
                <w:rFonts w:ascii="David" w:hAnsi="David" w:hint="cs"/>
                <w:sz w:val="26"/>
                <w:rtl/>
              </w:rPr>
              <w:t xml:space="preserve">שהוקם </w:t>
            </w:r>
            <w:r w:rsidRPr="000D4472">
              <w:rPr>
                <w:rFonts w:ascii="David" w:hAnsi="David"/>
                <w:sz w:val="26"/>
                <w:rtl/>
              </w:rPr>
              <w:t>על-פי החלטה של ועדת השרים לענייני ביטחון לאומי לצורך ניהולה השוטף של מערכה צבאית</w:t>
            </w:r>
            <w:r>
              <w:rPr>
                <w:rFonts w:hint="cs"/>
                <w:rtl/>
              </w:rPr>
              <w:t>.</w:t>
            </w:r>
          </w:p>
          <w:p w14:paraId="265E94B2" w14:textId="250FE076" w:rsidR="006B0635" w:rsidRDefault="006B0635" w:rsidP="00F90E80">
            <w:pPr>
              <w:pStyle w:val="TableSideHeading"/>
              <w:jc w:val="both"/>
              <w:rPr>
                <w:rFonts w:ascii="David" w:hAnsi="David"/>
                <w:sz w:val="26"/>
                <w:rtl/>
              </w:rPr>
            </w:pPr>
            <w:r>
              <w:rPr>
                <w:rFonts w:hint="cs"/>
                <w:rtl/>
              </w:rPr>
              <w:t>"</w:t>
            </w:r>
            <w:r>
              <w:rPr>
                <w:rFonts w:ascii="David" w:hAnsi="David" w:hint="cs"/>
                <w:sz w:val="26"/>
                <w:rtl/>
              </w:rPr>
              <w:t xml:space="preserve">השר הממונה" </w:t>
            </w:r>
            <w:r>
              <w:rPr>
                <w:rFonts w:hint="cs"/>
                <w:rtl/>
              </w:rPr>
              <w:t>-</w:t>
            </w:r>
            <w:r>
              <w:rPr>
                <w:rFonts w:ascii="David" w:hAnsi="David" w:hint="cs"/>
                <w:sz w:val="26"/>
                <w:rtl/>
              </w:rPr>
              <w:t xml:space="preserve"> שר בממשלה, שאינו חבר בצוות השרים, אשר ממונה על משתתף בדיוני הקבינט שאינו נבחר ציבור. </w:t>
            </w:r>
          </w:p>
          <w:p w14:paraId="6D22E1E3" w14:textId="2BA4A1CD" w:rsidR="006B0635" w:rsidRDefault="006B0635" w:rsidP="00F90E80">
            <w:pPr>
              <w:pStyle w:val="TableSideHeading"/>
              <w:jc w:val="both"/>
              <w:rPr>
                <w:rtl/>
              </w:rPr>
            </w:pPr>
          </w:p>
          <w:p w14:paraId="64DCC7DF" w14:textId="6A491F68" w:rsidR="00F96057" w:rsidRDefault="00F96057" w:rsidP="00F90E80">
            <w:pPr>
              <w:pStyle w:val="TableSideHeading"/>
              <w:jc w:val="both"/>
              <w:rPr>
                <w:rtl/>
              </w:rPr>
            </w:pPr>
          </w:p>
        </w:tc>
      </w:tr>
      <w:tr w:rsidR="0078378D" w14:paraId="22663579" w14:textId="77777777" w:rsidTr="00E814D3">
        <w:trPr>
          <w:cantSplit/>
          <w:trHeight w:val="60"/>
        </w:trPr>
        <w:tc>
          <w:tcPr>
            <w:tcW w:w="1871" w:type="dxa"/>
          </w:tcPr>
          <w:p w14:paraId="07735507" w14:textId="30905B15" w:rsidR="0078378D" w:rsidRDefault="0078378D">
            <w:pPr>
              <w:pStyle w:val="TableSideHeading"/>
              <w:keepLines w:val="0"/>
            </w:pPr>
          </w:p>
        </w:tc>
        <w:tc>
          <w:tcPr>
            <w:tcW w:w="624" w:type="dxa"/>
          </w:tcPr>
          <w:p w14:paraId="6E91A549" w14:textId="77777777" w:rsidR="0078378D" w:rsidRDefault="0078378D" w:rsidP="0078378D">
            <w:pPr>
              <w:pStyle w:val="TableText"/>
            </w:pPr>
          </w:p>
        </w:tc>
        <w:tc>
          <w:tcPr>
            <w:tcW w:w="1872" w:type="dxa"/>
            <w:gridSpan w:val="3"/>
          </w:tcPr>
          <w:p w14:paraId="647EE71D" w14:textId="77777777" w:rsidR="0078378D" w:rsidRPr="00E814D3" w:rsidRDefault="0078378D" w:rsidP="00F90E80">
            <w:pPr>
              <w:pStyle w:val="TableSideHeading"/>
              <w:jc w:val="both"/>
              <w:rPr>
                <w:rtl/>
              </w:rPr>
            </w:pPr>
          </w:p>
        </w:tc>
        <w:tc>
          <w:tcPr>
            <w:tcW w:w="624" w:type="dxa"/>
          </w:tcPr>
          <w:p w14:paraId="73753EA4" w14:textId="77777777" w:rsidR="0078378D" w:rsidRDefault="0078378D" w:rsidP="00F90E80">
            <w:pPr>
              <w:pStyle w:val="TableSideHeading"/>
              <w:jc w:val="both"/>
              <w:rPr>
                <w:rtl/>
              </w:rPr>
            </w:pPr>
          </w:p>
        </w:tc>
        <w:tc>
          <w:tcPr>
            <w:tcW w:w="4650" w:type="dxa"/>
            <w:gridSpan w:val="2"/>
            <w:vMerge w:val="restart"/>
          </w:tcPr>
          <w:p w14:paraId="5C7BBA50" w14:textId="77777777" w:rsidR="00BB5FC1" w:rsidRDefault="00BB5FC1" w:rsidP="00A66209">
            <w:pPr>
              <w:pStyle w:val="TableSideHeading"/>
              <w:jc w:val="both"/>
              <w:rPr>
                <w:rtl/>
              </w:rPr>
            </w:pPr>
          </w:p>
          <w:p w14:paraId="67B3875D" w14:textId="44B840E4" w:rsidR="00B72B56" w:rsidRDefault="00B72B56" w:rsidP="00F90E80">
            <w:pPr>
              <w:pStyle w:val="TableBlockOutdent"/>
              <w:rPr>
                <w:rFonts w:ascii="David" w:hAnsi="David"/>
                <w:sz w:val="26"/>
                <w:rtl/>
              </w:rPr>
            </w:pPr>
            <w:r>
              <w:rPr>
                <w:rFonts w:ascii="David" w:hAnsi="David" w:hint="cs"/>
                <w:sz w:val="26"/>
                <w:rtl/>
              </w:rPr>
              <w:t>"</w:t>
            </w:r>
            <w:r w:rsidRPr="000D4472">
              <w:rPr>
                <w:rFonts w:ascii="David" w:hAnsi="David"/>
                <w:sz w:val="26"/>
                <w:rtl/>
              </w:rPr>
              <w:t xml:space="preserve">תוצאות הבדיקה" </w:t>
            </w:r>
            <w:r w:rsidR="00FD4D9D">
              <w:rPr>
                <w:rFonts w:hint="cs"/>
                <w:rtl/>
              </w:rPr>
              <w:t>-</w:t>
            </w:r>
            <w:r w:rsidRPr="000D4472">
              <w:rPr>
                <w:rFonts w:ascii="David" w:hAnsi="David"/>
                <w:sz w:val="26"/>
                <w:rtl/>
              </w:rPr>
              <w:t xml:space="preserve"> תוצאת הבדיקה העתית תכלול רק קביעה אם משתתף בדיוני הקבינט </w:t>
            </w:r>
            <w:r>
              <w:rPr>
                <w:rFonts w:ascii="David" w:hAnsi="David" w:hint="cs"/>
                <w:sz w:val="26"/>
                <w:rtl/>
              </w:rPr>
              <w:t>העביר</w:t>
            </w:r>
            <w:r w:rsidRPr="000D4472">
              <w:rPr>
                <w:rFonts w:ascii="David" w:hAnsi="David"/>
                <w:sz w:val="26"/>
                <w:rtl/>
              </w:rPr>
              <w:t xml:space="preserve"> מידע שלא בסמכות, ללא כל מידע נוסף.</w:t>
            </w:r>
          </w:p>
          <w:p w14:paraId="3E31E8DD" w14:textId="31418B5B" w:rsidR="00EE486F" w:rsidRDefault="00B72B56" w:rsidP="00F90E80">
            <w:pPr>
              <w:pStyle w:val="TableBlockOutdent"/>
              <w:rPr>
                <w:rFonts w:ascii="David" w:hAnsi="David"/>
                <w:sz w:val="26"/>
                <w:rtl/>
              </w:rPr>
            </w:pPr>
            <w:r w:rsidRPr="000D4472">
              <w:rPr>
                <w:rFonts w:ascii="David" w:hAnsi="David"/>
                <w:sz w:val="26"/>
                <w:rtl/>
              </w:rPr>
              <w:t xml:space="preserve"> </w:t>
            </w:r>
            <w:r>
              <w:rPr>
                <w:rFonts w:ascii="David" w:hAnsi="David" w:hint="cs"/>
                <w:sz w:val="26"/>
                <w:rtl/>
              </w:rPr>
              <w:t xml:space="preserve">"השר הממונה" </w:t>
            </w:r>
            <w:r w:rsidR="00FD4D9D">
              <w:rPr>
                <w:rFonts w:hint="cs"/>
                <w:rtl/>
              </w:rPr>
              <w:t>-</w:t>
            </w:r>
            <w:r>
              <w:rPr>
                <w:rFonts w:ascii="David" w:hAnsi="David" w:hint="cs"/>
                <w:sz w:val="26"/>
                <w:rtl/>
              </w:rPr>
              <w:t xml:space="preserve"> שר בממשלה, שאינו חבר בצוות השרים, אשר ממונה על משתתף בדיוני הקבינט שאינו נבחר ציבור. </w:t>
            </w:r>
            <w:r w:rsidRPr="000D4472">
              <w:rPr>
                <w:rFonts w:ascii="David" w:hAnsi="David"/>
                <w:sz w:val="26"/>
                <w:rtl/>
              </w:rPr>
              <w:t xml:space="preserve">   </w:t>
            </w:r>
          </w:p>
          <w:p w14:paraId="6D5CF66A" w14:textId="250C9218" w:rsidR="0078378D" w:rsidRPr="00311645" w:rsidRDefault="00EE486F" w:rsidP="00EE486F">
            <w:pPr>
              <w:pStyle w:val="TableBlockOutdent"/>
              <w:rPr>
                <w:rFonts w:ascii="David" w:hAnsi="David"/>
                <w:rtl/>
              </w:rPr>
            </w:pPr>
            <w:r w:rsidRPr="00EE486F">
              <w:rPr>
                <w:rFonts w:ascii="David" w:hAnsi="David"/>
                <w:sz w:val="26"/>
                <w:rtl/>
              </w:rPr>
              <w:t xml:space="preserve">"כללים" </w:t>
            </w:r>
            <w:r w:rsidR="00FD4D9D">
              <w:rPr>
                <w:rFonts w:hint="cs"/>
                <w:rtl/>
              </w:rPr>
              <w:t>-</w:t>
            </w:r>
            <w:r w:rsidRPr="00EE486F">
              <w:rPr>
                <w:rFonts w:ascii="David" w:hAnsi="David"/>
                <w:sz w:val="26"/>
                <w:rtl/>
              </w:rPr>
              <w:t xml:space="preserve"> </w:t>
            </w:r>
            <w:r w:rsidRPr="00EE486F">
              <w:rPr>
                <w:rStyle w:val="default"/>
                <w:rFonts w:ascii="David" w:hAnsi="David" w:cs="David"/>
                <w:rtl/>
              </w:rPr>
              <w:t xml:space="preserve">הוראות בכתב שקבע ראש הממשלה באישור </w:t>
            </w:r>
            <w:r>
              <w:rPr>
                <w:rStyle w:val="default"/>
                <w:rFonts w:ascii="David" w:hAnsi="David" w:cs="David" w:hint="cs"/>
                <w:rtl/>
              </w:rPr>
              <w:t>ועדת השרים לענייני ביטחון לאומי וועדת חוץ וביטחון של הכנסת</w:t>
            </w:r>
            <w:r w:rsidRPr="00EE486F">
              <w:rPr>
                <w:rStyle w:val="default"/>
                <w:rFonts w:ascii="David" w:hAnsi="David" w:cs="David"/>
                <w:rtl/>
              </w:rPr>
              <w:t>.</w:t>
            </w:r>
            <w:r w:rsidR="00B72B56" w:rsidRPr="00EE486F">
              <w:rPr>
                <w:rFonts w:ascii="David" w:hAnsi="David"/>
                <w:sz w:val="26"/>
                <w:rtl/>
              </w:rPr>
              <w:t xml:space="preserve">                                    </w:t>
            </w:r>
          </w:p>
        </w:tc>
      </w:tr>
      <w:tr w:rsidR="0078378D" w14:paraId="6D2EE5D4" w14:textId="77777777" w:rsidTr="00E814D3">
        <w:trPr>
          <w:cantSplit/>
          <w:trHeight w:val="60"/>
        </w:trPr>
        <w:tc>
          <w:tcPr>
            <w:tcW w:w="1871" w:type="dxa"/>
          </w:tcPr>
          <w:p w14:paraId="461E2B43" w14:textId="3C497BCE" w:rsidR="0078378D" w:rsidRDefault="0078378D">
            <w:pPr>
              <w:pStyle w:val="TableSideHeading"/>
              <w:keepLines w:val="0"/>
            </w:pPr>
          </w:p>
        </w:tc>
        <w:tc>
          <w:tcPr>
            <w:tcW w:w="624" w:type="dxa"/>
          </w:tcPr>
          <w:p w14:paraId="0E6E8E0C" w14:textId="77777777" w:rsidR="0078378D" w:rsidRDefault="0078378D" w:rsidP="0078378D">
            <w:pPr>
              <w:pStyle w:val="TableText"/>
            </w:pPr>
          </w:p>
        </w:tc>
        <w:tc>
          <w:tcPr>
            <w:tcW w:w="1872" w:type="dxa"/>
            <w:gridSpan w:val="3"/>
          </w:tcPr>
          <w:p w14:paraId="424C1AA1" w14:textId="77777777" w:rsidR="0078378D" w:rsidRPr="00E814D3" w:rsidRDefault="0078378D" w:rsidP="00F90E80">
            <w:pPr>
              <w:pStyle w:val="TableSideHeading"/>
              <w:jc w:val="both"/>
              <w:rPr>
                <w:rtl/>
              </w:rPr>
            </w:pPr>
          </w:p>
        </w:tc>
        <w:tc>
          <w:tcPr>
            <w:tcW w:w="624" w:type="dxa"/>
          </w:tcPr>
          <w:p w14:paraId="7CA67C22" w14:textId="77777777" w:rsidR="0078378D" w:rsidRDefault="0078378D" w:rsidP="00F90E80">
            <w:pPr>
              <w:pStyle w:val="TableSideHeading"/>
              <w:jc w:val="both"/>
              <w:rPr>
                <w:rtl/>
              </w:rPr>
            </w:pPr>
          </w:p>
        </w:tc>
        <w:tc>
          <w:tcPr>
            <w:tcW w:w="4650" w:type="dxa"/>
            <w:gridSpan w:val="2"/>
            <w:vMerge/>
          </w:tcPr>
          <w:p w14:paraId="19F528E7" w14:textId="77777777" w:rsidR="0078378D" w:rsidRPr="0078378D" w:rsidRDefault="0078378D" w:rsidP="00F90E80">
            <w:pPr>
              <w:pStyle w:val="TableBlockOutdent"/>
              <w:rPr>
                <w:rtl/>
              </w:rPr>
            </w:pPr>
          </w:p>
        </w:tc>
      </w:tr>
      <w:tr w:rsidR="00D80A81" w14:paraId="22F5ECC0" w14:textId="77777777" w:rsidTr="00E814D3">
        <w:trPr>
          <w:cantSplit/>
          <w:trHeight w:val="60"/>
        </w:trPr>
        <w:tc>
          <w:tcPr>
            <w:tcW w:w="1871" w:type="dxa"/>
          </w:tcPr>
          <w:p w14:paraId="3B33F3E5" w14:textId="65C2D730" w:rsidR="00D80A81" w:rsidRDefault="005D572E">
            <w:pPr>
              <w:pStyle w:val="TableSideHeading"/>
              <w:keepLines w:val="0"/>
            </w:pPr>
            <w:r>
              <w:rPr>
                <w:rFonts w:hint="cs"/>
                <w:rtl/>
              </w:rPr>
              <w:t>תחולה</w:t>
            </w:r>
          </w:p>
        </w:tc>
        <w:tc>
          <w:tcPr>
            <w:tcW w:w="624" w:type="dxa"/>
          </w:tcPr>
          <w:p w14:paraId="53207806" w14:textId="130E86AA" w:rsidR="00D80A81" w:rsidRDefault="005D572E" w:rsidP="00D80A81">
            <w:pPr>
              <w:pStyle w:val="TableText"/>
            </w:pPr>
            <w:r>
              <w:rPr>
                <w:rFonts w:hint="cs"/>
                <w:rtl/>
              </w:rPr>
              <w:t xml:space="preserve">2. </w:t>
            </w:r>
          </w:p>
        </w:tc>
        <w:tc>
          <w:tcPr>
            <w:tcW w:w="1872" w:type="dxa"/>
            <w:gridSpan w:val="3"/>
          </w:tcPr>
          <w:p w14:paraId="1FA9643C" w14:textId="77777777" w:rsidR="00D80A81" w:rsidRPr="00E814D3" w:rsidRDefault="00D80A81" w:rsidP="00F90E80">
            <w:pPr>
              <w:pStyle w:val="TableSideHeading"/>
              <w:jc w:val="both"/>
              <w:rPr>
                <w:rtl/>
              </w:rPr>
            </w:pPr>
          </w:p>
        </w:tc>
        <w:tc>
          <w:tcPr>
            <w:tcW w:w="624" w:type="dxa"/>
          </w:tcPr>
          <w:p w14:paraId="40771469" w14:textId="77777777" w:rsidR="00D80A81" w:rsidRDefault="00D80A81" w:rsidP="00F90E80">
            <w:pPr>
              <w:pStyle w:val="TableSideHeading"/>
              <w:jc w:val="both"/>
              <w:rPr>
                <w:rtl/>
              </w:rPr>
            </w:pPr>
          </w:p>
        </w:tc>
        <w:tc>
          <w:tcPr>
            <w:tcW w:w="4650" w:type="dxa"/>
            <w:gridSpan w:val="2"/>
          </w:tcPr>
          <w:p w14:paraId="3356C5FB" w14:textId="41FC514E" w:rsidR="00D80A81" w:rsidRPr="0078378D" w:rsidRDefault="00311645" w:rsidP="00311645">
            <w:pPr>
              <w:pStyle w:val="TableBlockOutdent"/>
              <w:tabs>
                <w:tab w:val="clear" w:pos="624"/>
                <w:tab w:val="left" w:pos="0"/>
              </w:tabs>
              <w:ind w:left="0" w:firstLine="0"/>
              <w:rPr>
                <w:rtl/>
              </w:rPr>
            </w:pPr>
            <w:r>
              <w:rPr>
                <w:rFonts w:hint="cs"/>
                <w:rtl/>
              </w:rPr>
              <w:t>חוק זה ייכנס לתוקפו עם אישורם</w:t>
            </w:r>
            <w:r w:rsidR="005D572E">
              <w:rPr>
                <w:rFonts w:hint="cs"/>
                <w:rtl/>
              </w:rPr>
              <w:t xml:space="preserve"> של </w:t>
            </w:r>
            <w:r>
              <w:rPr>
                <w:rFonts w:hint="cs"/>
                <w:rtl/>
              </w:rPr>
              <w:t>התקנות והכללים</w:t>
            </w:r>
            <w:r w:rsidR="005D572E">
              <w:rPr>
                <w:rFonts w:hint="cs"/>
                <w:rtl/>
              </w:rPr>
              <w:t xml:space="preserve"> כאמור בסעיף 7א</w:t>
            </w:r>
            <w:r w:rsidR="004C5C65">
              <w:rPr>
                <w:rFonts w:hint="cs"/>
                <w:rtl/>
              </w:rPr>
              <w:t xml:space="preserve">(ו) כנוסחו בסעיף 1 לחוק זה. </w:t>
            </w:r>
          </w:p>
        </w:tc>
      </w:tr>
    </w:tbl>
    <w:p w14:paraId="519539EE" w14:textId="77777777" w:rsidR="00674DFE" w:rsidRDefault="00674DFE" w:rsidP="00722C14"/>
    <w:p w14:paraId="6FC0F724" w14:textId="77777777" w:rsidR="002A7FE9" w:rsidRDefault="002A7FE9" w:rsidP="00F90E80">
      <w:pPr>
        <w:autoSpaceDE w:val="0"/>
        <w:autoSpaceDN w:val="0"/>
        <w:adjustRightInd w:val="0"/>
        <w:snapToGrid w:val="0"/>
        <w:spacing w:before="360" w:after="120"/>
        <w:ind w:left="0"/>
        <w:contextualSpacing w:val="0"/>
        <w:jc w:val="center"/>
        <w:textAlignment w:val="center"/>
        <w:rPr>
          <w:rFonts w:eastAsia="Arial Unicode MS"/>
          <w:bCs/>
          <w:snapToGrid w:val="0"/>
          <w:color w:val="000000"/>
          <w:spacing w:val="40"/>
          <w:sz w:val="20"/>
          <w:szCs w:val="26"/>
          <w:u w:val="single"/>
          <w:rtl/>
          <w:lang w:eastAsia="ja-JP"/>
        </w:rPr>
      </w:pPr>
    </w:p>
    <w:p w14:paraId="58D61796" w14:textId="77777777" w:rsidR="002A7FE9" w:rsidRDefault="002A7FE9" w:rsidP="00F90E80">
      <w:pPr>
        <w:autoSpaceDE w:val="0"/>
        <w:autoSpaceDN w:val="0"/>
        <w:adjustRightInd w:val="0"/>
        <w:snapToGrid w:val="0"/>
        <w:spacing w:before="360" w:after="120"/>
        <w:ind w:left="0"/>
        <w:contextualSpacing w:val="0"/>
        <w:jc w:val="center"/>
        <w:textAlignment w:val="center"/>
        <w:rPr>
          <w:rFonts w:eastAsia="Arial Unicode MS"/>
          <w:bCs/>
          <w:snapToGrid w:val="0"/>
          <w:color w:val="000000"/>
          <w:spacing w:val="40"/>
          <w:sz w:val="20"/>
          <w:szCs w:val="26"/>
          <w:u w:val="single"/>
          <w:rtl/>
          <w:lang w:eastAsia="ja-JP"/>
        </w:rPr>
      </w:pPr>
    </w:p>
    <w:p w14:paraId="2853CAE8" w14:textId="77777777" w:rsidR="002A7FE9" w:rsidRDefault="002A7FE9" w:rsidP="00F90E80">
      <w:pPr>
        <w:autoSpaceDE w:val="0"/>
        <w:autoSpaceDN w:val="0"/>
        <w:adjustRightInd w:val="0"/>
        <w:snapToGrid w:val="0"/>
        <w:spacing w:before="360" w:after="120"/>
        <w:ind w:left="0"/>
        <w:contextualSpacing w:val="0"/>
        <w:jc w:val="center"/>
        <w:textAlignment w:val="center"/>
        <w:rPr>
          <w:rFonts w:eastAsia="Arial Unicode MS"/>
          <w:bCs/>
          <w:snapToGrid w:val="0"/>
          <w:color w:val="000000"/>
          <w:spacing w:val="40"/>
          <w:sz w:val="20"/>
          <w:szCs w:val="26"/>
          <w:u w:val="single"/>
          <w:rtl/>
          <w:lang w:eastAsia="ja-JP"/>
        </w:rPr>
      </w:pPr>
    </w:p>
    <w:p w14:paraId="319BF1F6" w14:textId="77777777" w:rsidR="002A7FE9" w:rsidRDefault="002A7FE9" w:rsidP="00F90E80">
      <w:pPr>
        <w:autoSpaceDE w:val="0"/>
        <w:autoSpaceDN w:val="0"/>
        <w:adjustRightInd w:val="0"/>
        <w:snapToGrid w:val="0"/>
        <w:spacing w:before="360" w:after="120"/>
        <w:ind w:left="0"/>
        <w:contextualSpacing w:val="0"/>
        <w:jc w:val="center"/>
        <w:textAlignment w:val="center"/>
        <w:rPr>
          <w:rFonts w:eastAsia="Arial Unicode MS"/>
          <w:bCs/>
          <w:snapToGrid w:val="0"/>
          <w:color w:val="000000"/>
          <w:spacing w:val="40"/>
          <w:sz w:val="20"/>
          <w:szCs w:val="26"/>
          <w:u w:val="single"/>
          <w:rtl/>
          <w:lang w:eastAsia="ja-JP"/>
        </w:rPr>
      </w:pPr>
    </w:p>
    <w:p w14:paraId="469E2F60" w14:textId="77777777" w:rsidR="002A7FE9" w:rsidRDefault="002A7FE9" w:rsidP="00F90E80">
      <w:pPr>
        <w:autoSpaceDE w:val="0"/>
        <w:autoSpaceDN w:val="0"/>
        <w:adjustRightInd w:val="0"/>
        <w:snapToGrid w:val="0"/>
        <w:spacing w:before="360" w:after="120"/>
        <w:ind w:left="0"/>
        <w:contextualSpacing w:val="0"/>
        <w:jc w:val="center"/>
        <w:textAlignment w:val="center"/>
        <w:rPr>
          <w:rFonts w:eastAsia="Arial Unicode MS"/>
          <w:bCs/>
          <w:snapToGrid w:val="0"/>
          <w:color w:val="000000"/>
          <w:spacing w:val="40"/>
          <w:sz w:val="20"/>
          <w:szCs w:val="26"/>
          <w:u w:val="single"/>
          <w:rtl/>
          <w:lang w:eastAsia="ja-JP"/>
        </w:rPr>
      </w:pPr>
    </w:p>
    <w:p w14:paraId="3D8C5AE1" w14:textId="77777777" w:rsidR="002A7FE9" w:rsidRDefault="002A7FE9" w:rsidP="00F90E80">
      <w:pPr>
        <w:autoSpaceDE w:val="0"/>
        <w:autoSpaceDN w:val="0"/>
        <w:adjustRightInd w:val="0"/>
        <w:snapToGrid w:val="0"/>
        <w:spacing w:before="360" w:after="120"/>
        <w:ind w:left="0"/>
        <w:contextualSpacing w:val="0"/>
        <w:jc w:val="center"/>
        <w:textAlignment w:val="center"/>
        <w:rPr>
          <w:rFonts w:eastAsia="Arial Unicode MS"/>
          <w:bCs/>
          <w:snapToGrid w:val="0"/>
          <w:color w:val="000000"/>
          <w:spacing w:val="40"/>
          <w:sz w:val="20"/>
          <w:szCs w:val="26"/>
          <w:u w:val="single"/>
          <w:rtl/>
          <w:lang w:eastAsia="ja-JP"/>
        </w:rPr>
      </w:pPr>
    </w:p>
    <w:p w14:paraId="4C873DE2" w14:textId="77777777" w:rsidR="002A7FE9" w:rsidRDefault="002A7FE9" w:rsidP="00F90E80">
      <w:pPr>
        <w:autoSpaceDE w:val="0"/>
        <w:autoSpaceDN w:val="0"/>
        <w:adjustRightInd w:val="0"/>
        <w:snapToGrid w:val="0"/>
        <w:spacing w:before="360" w:after="120"/>
        <w:ind w:left="0"/>
        <w:contextualSpacing w:val="0"/>
        <w:jc w:val="center"/>
        <w:textAlignment w:val="center"/>
        <w:rPr>
          <w:rFonts w:eastAsia="Arial Unicode MS"/>
          <w:bCs/>
          <w:snapToGrid w:val="0"/>
          <w:color w:val="000000"/>
          <w:spacing w:val="40"/>
          <w:sz w:val="20"/>
          <w:szCs w:val="26"/>
          <w:u w:val="single"/>
          <w:rtl/>
          <w:lang w:eastAsia="ja-JP"/>
        </w:rPr>
      </w:pPr>
    </w:p>
    <w:p w14:paraId="7B5DE043" w14:textId="77777777" w:rsidR="002A7FE9" w:rsidRDefault="002A7FE9" w:rsidP="00F90E80">
      <w:pPr>
        <w:autoSpaceDE w:val="0"/>
        <w:autoSpaceDN w:val="0"/>
        <w:adjustRightInd w:val="0"/>
        <w:snapToGrid w:val="0"/>
        <w:spacing w:before="360" w:after="120"/>
        <w:ind w:left="0"/>
        <w:contextualSpacing w:val="0"/>
        <w:jc w:val="center"/>
        <w:textAlignment w:val="center"/>
        <w:rPr>
          <w:rFonts w:eastAsia="Arial Unicode MS"/>
          <w:bCs/>
          <w:snapToGrid w:val="0"/>
          <w:color w:val="000000"/>
          <w:spacing w:val="40"/>
          <w:sz w:val="20"/>
          <w:szCs w:val="26"/>
          <w:u w:val="single"/>
          <w:rtl/>
          <w:lang w:eastAsia="ja-JP"/>
        </w:rPr>
      </w:pPr>
    </w:p>
    <w:p w14:paraId="5B717063" w14:textId="77777777" w:rsidR="002A7FE9" w:rsidRDefault="002A7FE9" w:rsidP="00F90E80">
      <w:pPr>
        <w:autoSpaceDE w:val="0"/>
        <w:autoSpaceDN w:val="0"/>
        <w:adjustRightInd w:val="0"/>
        <w:snapToGrid w:val="0"/>
        <w:spacing w:before="360" w:after="120"/>
        <w:ind w:left="0"/>
        <w:contextualSpacing w:val="0"/>
        <w:jc w:val="center"/>
        <w:textAlignment w:val="center"/>
        <w:rPr>
          <w:rFonts w:eastAsia="Arial Unicode MS"/>
          <w:bCs/>
          <w:snapToGrid w:val="0"/>
          <w:color w:val="000000"/>
          <w:spacing w:val="40"/>
          <w:sz w:val="20"/>
          <w:szCs w:val="26"/>
          <w:u w:val="single"/>
          <w:rtl/>
          <w:lang w:eastAsia="ja-JP"/>
        </w:rPr>
      </w:pPr>
    </w:p>
    <w:p w14:paraId="29F15E28" w14:textId="77777777" w:rsidR="002A7FE9" w:rsidRDefault="002A7FE9" w:rsidP="00F90E80">
      <w:pPr>
        <w:autoSpaceDE w:val="0"/>
        <w:autoSpaceDN w:val="0"/>
        <w:adjustRightInd w:val="0"/>
        <w:snapToGrid w:val="0"/>
        <w:spacing w:before="360" w:after="120"/>
        <w:ind w:left="0"/>
        <w:contextualSpacing w:val="0"/>
        <w:jc w:val="center"/>
        <w:textAlignment w:val="center"/>
        <w:rPr>
          <w:rFonts w:eastAsia="Arial Unicode MS"/>
          <w:bCs/>
          <w:snapToGrid w:val="0"/>
          <w:color w:val="000000"/>
          <w:spacing w:val="40"/>
          <w:sz w:val="20"/>
          <w:szCs w:val="26"/>
          <w:u w:val="single"/>
          <w:rtl/>
          <w:lang w:eastAsia="ja-JP"/>
        </w:rPr>
      </w:pPr>
    </w:p>
    <w:p w14:paraId="2850BE8B" w14:textId="77777777" w:rsidR="00F90E80" w:rsidRPr="005154D4" w:rsidRDefault="00F90E80" w:rsidP="00F90E80">
      <w:pPr>
        <w:autoSpaceDE w:val="0"/>
        <w:autoSpaceDN w:val="0"/>
        <w:adjustRightInd w:val="0"/>
        <w:snapToGrid w:val="0"/>
        <w:spacing w:before="360" w:after="120"/>
        <w:ind w:left="0"/>
        <w:contextualSpacing w:val="0"/>
        <w:jc w:val="center"/>
        <w:textAlignment w:val="center"/>
        <w:rPr>
          <w:rFonts w:eastAsia="Arial Unicode MS"/>
          <w:bCs/>
          <w:snapToGrid w:val="0"/>
          <w:color w:val="000000"/>
          <w:spacing w:val="40"/>
          <w:sz w:val="20"/>
          <w:szCs w:val="26"/>
          <w:rtl/>
          <w:lang w:eastAsia="ja-JP"/>
        </w:rPr>
      </w:pPr>
      <w:r w:rsidRPr="005154D4">
        <w:rPr>
          <w:rFonts w:eastAsia="Arial Unicode MS"/>
          <w:bCs/>
          <w:snapToGrid w:val="0"/>
          <w:color w:val="000000"/>
          <w:spacing w:val="40"/>
          <w:sz w:val="20"/>
          <w:szCs w:val="26"/>
          <w:rtl/>
          <w:lang w:eastAsia="ja-JP"/>
        </w:rPr>
        <w:lastRenderedPageBreak/>
        <w:t>דברי הסבר</w:t>
      </w:r>
    </w:p>
    <w:p w14:paraId="3CAA9BD6" w14:textId="69ABC6E5" w:rsidR="00F90E80" w:rsidRPr="00F90E80" w:rsidRDefault="00F90E80" w:rsidP="00DC3EF0">
      <w:pPr>
        <w:tabs>
          <w:tab w:val="left" w:pos="680"/>
          <w:tab w:val="left" w:pos="1020"/>
        </w:tabs>
        <w:autoSpaceDE w:val="0"/>
        <w:autoSpaceDN w:val="0"/>
        <w:adjustRightInd w:val="0"/>
        <w:snapToGrid w:val="0"/>
        <w:spacing w:before="240" w:after="240" w:line="240" w:lineRule="auto"/>
        <w:ind w:left="425"/>
        <w:contextualSpacing w:val="0"/>
        <w:textAlignment w:val="center"/>
        <w:rPr>
          <w:rFonts w:eastAsia="Arial Unicode MS"/>
          <w:snapToGrid w:val="0"/>
          <w:color w:val="000000"/>
          <w:sz w:val="26"/>
          <w:szCs w:val="26"/>
          <w:rtl/>
          <w:lang w:eastAsia="ja-JP"/>
        </w:rPr>
      </w:pPr>
      <w:r w:rsidRPr="00F90E80">
        <w:rPr>
          <w:rFonts w:eastAsia="Arial Unicode MS"/>
          <w:snapToGrid w:val="0"/>
          <w:color w:val="000000"/>
          <w:sz w:val="26"/>
          <w:szCs w:val="26"/>
          <w:rtl/>
          <w:lang w:eastAsia="ja-JP"/>
        </w:rPr>
        <w:t xml:space="preserve">מטרת תזכיר החוק המוצע היא </w:t>
      </w:r>
      <w:r w:rsidR="00DC3EF0">
        <w:rPr>
          <w:rFonts w:eastAsia="Arial Unicode MS" w:hint="cs"/>
          <w:snapToGrid w:val="0"/>
          <w:color w:val="000000"/>
          <w:sz w:val="26"/>
          <w:szCs w:val="26"/>
          <w:rtl/>
          <w:lang w:eastAsia="ja-JP"/>
        </w:rPr>
        <w:t xml:space="preserve">לתקן את </w:t>
      </w:r>
      <w:r w:rsidRPr="00F90E80">
        <w:rPr>
          <w:rFonts w:eastAsia="Arial Unicode MS"/>
          <w:snapToGrid w:val="0"/>
          <w:color w:val="000000"/>
          <w:sz w:val="26"/>
          <w:szCs w:val="26"/>
          <w:rtl/>
          <w:lang w:eastAsia="ja-JP"/>
        </w:rPr>
        <w:t>חוק הממשלה, התשס"א-2001</w:t>
      </w:r>
      <w:r w:rsidRPr="00F90E80">
        <w:rPr>
          <w:rFonts w:eastAsia="Arial Unicode MS"/>
          <w:snapToGrid w:val="0"/>
          <w:color w:val="000000"/>
          <w:sz w:val="26"/>
          <w:szCs w:val="26"/>
          <w:vertAlign w:val="superscript"/>
          <w:rtl/>
          <w:lang w:eastAsia="ja-JP"/>
        </w:rPr>
        <w:footnoteReference w:id="1"/>
      </w:r>
      <w:r w:rsidRPr="00F90E80">
        <w:rPr>
          <w:rFonts w:eastAsia="Arial Unicode MS"/>
          <w:snapToGrid w:val="0"/>
          <w:color w:val="000000"/>
          <w:sz w:val="26"/>
          <w:szCs w:val="26"/>
          <w:rtl/>
          <w:lang w:eastAsia="ja-JP"/>
        </w:rPr>
        <w:t xml:space="preserve">, </w:t>
      </w:r>
      <w:r w:rsidR="00DC3EF0">
        <w:rPr>
          <w:rFonts w:eastAsia="Arial Unicode MS" w:hint="cs"/>
          <w:snapToGrid w:val="0"/>
          <w:color w:val="000000"/>
          <w:sz w:val="26"/>
          <w:szCs w:val="26"/>
          <w:rtl/>
          <w:lang w:eastAsia="ja-JP"/>
        </w:rPr>
        <w:t>לצורך</w:t>
      </w:r>
      <w:r w:rsidR="00DC3EF0">
        <w:rPr>
          <w:rFonts w:eastAsia="Arial Unicode MS"/>
          <w:snapToGrid w:val="0"/>
          <w:color w:val="000000"/>
          <w:sz w:val="26"/>
          <w:szCs w:val="26"/>
          <w:rtl/>
          <w:lang w:eastAsia="ja-JP"/>
        </w:rPr>
        <w:t xml:space="preserve"> </w:t>
      </w:r>
      <w:r w:rsidR="00DC3EF0">
        <w:rPr>
          <w:rFonts w:eastAsia="Arial Unicode MS" w:hint="cs"/>
          <w:snapToGrid w:val="0"/>
          <w:color w:val="000000"/>
          <w:sz w:val="26"/>
          <w:szCs w:val="26"/>
          <w:rtl/>
          <w:lang w:eastAsia="ja-JP"/>
        </w:rPr>
        <w:t>הסמכת</w:t>
      </w:r>
      <w:r w:rsidRPr="00F90E80">
        <w:rPr>
          <w:rFonts w:eastAsia="Arial Unicode MS"/>
          <w:snapToGrid w:val="0"/>
          <w:color w:val="000000"/>
          <w:sz w:val="26"/>
          <w:szCs w:val="26"/>
          <w:rtl/>
          <w:lang w:eastAsia="ja-JP"/>
        </w:rPr>
        <w:t xml:space="preserve"> שירות הביטחון הכללי לבצע בדיקה עתית, לרבות על-ידי שימוש בבדיקות פוליגרף, אשר תקבע האם קיים חשש שמשתתף בדיוני קבינט </w:t>
      </w:r>
      <w:r w:rsidR="00DC3EF0">
        <w:rPr>
          <w:rFonts w:eastAsia="Arial Unicode MS" w:hint="cs"/>
          <w:snapToGrid w:val="0"/>
          <w:color w:val="000000"/>
          <w:sz w:val="26"/>
          <w:szCs w:val="26"/>
          <w:rtl/>
          <w:lang w:eastAsia="ja-JP"/>
        </w:rPr>
        <w:t>העביר מאז הקמת ממשלה חדשה</w:t>
      </w:r>
      <w:r w:rsidRPr="00F90E80">
        <w:rPr>
          <w:rFonts w:eastAsia="Arial Unicode MS"/>
          <w:snapToGrid w:val="0"/>
          <w:color w:val="000000"/>
          <w:sz w:val="26"/>
          <w:szCs w:val="26"/>
          <w:rtl/>
          <w:lang w:eastAsia="ja-JP"/>
        </w:rPr>
        <w:t xml:space="preserve"> מידע </w:t>
      </w:r>
      <w:r w:rsidRPr="00F90E80">
        <w:rPr>
          <w:rFonts w:eastAsia="Arial Unicode MS" w:hint="cs"/>
          <w:snapToGrid w:val="0"/>
          <w:color w:val="000000"/>
          <w:sz w:val="26"/>
          <w:szCs w:val="26"/>
          <w:rtl/>
          <w:lang w:eastAsia="ja-JP"/>
        </w:rPr>
        <w:t>מדיוני הקבינט בלי</w:t>
      </w:r>
      <w:r w:rsidRPr="00F90E80">
        <w:rPr>
          <w:rFonts w:eastAsia="Arial Unicode MS"/>
          <w:snapToGrid w:val="0"/>
          <w:color w:val="000000"/>
          <w:sz w:val="26"/>
          <w:szCs w:val="26"/>
          <w:rtl/>
          <w:lang w:eastAsia="ja-JP"/>
        </w:rPr>
        <w:t xml:space="preserve"> סמכות </w:t>
      </w:r>
      <w:r w:rsidRPr="00F90E80">
        <w:rPr>
          <w:rFonts w:eastAsia="Arial Unicode MS" w:hint="cs"/>
          <w:snapToGrid w:val="0"/>
          <w:color w:val="000000"/>
          <w:sz w:val="26"/>
          <w:szCs w:val="26"/>
          <w:rtl/>
          <w:lang w:eastAsia="ja-JP"/>
        </w:rPr>
        <w:t>לידי גורם בתקשורת, או לידי גורם אחר, לשם פרסומם ברבים</w:t>
      </w:r>
      <w:r w:rsidRPr="00F90E80">
        <w:rPr>
          <w:rFonts w:eastAsia="Arial Unicode MS"/>
          <w:snapToGrid w:val="0"/>
          <w:color w:val="000000"/>
          <w:sz w:val="26"/>
          <w:szCs w:val="26"/>
          <w:rtl/>
          <w:lang w:eastAsia="ja-JP"/>
        </w:rPr>
        <w:t xml:space="preserve">. </w:t>
      </w:r>
    </w:p>
    <w:p w14:paraId="78292333" w14:textId="77777777" w:rsidR="00F90E80" w:rsidRPr="00F90E80" w:rsidRDefault="00F90E80" w:rsidP="00F90E80">
      <w:pPr>
        <w:tabs>
          <w:tab w:val="left" w:pos="680"/>
          <w:tab w:val="left" w:pos="1020"/>
        </w:tabs>
        <w:autoSpaceDE w:val="0"/>
        <w:autoSpaceDN w:val="0"/>
        <w:adjustRightInd w:val="0"/>
        <w:snapToGrid w:val="0"/>
        <w:spacing w:before="240" w:after="240" w:line="240" w:lineRule="auto"/>
        <w:ind w:left="425"/>
        <w:contextualSpacing w:val="0"/>
        <w:textAlignment w:val="center"/>
        <w:rPr>
          <w:rFonts w:eastAsia="Arial Unicode MS"/>
          <w:snapToGrid w:val="0"/>
          <w:color w:val="000000"/>
          <w:sz w:val="26"/>
          <w:szCs w:val="26"/>
          <w:rtl/>
          <w:lang w:eastAsia="ja-JP"/>
        </w:rPr>
      </w:pPr>
      <w:r w:rsidRPr="00F90E80">
        <w:rPr>
          <w:rFonts w:eastAsia="Arial Unicode MS"/>
          <w:snapToGrid w:val="0"/>
          <w:color w:val="000000"/>
          <w:sz w:val="26"/>
          <w:szCs w:val="26"/>
          <w:rtl/>
          <w:lang w:eastAsia="ja-JP"/>
        </w:rPr>
        <w:t xml:space="preserve">בבסיס תזכיר החוק עומד התפישה כי תופעת ההדלפות מדיוני הקבינט המדיני-ביטחוני (להלן: "הקבינט") מהווה </w:t>
      </w:r>
      <w:r w:rsidRPr="00F90E80">
        <w:rPr>
          <w:rFonts w:eastAsia="Arial Unicode MS"/>
          <w:snapToGrid w:val="0"/>
          <w:color w:val="000000"/>
          <w:sz w:val="26"/>
          <w:szCs w:val="26"/>
          <w:u w:val="single"/>
          <w:rtl/>
          <w:lang w:eastAsia="ja-JP"/>
        </w:rPr>
        <w:t>פגיעה חמורה ביותר</w:t>
      </w:r>
      <w:r w:rsidRPr="00F90E80">
        <w:rPr>
          <w:rFonts w:eastAsia="Arial Unicode MS"/>
          <w:snapToGrid w:val="0"/>
          <w:color w:val="000000"/>
          <w:sz w:val="26"/>
          <w:szCs w:val="26"/>
          <w:rtl/>
          <w:lang w:eastAsia="ja-JP"/>
        </w:rPr>
        <w:t xml:space="preserve"> לביטחון הלאומי של מדינת ישראל, במיוחד בעת מלחמה, בשני מישורים עיקריים: </w:t>
      </w:r>
    </w:p>
    <w:p w14:paraId="5D386026" w14:textId="77777777" w:rsidR="00F90E80" w:rsidRPr="00F90E80" w:rsidRDefault="00F90E80" w:rsidP="00F90E80">
      <w:pPr>
        <w:widowControl/>
        <w:numPr>
          <w:ilvl w:val="1"/>
          <w:numId w:val="20"/>
        </w:numPr>
        <w:tabs>
          <w:tab w:val="center" w:pos="4648"/>
          <w:tab w:val="left" w:pos="5926"/>
        </w:tabs>
        <w:autoSpaceDE w:val="0"/>
        <w:autoSpaceDN w:val="0"/>
        <w:adjustRightInd w:val="0"/>
        <w:spacing w:before="360" w:after="360" w:line="240" w:lineRule="auto"/>
        <w:ind w:left="850"/>
        <w:contextualSpacing w:val="0"/>
        <w:textAlignment w:val="center"/>
        <w:rPr>
          <w:rFonts w:eastAsia="Times New Roman"/>
          <w:sz w:val="26"/>
          <w:szCs w:val="26"/>
        </w:rPr>
      </w:pPr>
      <w:r w:rsidRPr="00F90E80">
        <w:rPr>
          <w:rFonts w:eastAsia="Times New Roman"/>
          <w:sz w:val="26"/>
          <w:szCs w:val="26"/>
          <w:u w:val="single"/>
          <w:rtl/>
        </w:rPr>
        <w:t>פגיעה משמעותית בביטחון המדינה וביחסי החוץ שלה</w:t>
      </w:r>
      <w:r w:rsidRPr="00F90E80">
        <w:rPr>
          <w:rFonts w:eastAsia="Times New Roman"/>
          <w:sz w:val="26"/>
          <w:szCs w:val="26"/>
          <w:rtl/>
        </w:rPr>
        <w:t xml:space="preserve"> - לאור חשיפת מידע מדיוני הקבינט שמגיע גם לידי האויב; </w:t>
      </w:r>
    </w:p>
    <w:p w14:paraId="56CD7F20" w14:textId="77777777" w:rsidR="00F90E80" w:rsidRPr="00F90E80" w:rsidRDefault="00F90E80" w:rsidP="00F90E80">
      <w:pPr>
        <w:widowControl/>
        <w:numPr>
          <w:ilvl w:val="1"/>
          <w:numId w:val="20"/>
        </w:numPr>
        <w:tabs>
          <w:tab w:val="center" w:pos="4648"/>
          <w:tab w:val="left" w:pos="5926"/>
        </w:tabs>
        <w:autoSpaceDE w:val="0"/>
        <w:autoSpaceDN w:val="0"/>
        <w:adjustRightInd w:val="0"/>
        <w:spacing w:before="360" w:after="360" w:line="240" w:lineRule="auto"/>
        <w:ind w:left="850"/>
        <w:contextualSpacing w:val="0"/>
        <w:textAlignment w:val="center"/>
        <w:rPr>
          <w:rFonts w:eastAsia="Times New Roman"/>
          <w:sz w:val="26"/>
          <w:szCs w:val="26"/>
        </w:rPr>
      </w:pPr>
      <w:r w:rsidRPr="00F90E80">
        <w:rPr>
          <w:rFonts w:eastAsia="Times New Roman"/>
          <w:sz w:val="26"/>
          <w:szCs w:val="26"/>
          <w:u w:val="single"/>
          <w:rtl/>
        </w:rPr>
        <w:t>פגיעה משמעותית בתהליך קבלת ההחלטות של הקבינט</w:t>
      </w:r>
      <w:r w:rsidRPr="00F90E80">
        <w:rPr>
          <w:rFonts w:eastAsia="Times New Roman"/>
          <w:sz w:val="26"/>
          <w:szCs w:val="26"/>
          <w:rtl/>
        </w:rPr>
        <w:t xml:space="preserve"> - לנוכח הקושי של גורמי הביטחון להעביר מידע לכלל משתתפי דיוני הקבינט ושל היכולת לקיים שיח פתוח, אמין ואפקטיבי במסגרת דיוניו</w:t>
      </w:r>
      <w:r w:rsidRPr="00F90E80">
        <w:rPr>
          <w:rFonts w:eastAsia="Times New Roman" w:hint="cs"/>
          <w:sz w:val="26"/>
          <w:szCs w:val="26"/>
          <w:rtl/>
        </w:rPr>
        <w:t xml:space="preserve"> (קרי, "האפקט המצנן")</w:t>
      </w:r>
      <w:r w:rsidRPr="00F90E80">
        <w:rPr>
          <w:rFonts w:eastAsia="Times New Roman"/>
          <w:sz w:val="26"/>
          <w:szCs w:val="26"/>
          <w:rtl/>
        </w:rPr>
        <w:t>.</w:t>
      </w:r>
    </w:p>
    <w:p w14:paraId="2492C8FE" w14:textId="77777777" w:rsidR="00F90E80" w:rsidRPr="00F90E80" w:rsidRDefault="00F90E80" w:rsidP="00F90E80">
      <w:pPr>
        <w:autoSpaceDE w:val="0"/>
        <w:autoSpaceDN w:val="0"/>
        <w:adjustRightInd w:val="0"/>
        <w:spacing w:before="240" w:after="240" w:line="240" w:lineRule="auto"/>
        <w:ind w:left="425"/>
        <w:contextualSpacing w:val="0"/>
        <w:textAlignment w:val="center"/>
        <w:rPr>
          <w:rFonts w:eastAsia="MS Mincho"/>
          <w:color w:val="000000"/>
          <w:spacing w:val="1"/>
          <w:sz w:val="26"/>
          <w:szCs w:val="26"/>
          <w:rtl/>
          <w:lang w:eastAsia="ja-JP"/>
        </w:rPr>
      </w:pPr>
      <w:r w:rsidRPr="00F90E80">
        <w:rPr>
          <w:rFonts w:eastAsia="MS Mincho"/>
          <w:color w:val="000000"/>
          <w:spacing w:val="1"/>
          <w:sz w:val="26"/>
          <w:szCs w:val="26"/>
          <w:rtl/>
          <w:lang w:eastAsia="ja-JP"/>
        </w:rPr>
        <w:t>על תופעת ההדלפות מדיוני הקבינט וחומרתה עמדו הוועדה לבדיקת אירועי מלחמת לבנון השנייה (להלן "ועדת/דוח וינוגרד") והוועדה לעניין עבודת הקבינט המדיני-ביטחוני (להלן "ועדת/דוח עמידרור"):</w:t>
      </w:r>
    </w:p>
    <w:p w14:paraId="2E356E00" w14:textId="77777777" w:rsidR="00F90E80" w:rsidRPr="00F90E80" w:rsidRDefault="00F90E80" w:rsidP="00F90E80">
      <w:pPr>
        <w:autoSpaceDE w:val="0"/>
        <w:autoSpaceDN w:val="0"/>
        <w:adjustRightInd w:val="0"/>
        <w:spacing w:before="240" w:after="240" w:line="240" w:lineRule="auto"/>
        <w:ind w:left="1134" w:right="1134"/>
        <w:contextualSpacing w:val="0"/>
        <w:textAlignment w:val="center"/>
        <w:rPr>
          <w:rFonts w:eastAsia="MS Mincho"/>
          <w:color w:val="000000"/>
          <w:spacing w:val="1"/>
          <w:sz w:val="26"/>
          <w:szCs w:val="26"/>
          <w:rtl/>
          <w:lang w:eastAsia="ja-JP"/>
        </w:rPr>
      </w:pPr>
      <w:r w:rsidRPr="00F90E80">
        <w:rPr>
          <w:rFonts w:eastAsia="MS Mincho"/>
          <w:color w:val="000000"/>
          <w:spacing w:val="1"/>
          <w:sz w:val="26"/>
          <w:szCs w:val="26"/>
          <w:rtl/>
          <w:lang w:eastAsia="ja-JP"/>
        </w:rPr>
        <w:t>"אנו מוצאים כי נושא ההדלפות, (ולא רק מישיבות הדרג המדיני), הוא עניין קריטי. לטעמנו, העובדה כי יש הדלפות קבועות מישיבות הקבינ</w:t>
      </w:r>
      <w:r w:rsidRPr="00F90E80">
        <w:rPr>
          <w:rFonts w:eastAsia="MS Mincho" w:hint="cs"/>
          <w:color w:val="000000"/>
          <w:spacing w:val="1"/>
          <w:sz w:val="26"/>
          <w:szCs w:val="26"/>
          <w:rtl/>
          <w:lang w:eastAsia="ja-JP"/>
        </w:rPr>
        <w:t xml:space="preserve">ט </w:t>
      </w:r>
      <w:r w:rsidRPr="00F90E80">
        <w:rPr>
          <w:rFonts w:eastAsia="MS Mincho"/>
          <w:color w:val="000000"/>
          <w:spacing w:val="1"/>
          <w:sz w:val="26"/>
          <w:szCs w:val="26"/>
          <w:rtl/>
          <w:lang w:eastAsia="ja-JP"/>
        </w:rPr>
        <w:t>המדיני-ביטחוני, ומישיבות סגורות אחרות העוסקות בענייני המדינה בכלל, ובענייני צבא ולחימה בפרט, היא מרכיב חשוב בתרבות שלטון לא מקצועית ולא אחראית. איננו מקבלים את גישת הרמת הידיים בפני התופעה. איננו מקבלים מצב בו ראש הממשלה רואה צורך להתחנן בפני שריו (ובפני הנוכחים האחרים הרבים מדי בישיבות כאלה) כי לא יוציאו את המידע החוצה."</w:t>
      </w:r>
    </w:p>
    <w:p w14:paraId="52C9B28B" w14:textId="77777777" w:rsidR="00F90E80" w:rsidRPr="00F90E80" w:rsidRDefault="00F90E80" w:rsidP="00F90E80">
      <w:pPr>
        <w:autoSpaceDE w:val="0"/>
        <w:autoSpaceDN w:val="0"/>
        <w:adjustRightInd w:val="0"/>
        <w:spacing w:before="240" w:after="240" w:line="240" w:lineRule="auto"/>
        <w:ind w:left="0"/>
        <w:contextualSpacing w:val="0"/>
        <w:textAlignment w:val="center"/>
        <w:rPr>
          <w:rFonts w:eastAsia="MS Mincho"/>
          <w:color w:val="000000"/>
          <w:spacing w:val="1"/>
          <w:sz w:val="26"/>
          <w:szCs w:val="26"/>
          <w:rtl/>
          <w:lang w:eastAsia="ja-JP"/>
        </w:rPr>
      </w:pPr>
      <w:r w:rsidRPr="00F90E80">
        <w:rPr>
          <w:rFonts w:eastAsia="MS Mincho"/>
          <w:color w:val="000000"/>
          <w:spacing w:val="1"/>
          <w:sz w:val="26"/>
          <w:szCs w:val="26"/>
          <w:rtl/>
          <w:lang w:eastAsia="ja-JP"/>
        </w:rPr>
        <w:tab/>
        <w:t xml:space="preserve">                                             (הדו"ח החלקי של ועדת וינוגרד, אפריל 2007, ע"מ 146)</w:t>
      </w:r>
    </w:p>
    <w:p w14:paraId="1ED34F59" w14:textId="77777777" w:rsidR="00F90E80" w:rsidRPr="00F90E80" w:rsidRDefault="00F90E80" w:rsidP="00F90E80">
      <w:pPr>
        <w:autoSpaceDE w:val="0"/>
        <w:autoSpaceDN w:val="0"/>
        <w:adjustRightInd w:val="0"/>
        <w:spacing w:before="240" w:after="240" w:line="240" w:lineRule="auto"/>
        <w:ind w:left="1134" w:right="1134"/>
        <w:contextualSpacing w:val="0"/>
        <w:textAlignment w:val="center"/>
        <w:rPr>
          <w:rFonts w:eastAsia="MS Mincho"/>
          <w:color w:val="000000"/>
          <w:spacing w:val="1"/>
          <w:sz w:val="26"/>
          <w:szCs w:val="26"/>
          <w:rtl/>
          <w:lang w:eastAsia="ja-JP"/>
        </w:rPr>
      </w:pPr>
      <w:r w:rsidRPr="00F90E80">
        <w:rPr>
          <w:rFonts w:eastAsia="MS Mincho"/>
          <w:color w:val="000000"/>
          <w:spacing w:val="1"/>
          <w:sz w:val="26"/>
          <w:szCs w:val="26"/>
          <w:rtl/>
          <w:lang w:eastAsia="ja-JP"/>
        </w:rPr>
        <w:t>"הדלפות מדיוני הקבינט עלולות לעקר את תוכנם ולהחלישם, וכתוצאה מכך עלול הציבור לאבד את אמונו בהנהגה. כל הדלפה מדיוני הקבינט, ולו גם בנושא פעוט, מזיקה ויש להימנע מכך לחלוטין"</w:t>
      </w:r>
    </w:p>
    <w:p w14:paraId="2B97BC6F" w14:textId="77777777" w:rsidR="00F90E80" w:rsidRPr="00F90E80" w:rsidRDefault="00F90E80" w:rsidP="00F90E80">
      <w:pPr>
        <w:autoSpaceDE w:val="0"/>
        <w:autoSpaceDN w:val="0"/>
        <w:adjustRightInd w:val="0"/>
        <w:spacing w:before="240" w:after="240" w:line="240" w:lineRule="auto"/>
        <w:ind w:left="0"/>
        <w:contextualSpacing w:val="0"/>
        <w:textAlignment w:val="center"/>
        <w:rPr>
          <w:rFonts w:eastAsia="MS Mincho"/>
          <w:color w:val="000000"/>
          <w:spacing w:val="1"/>
          <w:sz w:val="26"/>
          <w:szCs w:val="26"/>
          <w:rtl/>
          <w:lang w:eastAsia="ja-JP"/>
        </w:rPr>
      </w:pPr>
      <w:r w:rsidRPr="00F90E80">
        <w:rPr>
          <w:rFonts w:eastAsia="MS Mincho"/>
          <w:color w:val="000000"/>
          <w:spacing w:val="1"/>
          <w:sz w:val="26"/>
          <w:szCs w:val="26"/>
          <w:rtl/>
          <w:lang w:eastAsia="ja-JP"/>
        </w:rPr>
        <w:t xml:space="preserve">                           (דו"ח הוועדה לעניין עבודת הקבינט המדיני-ביטחוני, דצמבר 2016, פרק ו') </w:t>
      </w:r>
    </w:p>
    <w:p w14:paraId="7724C384" w14:textId="7BE4269C" w:rsidR="00F90E80" w:rsidRPr="00F90E80" w:rsidRDefault="00F90E80" w:rsidP="000D28C2">
      <w:pPr>
        <w:autoSpaceDE w:val="0"/>
        <w:autoSpaceDN w:val="0"/>
        <w:adjustRightInd w:val="0"/>
        <w:spacing w:before="240" w:after="240" w:line="240" w:lineRule="auto"/>
        <w:ind w:left="425"/>
        <w:contextualSpacing w:val="0"/>
        <w:textAlignment w:val="center"/>
        <w:rPr>
          <w:rFonts w:eastAsia="MS Mincho"/>
          <w:b/>
          <w:bCs/>
          <w:color w:val="000000"/>
          <w:spacing w:val="1"/>
          <w:sz w:val="26"/>
          <w:szCs w:val="26"/>
          <w:u w:val="single"/>
          <w:rtl/>
          <w:lang w:eastAsia="ja-JP"/>
        </w:rPr>
      </w:pPr>
      <w:r w:rsidRPr="00F90E80">
        <w:rPr>
          <w:rFonts w:eastAsia="MS Mincho"/>
          <w:b/>
          <w:bCs/>
          <w:color w:val="000000"/>
          <w:spacing w:val="1"/>
          <w:sz w:val="26"/>
          <w:szCs w:val="26"/>
          <w:rtl/>
          <w:lang w:eastAsia="ja-JP"/>
        </w:rPr>
        <w:t xml:space="preserve">  </w:t>
      </w:r>
      <w:r w:rsidRPr="00F90E80">
        <w:rPr>
          <w:rFonts w:eastAsia="MS Mincho"/>
          <w:b/>
          <w:bCs/>
          <w:color w:val="000000"/>
          <w:spacing w:val="1"/>
          <w:sz w:val="26"/>
          <w:szCs w:val="26"/>
          <w:u w:val="single"/>
          <w:rtl/>
          <w:lang w:eastAsia="ja-JP"/>
        </w:rPr>
        <w:t xml:space="preserve">להלן נרחיב: </w:t>
      </w:r>
    </w:p>
    <w:p w14:paraId="586D8CF2" w14:textId="77777777" w:rsidR="00F90E80" w:rsidRPr="00F90E80" w:rsidRDefault="00F90E80" w:rsidP="00F90E80">
      <w:pPr>
        <w:widowControl/>
        <w:numPr>
          <w:ilvl w:val="0"/>
          <w:numId w:val="26"/>
        </w:numPr>
        <w:autoSpaceDE w:val="0"/>
        <w:autoSpaceDN w:val="0"/>
        <w:adjustRightInd w:val="0"/>
        <w:spacing w:before="240" w:after="240" w:line="240" w:lineRule="auto"/>
        <w:ind w:left="850" w:right="567"/>
        <w:contextualSpacing w:val="0"/>
        <w:jc w:val="left"/>
        <w:textAlignment w:val="center"/>
        <w:rPr>
          <w:rFonts w:eastAsia="Times New Roman"/>
          <w:sz w:val="26"/>
          <w:szCs w:val="26"/>
          <w:u w:val="single"/>
          <w:rtl/>
        </w:rPr>
      </w:pPr>
      <w:r w:rsidRPr="00F90E80">
        <w:rPr>
          <w:rFonts w:eastAsia="Times New Roman"/>
          <w:sz w:val="26"/>
          <w:szCs w:val="26"/>
          <w:u w:val="single"/>
          <w:rtl/>
        </w:rPr>
        <w:t>חובת הסודיות בדיוני הקבינט המדיני-ביטחוני</w:t>
      </w:r>
    </w:p>
    <w:p w14:paraId="7DC512A0" w14:textId="77777777" w:rsidR="00F90E80" w:rsidRPr="00F90E80" w:rsidRDefault="00F90E80" w:rsidP="00F90E80">
      <w:pPr>
        <w:autoSpaceDE w:val="0"/>
        <w:autoSpaceDN w:val="0"/>
        <w:adjustRightInd w:val="0"/>
        <w:spacing w:before="240" w:after="240" w:line="240" w:lineRule="auto"/>
        <w:ind w:left="425"/>
        <w:contextualSpacing w:val="0"/>
        <w:textAlignment w:val="center"/>
        <w:rPr>
          <w:rFonts w:eastAsia="MS Mincho"/>
          <w:color w:val="000000"/>
          <w:spacing w:val="1"/>
          <w:sz w:val="26"/>
          <w:szCs w:val="26"/>
          <w:lang w:eastAsia="ja-JP"/>
        </w:rPr>
      </w:pPr>
      <w:r w:rsidRPr="00F90E80">
        <w:rPr>
          <w:rFonts w:eastAsia="MS Mincho"/>
          <w:color w:val="000000"/>
          <w:spacing w:val="1"/>
          <w:sz w:val="26"/>
          <w:szCs w:val="26"/>
          <w:rtl/>
          <w:lang w:eastAsia="ja-JP"/>
        </w:rPr>
        <w:t>סעיף 35 לחוק יסוד: הממשלה, קובע כי הדיונים וההחלטות של הממשלה ושל ועדות השרים בנושאי ביטחון המדינה ויחסי החוץ שלה הם סודיים, וגילויים ופרסומם אסור.</w:t>
      </w:r>
    </w:p>
    <w:p w14:paraId="0C6887DA" w14:textId="77777777" w:rsidR="00F90E80" w:rsidRPr="00F90E80" w:rsidRDefault="00F90E80" w:rsidP="00F90E80">
      <w:pPr>
        <w:autoSpaceDE w:val="0"/>
        <w:autoSpaceDN w:val="0"/>
        <w:adjustRightInd w:val="0"/>
        <w:spacing w:before="240" w:after="240" w:line="240" w:lineRule="auto"/>
        <w:ind w:left="425"/>
        <w:contextualSpacing w:val="0"/>
        <w:textAlignment w:val="center"/>
        <w:rPr>
          <w:rFonts w:eastAsia="MS Mincho"/>
          <w:color w:val="000000"/>
          <w:spacing w:val="1"/>
          <w:sz w:val="26"/>
          <w:szCs w:val="26"/>
          <w:lang w:eastAsia="ja-JP"/>
        </w:rPr>
      </w:pPr>
      <w:r w:rsidRPr="00F90E80">
        <w:rPr>
          <w:rFonts w:eastAsia="MS Mincho"/>
          <w:color w:val="000000"/>
          <w:spacing w:val="1"/>
          <w:sz w:val="26"/>
          <w:szCs w:val="26"/>
          <w:rtl/>
          <w:lang w:eastAsia="ja-JP"/>
        </w:rPr>
        <w:t>בנוסף, סעיף 51 לתקנון עבודת הממשלה אשר נקבע מכוחו של סעיף 31(ו) לחוק-יסוד: הממשלה, ואשר עולה בקנה אחד עם הוראת סעיף 35 לחוק היסוד כאמור, קובע כי דיוניה והחלטותיה של ועדת השרים לענייני ביטחון לאומי הם סודיים וגילויים או פרסומם אסור.</w:t>
      </w:r>
      <w:r w:rsidRPr="00F90E80">
        <w:rPr>
          <w:rFonts w:eastAsia="MS Mincho" w:hint="cs"/>
          <w:color w:val="000000"/>
          <w:spacing w:val="1"/>
          <w:sz w:val="26"/>
          <w:szCs w:val="26"/>
          <w:rtl/>
          <w:lang w:eastAsia="ja-JP"/>
        </w:rPr>
        <w:t xml:space="preserve"> כמו כן, בסעיף 73 לתקנון עבודת הממשלה מצוין סעיף 35 לחוק יסוד: הממשלה; וסעיף 74 לתקנון קובע כי מבלי לגרוע מהאמור בסעיף 71 לתקנון, בראשיתה של ישיבת ממשלה או ועדת שרים אשר בה נדונים עניינים </w:t>
      </w:r>
      <w:r w:rsidRPr="00F90E80">
        <w:rPr>
          <w:rFonts w:eastAsia="MS Mincho" w:hint="cs"/>
          <w:color w:val="000000"/>
          <w:spacing w:val="1"/>
          <w:sz w:val="26"/>
          <w:szCs w:val="26"/>
          <w:rtl/>
          <w:lang w:eastAsia="ja-JP"/>
        </w:rPr>
        <w:lastRenderedPageBreak/>
        <w:t xml:space="preserve">סודיים כאמור יודיע מזכיר הממשלה, בתיאום עם יושב ראש הוועדה, כי חלות על הדיון ועל ההחלטות הוראות סעיף 35 לחוק יסוד: הממשלה בדבר סודיות.  </w:t>
      </w:r>
    </w:p>
    <w:p w14:paraId="21307643" w14:textId="77777777" w:rsidR="00F90E80" w:rsidRPr="00F90E80" w:rsidRDefault="00F90E80" w:rsidP="00F90E80">
      <w:pPr>
        <w:autoSpaceDE w:val="0"/>
        <w:autoSpaceDN w:val="0"/>
        <w:adjustRightInd w:val="0"/>
        <w:spacing w:before="240" w:after="240" w:line="240" w:lineRule="auto"/>
        <w:ind w:left="425"/>
        <w:contextualSpacing w:val="0"/>
        <w:textAlignment w:val="center"/>
        <w:rPr>
          <w:rFonts w:eastAsia="MS Mincho"/>
          <w:color w:val="000000"/>
          <w:spacing w:val="1"/>
          <w:sz w:val="26"/>
          <w:szCs w:val="26"/>
          <w:lang w:eastAsia="ja-JP"/>
        </w:rPr>
      </w:pPr>
      <w:r w:rsidRPr="00F90E80">
        <w:rPr>
          <w:rFonts w:eastAsia="MS Mincho"/>
          <w:color w:val="000000"/>
          <w:spacing w:val="1"/>
          <w:sz w:val="26"/>
          <w:szCs w:val="26"/>
          <w:rtl/>
          <w:lang w:eastAsia="ja-JP"/>
        </w:rPr>
        <w:t>בהחלטה מס' 6 של הממשלה מיום 03.01.2023 בעניין "ועדת שרים לענייני ביטחון לאומי ("הקבינט המדיני-ביטחוני")", שלפיה הוראות סעיף 35 לחוק יסוד: הממשלה יחולו על כלל דיוני הקבינט המדיני-ביטחוני, לרבות מועד כינוסה, מקום כינוסה, סדר יומה, החלטותיה והמשתתפים בישיבותיה.</w:t>
      </w:r>
      <w:r w:rsidRPr="00F90E80">
        <w:rPr>
          <w:rFonts w:eastAsia="MS Mincho"/>
          <w:color w:val="000000"/>
          <w:spacing w:val="1"/>
          <w:sz w:val="26"/>
          <w:szCs w:val="26"/>
          <w:rtl/>
          <w:lang w:eastAsia="ja-JP"/>
        </w:rPr>
        <w:tab/>
        <w:t xml:space="preserve"> </w:t>
      </w:r>
    </w:p>
    <w:p w14:paraId="5B35A76E" w14:textId="77777777" w:rsidR="00F90E80" w:rsidRPr="00F90E80" w:rsidRDefault="00F90E80" w:rsidP="00F90E80">
      <w:pPr>
        <w:autoSpaceDE w:val="0"/>
        <w:autoSpaceDN w:val="0"/>
        <w:adjustRightInd w:val="0"/>
        <w:spacing w:before="240" w:after="240" w:line="240" w:lineRule="auto"/>
        <w:ind w:left="425"/>
        <w:contextualSpacing w:val="0"/>
        <w:textAlignment w:val="center"/>
        <w:rPr>
          <w:rFonts w:eastAsia="MS Mincho"/>
          <w:color w:val="000000"/>
          <w:spacing w:val="1"/>
          <w:sz w:val="26"/>
          <w:szCs w:val="26"/>
          <w:rtl/>
          <w:lang w:eastAsia="ja-JP"/>
        </w:rPr>
      </w:pPr>
      <w:r w:rsidRPr="00F90E80">
        <w:rPr>
          <w:rFonts w:eastAsia="MS Mincho"/>
          <w:color w:val="000000"/>
          <w:spacing w:val="1"/>
          <w:sz w:val="26"/>
          <w:szCs w:val="26"/>
          <w:rtl/>
          <w:lang w:eastAsia="ja-JP"/>
        </w:rPr>
        <w:t xml:space="preserve">לבסוף, קיימת שורה של נושאים שהממשלה הכריזה עליהם בצו, באישור ועדת החוץ והביטחון של הכנסת, </w:t>
      </w:r>
      <w:r w:rsidRPr="00DC3EF0">
        <w:rPr>
          <w:rFonts w:eastAsia="MS Mincho"/>
          <w:b/>
          <w:bCs/>
          <w:color w:val="000000"/>
          <w:spacing w:val="1"/>
          <w:sz w:val="26"/>
          <w:szCs w:val="26"/>
          <w:rtl/>
          <w:lang w:eastAsia="ja-JP"/>
        </w:rPr>
        <w:t>כידיעה סודית על פי סעיף 113(ד) לחוק העונשין, התשל"ז-1977, וביניהם גם "דיונים, החלטות וקיום ישיבות של ועדת השרים לענייני ביטחון"</w:t>
      </w:r>
      <w:r w:rsidRPr="00F90E80">
        <w:rPr>
          <w:rFonts w:eastAsia="MS Mincho"/>
          <w:color w:val="000000"/>
          <w:spacing w:val="1"/>
          <w:sz w:val="26"/>
          <w:szCs w:val="26"/>
          <w:rtl/>
          <w:lang w:eastAsia="ja-JP"/>
        </w:rPr>
        <w:t xml:space="preserve"> (החלטת ממשלה מס' 369 מיום 22.5.66 שפורסמה בילקוט הפרסומים מס' 1287 מיום 7.7.1966). </w:t>
      </w:r>
      <w:r w:rsidRPr="00DC3EF0">
        <w:rPr>
          <w:rFonts w:eastAsia="MS Mincho"/>
          <w:b/>
          <w:bCs/>
          <w:color w:val="000000"/>
          <w:spacing w:val="1"/>
          <w:sz w:val="26"/>
          <w:szCs w:val="26"/>
          <w:rtl/>
          <w:lang w:eastAsia="ja-JP"/>
        </w:rPr>
        <w:t>סעיף 113 הנ"ל קובע כי החזקת ידיעה סודית ללא סמכות כדין היא עבירה פלילית</w:t>
      </w:r>
      <w:r w:rsidRPr="00F90E80">
        <w:rPr>
          <w:rFonts w:eastAsia="MS Mincho"/>
          <w:color w:val="000000"/>
          <w:spacing w:val="1"/>
          <w:sz w:val="26"/>
          <w:szCs w:val="26"/>
          <w:rtl/>
          <w:lang w:eastAsia="ja-JP"/>
        </w:rPr>
        <w:t>.</w:t>
      </w:r>
    </w:p>
    <w:p w14:paraId="3464FE8E" w14:textId="77777777" w:rsidR="00F90E80" w:rsidRPr="00F90E80" w:rsidRDefault="00F90E80" w:rsidP="00F90E80">
      <w:pPr>
        <w:widowControl/>
        <w:numPr>
          <w:ilvl w:val="0"/>
          <w:numId w:val="26"/>
        </w:numPr>
        <w:autoSpaceDE w:val="0"/>
        <w:autoSpaceDN w:val="0"/>
        <w:adjustRightInd w:val="0"/>
        <w:spacing w:before="240" w:after="240" w:line="240" w:lineRule="auto"/>
        <w:ind w:left="850" w:right="567"/>
        <w:contextualSpacing w:val="0"/>
        <w:jc w:val="left"/>
        <w:textAlignment w:val="center"/>
        <w:rPr>
          <w:rFonts w:eastAsia="Times New Roman"/>
          <w:sz w:val="26"/>
          <w:szCs w:val="26"/>
          <w:u w:val="single"/>
          <w:rtl/>
        </w:rPr>
      </w:pPr>
      <w:r w:rsidRPr="00F90E80">
        <w:rPr>
          <w:rFonts w:eastAsia="Times New Roman"/>
          <w:sz w:val="26"/>
          <w:szCs w:val="26"/>
          <w:u w:val="single"/>
          <w:rtl/>
        </w:rPr>
        <w:t xml:space="preserve">הסבר על הפגיעה בביטחון המדינה של מדינת ישראל כתוצאה מהמשך תופעת ההדלפות </w:t>
      </w:r>
    </w:p>
    <w:p w14:paraId="21864E07" w14:textId="77777777" w:rsidR="00F90E80" w:rsidRPr="00F90E80" w:rsidRDefault="00F90E80" w:rsidP="00F90E80">
      <w:pPr>
        <w:autoSpaceDE w:val="0"/>
        <w:autoSpaceDN w:val="0"/>
        <w:adjustRightInd w:val="0"/>
        <w:spacing w:before="240" w:after="240" w:line="240" w:lineRule="auto"/>
        <w:ind w:left="425"/>
        <w:contextualSpacing w:val="0"/>
        <w:textAlignment w:val="center"/>
        <w:rPr>
          <w:rFonts w:eastAsia="MS Mincho"/>
          <w:color w:val="000000"/>
          <w:spacing w:val="1"/>
          <w:sz w:val="26"/>
          <w:szCs w:val="26"/>
          <w:lang w:eastAsia="ja-JP"/>
        </w:rPr>
      </w:pPr>
      <w:r w:rsidRPr="00F90E80">
        <w:rPr>
          <w:rFonts w:eastAsia="MS Mincho"/>
          <w:color w:val="000000"/>
          <w:spacing w:val="1"/>
          <w:sz w:val="26"/>
          <w:szCs w:val="26"/>
          <w:rtl/>
          <w:lang w:eastAsia="ja-JP"/>
        </w:rPr>
        <w:t>לפי המטה לביטחון לאומי</w:t>
      </w:r>
      <w:r w:rsidRPr="00F90E80">
        <w:rPr>
          <w:rFonts w:eastAsia="MS Mincho" w:hint="cs"/>
          <w:color w:val="000000"/>
          <w:spacing w:val="1"/>
          <w:sz w:val="26"/>
          <w:szCs w:val="26"/>
          <w:rtl/>
          <w:lang w:eastAsia="ja-JP"/>
        </w:rPr>
        <w:t xml:space="preserve"> (להלן </w:t>
      </w:r>
      <w:r w:rsidRPr="00F90E80">
        <w:rPr>
          <w:rFonts w:eastAsia="MS Mincho"/>
          <w:color w:val="000000"/>
          <w:spacing w:val="1"/>
          <w:sz w:val="26"/>
          <w:szCs w:val="26"/>
          <w:rtl/>
          <w:lang w:eastAsia="ja-JP"/>
        </w:rPr>
        <w:t>–</w:t>
      </w:r>
      <w:r w:rsidRPr="00F90E80">
        <w:rPr>
          <w:rFonts w:eastAsia="MS Mincho" w:hint="cs"/>
          <w:color w:val="000000"/>
          <w:spacing w:val="1"/>
          <w:sz w:val="26"/>
          <w:szCs w:val="26"/>
          <w:rtl/>
          <w:lang w:eastAsia="ja-JP"/>
        </w:rPr>
        <w:t xml:space="preserve"> המל"ל)</w:t>
      </w:r>
      <w:r w:rsidRPr="00F90E80">
        <w:rPr>
          <w:rFonts w:eastAsia="MS Mincho"/>
          <w:color w:val="000000"/>
          <w:spacing w:val="1"/>
          <w:sz w:val="26"/>
          <w:szCs w:val="26"/>
          <w:rtl/>
          <w:lang w:eastAsia="ja-JP"/>
        </w:rPr>
        <w:t>, תופעת ההדלפות מדיוני הקבינט גורמת לנזק ביטחוני-מדיני חמור ביותר למדינת ישראל בשני מישורים עיקריים: פגיעה משמעותית בביטחון המדינה וביחסי החוץ שלה כתוצאה מחשיפת המידע מהקבינט; וכן פגיעה משמעותית בתהליך קבלת ההחלטות המדיני</w:t>
      </w:r>
      <w:r w:rsidRPr="00F90E80">
        <w:rPr>
          <w:rFonts w:eastAsia="MS Mincho" w:hint="cs"/>
          <w:color w:val="000000"/>
          <w:spacing w:val="1"/>
          <w:sz w:val="26"/>
          <w:szCs w:val="26"/>
          <w:rtl/>
          <w:lang w:eastAsia="ja-JP"/>
        </w:rPr>
        <w:t>-ביטחוני</w:t>
      </w:r>
      <w:r w:rsidRPr="00F90E80">
        <w:rPr>
          <w:rFonts w:eastAsia="MS Mincho"/>
          <w:color w:val="000000"/>
          <w:spacing w:val="1"/>
          <w:sz w:val="26"/>
          <w:szCs w:val="26"/>
          <w:rtl/>
          <w:lang w:eastAsia="ja-JP"/>
        </w:rPr>
        <w:t xml:space="preserve">, וזאת </w:t>
      </w:r>
      <w:r w:rsidRPr="00F90E80">
        <w:rPr>
          <w:rFonts w:eastAsia="MS Mincho" w:hint="cs"/>
          <w:color w:val="000000"/>
          <w:spacing w:val="1"/>
          <w:sz w:val="26"/>
          <w:szCs w:val="26"/>
          <w:rtl/>
          <w:lang w:eastAsia="ja-JP"/>
        </w:rPr>
        <w:t xml:space="preserve">לאור לנוכח הקושי </w:t>
      </w:r>
      <w:r w:rsidRPr="00F90E80">
        <w:rPr>
          <w:rFonts w:eastAsia="MS Mincho"/>
          <w:color w:val="000000"/>
          <w:spacing w:val="1"/>
          <w:sz w:val="26"/>
          <w:szCs w:val="26"/>
          <w:rtl/>
          <w:lang w:eastAsia="ja-JP"/>
        </w:rPr>
        <w:t xml:space="preserve">לקיים שיח פתוח, אמין ואפקטיבי במסגרת דיוניו (קרי "האפקט המצנן"). </w:t>
      </w:r>
    </w:p>
    <w:p w14:paraId="386C1E1D" w14:textId="77777777" w:rsidR="00F90E80" w:rsidRPr="00F90E80" w:rsidRDefault="00F90E80" w:rsidP="00F90E80">
      <w:pPr>
        <w:autoSpaceDE w:val="0"/>
        <w:autoSpaceDN w:val="0"/>
        <w:adjustRightInd w:val="0"/>
        <w:spacing w:before="240" w:after="240" w:line="240" w:lineRule="auto"/>
        <w:ind w:left="425"/>
        <w:contextualSpacing w:val="0"/>
        <w:textAlignment w:val="center"/>
        <w:rPr>
          <w:rFonts w:eastAsia="MS Mincho"/>
          <w:color w:val="000000"/>
          <w:spacing w:val="1"/>
          <w:sz w:val="26"/>
          <w:szCs w:val="26"/>
          <w:rtl/>
          <w:lang w:eastAsia="ja-JP"/>
        </w:rPr>
      </w:pPr>
      <w:r w:rsidRPr="00F90E80">
        <w:rPr>
          <w:rFonts w:eastAsia="MS Mincho"/>
          <w:color w:val="000000"/>
          <w:spacing w:val="1"/>
          <w:sz w:val="26"/>
          <w:szCs w:val="26"/>
          <w:rtl/>
          <w:lang w:eastAsia="ja-JP"/>
        </w:rPr>
        <w:t xml:space="preserve">להלן נרחיב על כל מישור: </w:t>
      </w:r>
    </w:p>
    <w:p w14:paraId="26CC0186" w14:textId="77777777" w:rsidR="00F90E80" w:rsidRPr="00F90E80" w:rsidRDefault="00F90E80" w:rsidP="00F90E80">
      <w:pPr>
        <w:autoSpaceDE w:val="0"/>
        <w:autoSpaceDN w:val="0"/>
        <w:adjustRightInd w:val="0"/>
        <w:spacing w:before="240" w:after="240" w:line="240" w:lineRule="auto"/>
        <w:ind w:left="425"/>
        <w:contextualSpacing w:val="0"/>
        <w:textAlignment w:val="center"/>
        <w:rPr>
          <w:rFonts w:eastAsia="MS Mincho"/>
          <w:b/>
          <w:bCs/>
          <w:color w:val="000000"/>
          <w:spacing w:val="1"/>
          <w:sz w:val="26"/>
          <w:szCs w:val="26"/>
          <w:lang w:eastAsia="ja-JP"/>
        </w:rPr>
      </w:pPr>
      <w:r w:rsidRPr="00F90E80">
        <w:rPr>
          <w:rFonts w:eastAsia="MS Mincho"/>
          <w:b/>
          <w:bCs/>
          <w:color w:val="000000"/>
          <w:spacing w:val="1"/>
          <w:sz w:val="26"/>
          <w:szCs w:val="26"/>
          <w:rtl/>
          <w:lang w:eastAsia="ja-JP"/>
        </w:rPr>
        <w:t>הפגיעה בביטחון המדינה וביחסי החוץ שלה כתוצאה מחשיפת המידע מהקבינט</w:t>
      </w:r>
    </w:p>
    <w:p w14:paraId="7B6333FD" w14:textId="77777777" w:rsidR="00F90E80" w:rsidRPr="00F90E80" w:rsidRDefault="00F90E80" w:rsidP="00F90E80">
      <w:pPr>
        <w:autoSpaceDE w:val="0"/>
        <w:autoSpaceDN w:val="0"/>
        <w:adjustRightInd w:val="0"/>
        <w:spacing w:before="240" w:after="240" w:line="240" w:lineRule="auto"/>
        <w:ind w:left="425"/>
        <w:contextualSpacing w:val="0"/>
        <w:textAlignment w:val="center"/>
        <w:rPr>
          <w:rFonts w:eastAsia="MS Mincho"/>
          <w:color w:val="000000"/>
          <w:spacing w:val="1"/>
          <w:sz w:val="26"/>
          <w:szCs w:val="26"/>
          <w:lang w:eastAsia="ja-JP"/>
        </w:rPr>
      </w:pPr>
      <w:r w:rsidRPr="00F90E80">
        <w:rPr>
          <w:rFonts w:eastAsia="MS Mincho"/>
          <w:color w:val="000000"/>
          <w:spacing w:val="1"/>
          <w:sz w:val="26"/>
          <w:szCs w:val="26"/>
          <w:rtl/>
          <w:lang w:eastAsia="ja-JP"/>
        </w:rPr>
        <w:t>הדלפת מידע מדיוני הקבינט עשויה במקרה החמור להגיע לכדי חשיפת יכולות, שיטות פעולה</w:t>
      </w:r>
      <w:r w:rsidRPr="00F90E80">
        <w:rPr>
          <w:rFonts w:eastAsia="MS Mincho"/>
          <w:color w:val="000000"/>
          <w:spacing w:val="1"/>
          <w:sz w:val="26"/>
          <w:szCs w:val="26"/>
          <w:lang w:eastAsia="ja-JP"/>
        </w:rPr>
        <w:t xml:space="preserve"> </w:t>
      </w:r>
      <w:r w:rsidRPr="00F90E80">
        <w:rPr>
          <w:rFonts w:eastAsia="MS Mincho"/>
          <w:color w:val="000000"/>
          <w:spacing w:val="1"/>
          <w:sz w:val="26"/>
          <w:szCs w:val="26"/>
          <w:rtl/>
          <w:lang w:eastAsia="ja-JP"/>
        </w:rPr>
        <w:t>ו</w:t>
      </w:r>
      <w:r w:rsidRPr="00F90E80">
        <w:rPr>
          <w:rFonts w:eastAsia="MS Mincho" w:hint="cs"/>
          <w:color w:val="000000"/>
          <w:spacing w:val="1"/>
          <w:sz w:val="26"/>
          <w:szCs w:val="26"/>
          <w:rtl/>
          <w:lang w:eastAsia="ja-JP"/>
        </w:rPr>
        <w:t>עמדות</w:t>
      </w:r>
      <w:r w:rsidRPr="00F90E80">
        <w:rPr>
          <w:rFonts w:eastAsia="MS Mincho"/>
          <w:color w:val="000000"/>
          <w:spacing w:val="1"/>
          <w:sz w:val="26"/>
          <w:szCs w:val="26"/>
          <w:rtl/>
          <w:lang w:eastAsia="ja-JP"/>
        </w:rPr>
        <w:t xml:space="preserve"> אשר עשויות לפגוע בעוצמתו וכושרו</w:t>
      </w:r>
      <w:r w:rsidRPr="00F90E80">
        <w:rPr>
          <w:rFonts w:eastAsia="MS Mincho" w:hint="cs"/>
          <w:color w:val="000000"/>
          <w:spacing w:val="1"/>
          <w:sz w:val="26"/>
          <w:szCs w:val="26"/>
          <w:rtl/>
          <w:lang w:eastAsia="ja-JP"/>
        </w:rPr>
        <w:t xml:space="preserve"> של</w:t>
      </w:r>
      <w:r w:rsidRPr="00F90E80">
        <w:rPr>
          <w:rFonts w:eastAsia="MS Mincho"/>
          <w:color w:val="000000"/>
          <w:spacing w:val="1"/>
          <w:sz w:val="26"/>
          <w:szCs w:val="26"/>
          <w:rtl/>
          <w:lang w:eastAsia="ja-JP"/>
        </w:rPr>
        <w:t xml:space="preserve"> צה"ל ו</w:t>
      </w:r>
      <w:r w:rsidRPr="00F90E80">
        <w:rPr>
          <w:rFonts w:eastAsia="MS Mincho" w:hint="cs"/>
          <w:color w:val="000000"/>
          <w:spacing w:val="1"/>
          <w:sz w:val="26"/>
          <w:szCs w:val="26"/>
          <w:rtl/>
          <w:lang w:eastAsia="ja-JP"/>
        </w:rPr>
        <w:t xml:space="preserve">של </w:t>
      </w:r>
      <w:r w:rsidRPr="00F90E80">
        <w:rPr>
          <w:rFonts w:eastAsia="MS Mincho"/>
          <w:color w:val="000000"/>
          <w:spacing w:val="1"/>
          <w:sz w:val="26"/>
          <w:szCs w:val="26"/>
          <w:rtl/>
          <w:lang w:eastAsia="ja-JP"/>
        </w:rPr>
        <w:t>זרועות הביטחון השונ</w:t>
      </w:r>
      <w:r w:rsidRPr="00F90E80">
        <w:rPr>
          <w:rFonts w:eastAsia="MS Mincho" w:hint="cs"/>
          <w:color w:val="000000"/>
          <w:spacing w:val="1"/>
          <w:sz w:val="26"/>
          <w:szCs w:val="26"/>
          <w:rtl/>
          <w:lang w:eastAsia="ja-JP"/>
        </w:rPr>
        <w:t>ות</w:t>
      </w:r>
      <w:r w:rsidRPr="00F90E80">
        <w:rPr>
          <w:rFonts w:eastAsia="MS Mincho"/>
          <w:color w:val="000000"/>
          <w:spacing w:val="1"/>
          <w:sz w:val="26"/>
          <w:szCs w:val="26"/>
          <w:rtl/>
          <w:lang w:eastAsia="ja-JP"/>
        </w:rPr>
        <w:t xml:space="preserve"> ואף לכדי פגיעה בחיי אדם. </w:t>
      </w:r>
    </w:p>
    <w:p w14:paraId="27CE6799" w14:textId="77777777" w:rsidR="00F90E80" w:rsidRPr="00F90E80" w:rsidRDefault="00F90E80" w:rsidP="00F90E80">
      <w:pPr>
        <w:autoSpaceDE w:val="0"/>
        <w:autoSpaceDN w:val="0"/>
        <w:adjustRightInd w:val="0"/>
        <w:spacing w:before="240" w:after="240" w:line="240" w:lineRule="auto"/>
        <w:ind w:left="425"/>
        <w:contextualSpacing w:val="0"/>
        <w:textAlignment w:val="center"/>
        <w:rPr>
          <w:rFonts w:eastAsia="MS Mincho"/>
          <w:color w:val="000000"/>
          <w:spacing w:val="1"/>
          <w:sz w:val="26"/>
          <w:szCs w:val="26"/>
          <w:lang w:eastAsia="ja-JP"/>
        </w:rPr>
      </w:pPr>
      <w:r w:rsidRPr="00F90E80">
        <w:rPr>
          <w:rFonts w:eastAsia="MS Mincho"/>
          <w:color w:val="000000"/>
          <w:spacing w:val="1"/>
          <w:sz w:val="26"/>
          <w:szCs w:val="26"/>
          <w:rtl/>
          <w:lang w:eastAsia="ja-JP"/>
        </w:rPr>
        <w:t xml:space="preserve">כמו כן, הדלפות מדיוני הקבינט יכולות לפגוע משמעותית ביחסי </w:t>
      </w:r>
      <w:r w:rsidRPr="00F90E80">
        <w:rPr>
          <w:rFonts w:eastAsia="MS Mincho" w:hint="cs"/>
          <w:color w:val="000000"/>
          <w:spacing w:val="1"/>
          <w:sz w:val="26"/>
          <w:szCs w:val="26"/>
          <w:rtl/>
          <w:lang w:eastAsia="ja-JP"/>
        </w:rPr>
        <w:t>ה</w:t>
      </w:r>
      <w:r w:rsidRPr="00F90E80">
        <w:rPr>
          <w:rFonts w:eastAsia="MS Mincho"/>
          <w:color w:val="000000"/>
          <w:spacing w:val="1"/>
          <w:sz w:val="26"/>
          <w:szCs w:val="26"/>
          <w:rtl/>
          <w:lang w:eastAsia="ja-JP"/>
        </w:rPr>
        <w:t xml:space="preserve">חוץ של מדינת ישראל. </w:t>
      </w:r>
      <w:r w:rsidRPr="00F90E80">
        <w:rPr>
          <w:rFonts w:eastAsia="MS Mincho" w:hint="cs"/>
          <w:color w:val="000000"/>
          <w:spacing w:val="1"/>
          <w:sz w:val="26"/>
          <w:szCs w:val="26"/>
          <w:rtl/>
          <w:lang w:eastAsia="ja-JP"/>
        </w:rPr>
        <w:t>לדוגמא</w:t>
      </w:r>
      <w:r w:rsidRPr="00F90E80">
        <w:rPr>
          <w:rFonts w:eastAsia="MS Mincho"/>
          <w:color w:val="000000"/>
          <w:spacing w:val="1"/>
          <w:sz w:val="26"/>
          <w:szCs w:val="26"/>
          <w:rtl/>
          <w:lang w:eastAsia="ja-JP"/>
        </w:rPr>
        <w:t xml:space="preserve">, </w:t>
      </w:r>
      <w:r w:rsidRPr="00F90E80">
        <w:rPr>
          <w:rFonts w:eastAsia="MS Mincho" w:hint="cs"/>
          <w:color w:val="000000"/>
          <w:spacing w:val="1"/>
          <w:sz w:val="26"/>
          <w:szCs w:val="26"/>
          <w:rtl/>
          <w:lang w:eastAsia="ja-JP"/>
        </w:rPr>
        <w:t>הדלפת</w:t>
      </w:r>
      <w:r w:rsidRPr="00F90E80">
        <w:rPr>
          <w:rFonts w:eastAsia="MS Mincho"/>
          <w:color w:val="000000"/>
          <w:spacing w:val="1"/>
          <w:sz w:val="26"/>
          <w:szCs w:val="26"/>
          <w:rtl/>
          <w:lang w:eastAsia="ja-JP"/>
        </w:rPr>
        <w:t xml:space="preserve"> עמדות או התייחסויות של רה"מ, של שרים או גורמי מקצוע אחרים ביחס למדינות זרות או מנהיגים זרים. </w:t>
      </w:r>
    </w:p>
    <w:p w14:paraId="346927A2" w14:textId="77777777" w:rsidR="00F90E80" w:rsidRPr="00F90E80" w:rsidRDefault="00F90E80" w:rsidP="00F90E80">
      <w:pPr>
        <w:autoSpaceDE w:val="0"/>
        <w:autoSpaceDN w:val="0"/>
        <w:adjustRightInd w:val="0"/>
        <w:spacing w:before="240" w:after="240" w:line="240" w:lineRule="auto"/>
        <w:ind w:left="425"/>
        <w:contextualSpacing w:val="0"/>
        <w:textAlignment w:val="center"/>
        <w:rPr>
          <w:rFonts w:eastAsia="MS Mincho"/>
          <w:color w:val="000000"/>
          <w:spacing w:val="1"/>
          <w:sz w:val="26"/>
          <w:szCs w:val="26"/>
          <w:rtl/>
          <w:lang w:eastAsia="ja-JP"/>
        </w:rPr>
      </w:pPr>
      <w:r w:rsidRPr="00F90E80">
        <w:rPr>
          <w:rFonts w:eastAsia="MS Mincho"/>
          <w:color w:val="000000"/>
          <w:spacing w:val="1"/>
          <w:sz w:val="26"/>
          <w:szCs w:val="26"/>
          <w:rtl/>
          <w:lang w:eastAsia="ja-JP"/>
        </w:rPr>
        <w:t>בנוסף, הדלפות מדי</w:t>
      </w:r>
      <w:r w:rsidRPr="00F90E80">
        <w:rPr>
          <w:rFonts w:eastAsia="MS Mincho" w:hint="cs"/>
          <w:color w:val="000000"/>
          <w:spacing w:val="1"/>
          <w:sz w:val="26"/>
          <w:szCs w:val="26"/>
          <w:rtl/>
          <w:lang w:eastAsia="ja-JP"/>
        </w:rPr>
        <w:t>ו</w:t>
      </w:r>
      <w:r w:rsidRPr="00F90E80">
        <w:rPr>
          <w:rFonts w:eastAsia="MS Mincho"/>
          <w:color w:val="000000"/>
          <w:spacing w:val="1"/>
          <w:sz w:val="26"/>
          <w:szCs w:val="26"/>
          <w:rtl/>
          <w:lang w:eastAsia="ja-JP"/>
        </w:rPr>
        <w:t>ני הקבינט עשוי</w:t>
      </w:r>
      <w:r w:rsidRPr="00F90E80">
        <w:rPr>
          <w:rFonts w:eastAsia="MS Mincho" w:hint="cs"/>
          <w:color w:val="000000"/>
          <w:spacing w:val="1"/>
          <w:sz w:val="26"/>
          <w:szCs w:val="26"/>
          <w:rtl/>
          <w:lang w:eastAsia="ja-JP"/>
        </w:rPr>
        <w:t>ות</w:t>
      </w:r>
      <w:r w:rsidRPr="00F90E80">
        <w:rPr>
          <w:rFonts w:eastAsia="MS Mincho"/>
          <w:color w:val="000000"/>
          <w:spacing w:val="1"/>
          <w:sz w:val="26"/>
          <w:szCs w:val="26"/>
          <w:rtl/>
          <w:lang w:eastAsia="ja-JP"/>
        </w:rPr>
        <w:t xml:space="preserve"> להצביע על הלכי רוח ועמדות של גורמים שונים ובהם שרים באופן העשוי ל</w:t>
      </w:r>
      <w:r w:rsidRPr="00F90E80">
        <w:rPr>
          <w:rFonts w:eastAsia="MS Mincho" w:hint="cs"/>
          <w:color w:val="000000"/>
          <w:spacing w:val="1"/>
          <w:sz w:val="26"/>
          <w:szCs w:val="26"/>
          <w:rtl/>
          <w:lang w:eastAsia="ja-JP"/>
        </w:rPr>
        <w:t>חשוף את</w:t>
      </w:r>
      <w:r w:rsidRPr="00F90E80">
        <w:rPr>
          <w:rFonts w:eastAsia="MS Mincho"/>
          <w:color w:val="000000"/>
          <w:spacing w:val="1"/>
          <w:sz w:val="26"/>
          <w:szCs w:val="26"/>
          <w:rtl/>
          <w:lang w:eastAsia="ja-JP"/>
        </w:rPr>
        <w:t xml:space="preserve"> כוונותיו של </w:t>
      </w:r>
      <w:r w:rsidRPr="00F90E80">
        <w:rPr>
          <w:rFonts w:eastAsia="MS Mincho" w:hint="cs"/>
          <w:color w:val="000000"/>
          <w:spacing w:val="1"/>
          <w:sz w:val="26"/>
          <w:szCs w:val="26"/>
          <w:rtl/>
          <w:lang w:eastAsia="ja-JP"/>
        </w:rPr>
        <w:t>ה</w:t>
      </w:r>
      <w:r w:rsidRPr="00F90E80">
        <w:rPr>
          <w:rFonts w:eastAsia="MS Mincho"/>
          <w:color w:val="000000"/>
          <w:spacing w:val="1"/>
          <w:sz w:val="26"/>
          <w:szCs w:val="26"/>
          <w:rtl/>
          <w:lang w:eastAsia="ja-JP"/>
        </w:rPr>
        <w:t xml:space="preserve">דרג </w:t>
      </w:r>
      <w:r w:rsidRPr="00F90E80">
        <w:rPr>
          <w:rFonts w:eastAsia="MS Mincho" w:hint="cs"/>
          <w:color w:val="000000"/>
          <w:spacing w:val="1"/>
          <w:sz w:val="26"/>
          <w:szCs w:val="26"/>
          <w:rtl/>
          <w:lang w:eastAsia="ja-JP"/>
        </w:rPr>
        <w:t>ה</w:t>
      </w:r>
      <w:r w:rsidRPr="00F90E80">
        <w:rPr>
          <w:rFonts w:eastAsia="MS Mincho"/>
          <w:color w:val="000000"/>
          <w:spacing w:val="1"/>
          <w:sz w:val="26"/>
          <w:szCs w:val="26"/>
          <w:rtl/>
          <w:lang w:eastAsia="ja-JP"/>
        </w:rPr>
        <w:t xml:space="preserve">מדיני, יעדיו, מתחים קיימים ועוד. </w:t>
      </w:r>
    </w:p>
    <w:p w14:paraId="41223D88" w14:textId="77777777" w:rsidR="00F90E80" w:rsidRPr="00F90E80" w:rsidRDefault="00F90E80" w:rsidP="00F90E80">
      <w:pPr>
        <w:autoSpaceDE w:val="0"/>
        <w:autoSpaceDN w:val="0"/>
        <w:adjustRightInd w:val="0"/>
        <w:spacing w:before="240" w:after="240" w:line="240" w:lineRule="auto"/>
        <w:ind w:left="425"/>
        <w:contextualSpacing w:val="0"/>
        <w:textAlignment w:val="center"/>
        <w:rPr>
          <w:rFonts w:eastAsia="MS Mincho"/>
          <w:color w:val="000000"/>
          <w:spacing w:val="1"/>
          <w:sz w:val="26"/>
          <w:szCs w:val="26"/>
          <w:lang w:eastAsia="ja-JP"/>
        </w:rPr>
      </w:pPr>
      <w:r w:rsidRPr="00F90E80">
        <w:rPr>
          <w:rFonts w:eastAsia="MS Mincho"/>
          <w:color w:val="000000"/>
          <w:spacing w:val="1"/>
          <w:sz w:val="26"/>
          <w:szCs w:val="26"/>
          <w:rtl/>
          <w:lang w:eastAsia="ja-JP"/>
        </w:rPr>
        <w:t>כל אלו כשלעצמם משרתים את האויב וע</w:t>
      </w:r>
      <w:r w:rsidRPr="00F90E80">
        <w:rPr>
          <w:rFonts w:eastAsia="MS Mincho" w:hint="cs"/>
          <w:color w:val="000000"/>
          <w:spacing w:val="1"/>
          <w:sz w:val="26"/>
          <w:szCs w:val="26"/>
          <w:rtl/>
          <w:lang w:eastAsia="ja-JP"/>
        </w:rPr>
        <w:t>לולים</w:t>
      </w:r>
      <w:r w:rsidRPr="00F90E80">
        <w:rPr>
          <w:rFonts w:eastAsia="MS Mincho"/>
          <w:color w:val="000000"/>
          <w:spacing w:val="1"/>
          <w:sz w:val="26"/>
          <w:szCs w:val="26"/>
          <w:rtl/>
          <w:lang w:eastAsia="ja-JP"/>
        </w:rPr>
        <w:t xml:space="preserve"> לפגוע קשות בביטחון המדינה וביחסי החוץ שלה.</w:t>
      </w:r>
    </w:p>
    <w:p w14:paraId="599F4F6A" w14:textId="77777777" w:rsidR="00F90E80" w:rsidRPr="00F90E80" w:rsidRDefault="00F90E80" w:rsidP="00F90E80">
      <w:pPr>
        <w:autoSpaceDE w:val="0"/>
        <w:autoSpaceDN w:val="0"/>
        <w:adjustRightInd w:val="0"/>
        <w:spacing w:before="240" w:after="240" w:line="240" w:lineRule="auto"/>
        <w:ind w:left="425"/>
        <w:contextualSpacing w:val="0"/>
        <w:textAlignment w:val="center"/>
        <w:rPr>
          <w:rFonts w:eastAsia="MS Mincho"/>
          <w:color w:val="000000"/>
          <w:spacing w:val="1"/>
          <w:sz w:val="26"/>
          <w:szCs w:val="26"/>
          <w:lang w:eastAsia="ja-JP"/>
        </w:rPr>
      </w:pPr>
      <w:r w:rsidRPr="00F90E80">
        <w:rPr>
          <w:rFonts w:eastAsia="MS Mincho"/>
          <w:color w:val="000000"/>
          <w:spacing w:val="1"/>
          <w:sz w:val="26"/>
          <w:szCs w:val="26"/>
          <w:rtl/>
          <w:lang w:eastAsia="ja-JP"/>
        </w:rPr>
        <w:t xml:space="preserve">הפגיעה בביטחון הלאומי עשויה להתרחש </w:t>
      </w:r>
      <w:r w:rsidRPr="00F90E80">
        <w:rPr>
          <w:rFonts w:eastAsia="MS Mincho" w:hint="cs"/>
          <w:color w:val="000000"/>
          <w:spacing w:val="1"/>
          <w:sz w:val="26"/>
          <w:szCs w:val="26"/>
          <w:rtl/>
          <w:lang w:eastAsia="ja-JP"/>
        </w:rPr>
        <w:t xml:space="preserve">כתוצאה מהדלפת </w:t>
      </w:r>
      <w:r w:rsidRPr="00F90E80">
        <w:rPr>
          <w:rFonts w:eastAsia="MS Mincho"/>
          <w:color w:val="000000"/>
          <w:spacing w:val="1"/>
          <w:sz w:val="26"/>
          <w:szCs w:val="26"/>
          <w:rtl/>
          <w:lang w:eastAsia="ja-JP"/>
        </w:rPr>
        <w:t xml:space="preserve">מידע בודד, אך חמור מכך- איסוף וליקוט שיטתי של מידע המודלף מדיוני הקבינט עשויים לאפשר לגורמי אויב וליריבים ל'הרכיב פזל' שלם ולהשתמש בכך נגד </w:t>
      </w:r>
      <w:r w:rsidRPr="00F90E80">
        <w:rPr>
          <w:rFonts w:eastAsia="MS Mincho" w:hint="cs"/>
          <w:color w:val="000000"/>
          <w:spacing w:val="1"/>
          <w:sz w:val="26"/>
          <w:szCs w:val="26"/>
          <w:rtl/>
          <w:lang w:eastAsia="ja-JP"/>
        </w:rPr>
        <w:t xml:space="preserve">מדינת </w:t>
      </w:r>
      <w:r w:rsidRPr="00F90E80">
        <w:rPr>
          <w:rFonts w:eastAsia="MS Mincho"/>
          <w:color w:val="000000"/>
          <w:spacing w:val="1"/>
          <w:sz w:val="26"/>
          <w:szCs w:val="26"/>
          <w:rtl/>
          <w:lang w:eastAsia="ja-JP"/>
        </w:rPr>
        <w:t>ישראל.</w:t>
      </w:r>
    </w:p>
    <w:p w14:paraId="4FB67A83" w14:textId="77777777" w:rsidR="00F90E80" w:rsidRPr="00F90E80" w:rsidRDefault="00F90E80" w:rsidP="00F90E80">
      <w:pPr>
        <w:autoSpaceDE w:val="0"/>
        <w:autoSpaceDN w:val="0"/>
        <w:adjustRightInd w:val="0"/>
        <w:spacing w:before="240" w:after="240" w:line="240" w:lineRule="auto"/>
        <w:ind w:left="425"/>
        <w:contextualSpacing w:val="0"/>
        <w:textAlignment w:val="center"/>
        <w:rPr>
          <w:rFonts w:eastAsia="MS Mincho"/>
          <w:color w:val="000000"/>
          <w:spacing w:val="1"/>
          <w:sz w:val="26"/>
          <w:szCs w:val="26"/>
          <w:lang w:eastAsia="ja-JP"/>
        </w:rPr>
      </w:pPr>
      <w:r w:rsidRPr="00F90E80">
        <w:rPr>
          <w:rFonts w:eastAsia="MS Mincho"/>
          <w:color w:val="000000"/>
          <w:spacing w:val="1"/>
          <w:sz w:val="26"/>
          <w:szCs w:val="26"/>
          <w:rtl/>
          <w:lang w:eastAsia="ja-JP"/>
        </w:rPr>
        <w:t>כפי שצוין בע"מ 447 לדו"ח ועדת וינוגרד הסופי, החשיבות בשמירת סודות המדינה על מנת למנוע פגיעה בביטחון מצריכה שימוש בכל האמצעים האפשריים:</w:t>
      </w:r>
    </w:p>
    <w:p w14:paraId="2686C7BC" w14:textId="77777777" w:rsidR="00F90E80" w:rsidRPr="00F90E80" w:rsidRDefault="00F90E80" w:rsidP="00F90E80">
      <w:pPr>
        <w:autoSpaceDE w:val="0"/>
        <w:autoSpaceDN w:val="0"/>
        <w:adjustRightInd w:val="0"/>
        <w:spacing w:before="240" w:after="240" w:line="240" w:lineRule="auto"/>
        <w:ind w:left="1134" w:right="1134"/>
        <w:contextualSpacing w:val="0"/>
        <w:textAlignment w:val="center"/>
        <w:rPr>
          <w:rFonts w:eastAsia="MS Mincho"/>
          <w:color w:val="000000"/>
          <w:spacing w:val="1"/>
          <w:sz w:val="26"/>
          <w:szCs w:val="26"/>
          <w:lang w:eastAsia="ja-JP"/>
        </w:rPr>
      </w:pPr>
      <w:r w:rsidRPr="00F90E80">
        <w:rPr>
          <w:rFonts w:eastAsia="MS Mincho"/>
          <w:color w:val="000000"/>
          <w:spacing w:val="1"/>
          <w:sz w:val="26"/>
          <w:szCs w:val="26"/>
          <w:rtl/>
          <w:lang w:eastAsia="ja-JP"/>
        </w:rPr>
        <w:t xml:space="preserve">"אין אנו מקבלים את הדעה שאבדה השליטה על זרימת המידע. אנו סבורים כי סודות המדינה ושמירתם הם מאושיות קיומנו, ויש לחזק את הגורמים המשמשים "סכר" למניעת פריצת המידע הסודי החוצה, על ידי חשיבה מחדש על האמצעים העומדים לרשותם, ועל ידי פיתוח כלים ושיטות חדשים שיהיה בהם מענה, לפחות חלקי, אך יעיל וטוב יותר, לפריצת המידע על ידי הטכנולוגיות החדשות. </w:t>
      </w:r>
      <w:r w:rsidRPr="00F90E80">
        <w:rPr>
          <w:rFonts w:eastAsia="MS Mincho"/>
          <w:b/>
          <w:bCs/>
          <w:color w:val="000000"/>
          <w:spacing w:val="1"/>
          <w:sz w:val="26"/>
          <w:szCs w:val="26"/>
          <w:u w:val="single"/>
          <w:rtl/>
          <w:lang w:eastAsia="ja-JP"/>
        </w:rPr>
        <w:t>בין השאר, יש להילחם בתופעת ההדלפות בכל האמצעים האפשריים</w:t>
      </w:r>
      <w:r w:rsidRPr="00F90E80">
        <w:rPr>
          <w:rFonts w:eastAsia="MS Mincho"/>
          <w:color w:val="000000"/>
          <w:spacing w:val="1"/>
          <w:sz w:val="26"/>
          <w:szCs w:val="26"/>
          <w:rtl/>
          <w:lang w:eastAsia="ja-JP"/>
        </w:rPr>
        <w:t xml:space="preserve">. אם יהיה קשה יותר ויותר להשתלט על אמצעי התקשורת, יהיה הכרח להגביר יותר ויותר את מניעת ההדלפות של הסודות הביטחוניים". (ההדגשות לא </w:t>
      </w:r>
      <w:r w:rsidRPr="00F90E80">
        <w:rPr>
          <w:rFonts w:eastAsia="MS Mincho"/>
          <w:color w:val="000000"/>
          <w:spacing w:val="1"/>
          <w:sz w:val="26"/>
          <w:szCs w:val="26"/>
          <w:rtl/>
          <w:lang w:eastAsia="ja-JP"/>
        </w:rPr>
        <w:lastRenderedPageBreak/>
        <w:t>במקור)</w:t>
      </w:r>
    </w:p>
    <w:p w14:paraId="1BA95077" w14:textId="77777777" w:rsidR="00F90E80" w:rsidRPr="00F90E80" w:rsidRDefault="00F90E80" w:rsidP="00F90E80">
      <w:pPr>
        <w:autoSpaceDE w:val="0"/>
        <w:autoSpaceDN w:val="0"/>
        <w:adjustRightInd w:val="0"/>
        <w:spacing w:before="240" w:after="240" w:line="240" w:lineRule="auto"/>
        <w:ind w:left="425"/>
        <w:contextualSpacing w:val="0"/>
        <w:textAlignment w:val="center"/>
        <w:rPr>
          <w:rFonts w:eastAsia="MS Mincho"/>
          <w:color w:val="000000"/>
          <w:spacing w:val="1"/>
          <w:sz w:val="26"/>
          <w:szCs w:val="26"/>
          <w:lang w:eastAsia="ja-JP"/>
        </w:rPr>
      </w:pPr>
      <w:r w:rsidRPr="00F90E80">
        <w:rPr>
          <w:rFonts w:eastAsia="MS Mincho"/>
          <w:color w:val="000000"/>
          <w:spacing w:val="1"/>
          <w:sz w:val="26"/>
          <w:szCs w:val="26"/>
          <w:rtl/>
          <w:lang w:eastAsia="ja-JP"/>
        </w:rPr>
        <w:t xml:space="preserve"> בנוסף, בעניין זה, צוין בע"מ 480 לדו"ח ועדת וינוגרד, כדלקמן:</w:t>
      </w:r>
    </w:p>
    <w:p w14:paraId="49809E8D" w14:textId="77777777" w:rsidR="00F90E80" w:rsidRPr="00F90E80" w:rsidRDefault="00F90E80" w:rsidP="00F90E80">
      <w:pPr>
        <w:autoSpaceDE w:val="0"/>
        <w:autoSpaceDN w:val="0"/>
        <w:adjustRightInd w:val="0"/>
        <w:spacing w:before="240" w:after="240" w:line="240" w:lineRule="auto"/>
        <w:ind w:left="1134" w:right="1134"/>
        <w:contextualSpacing w:val="0"/>
        <w:textAlignment w:val="center"/>
        <w:rPr>
          <w:rFonts w:eastAsia="MS Mincho"/>
          <w:color w:val="000000"/>
          <w:spacing w:val="1"/>
          <w:sz w:val="26"/>
          <w:szCs w:val="26"/>
          <w:lang w:eastAsia="ja-JP"/>
        </w:rPr>
      </w:pPr>
      <w:r w:rsidRPr="00F90E80">
        <w:rPr>
          <w:rFonts w:eastAsia="MS Mincho"/>
          <w:color w:val="000000"/>
          <w:spacing w:val="1"/>
          <w:sz w:val="26"/>
          <w:szCs w:val="26"/>
          <w:rtl/>
          <w:lang w:eastAsia="ja-JP"/>
        </w:rPr>
        <w:t xml:space="preserve">"אנו חוזרים על המלצתנו בדו"ח החלקי בדבר </w:t>
      </w:r>
      <w:r w:rsidRPr="00F90E80">
        <w:rPr>
          <w:rFonts w:eastAsia="MS Mincho"/>
          <w:b/>
          <w:bCs/>
          <w:color w:val="000000"/>
          <w:spacing w:val="1"/>
          <w:sz w:val="26"/>
          <w:szCs w:val="26"/>
          <w:u w:val="single"/>
          <w:rtl/>
          <w:lang w:eastAsia="ja-JP"/>
        </w:rPr>
        <w:t>הצורך במהפך תודעתי של הדרג המדיני</w:t>
      </w:r>
      <w:r w:rsidRPr="00F90E80">
        <w:rPr>
          <w:rFonts w:eastAsia="MS Mincho"/>
          <w:color w:val="000000"/>
          <w:spacing w:val="1"/>
          <w:sz w:val="26"/>
          <w:szCs w:val="26"/>
          <w:rtl/>
          <w:lang w:eastAsia="ja-JP"/>
        </w:rPr>
        <w:t>, הן בהבנת הצורך בבלימת ההדלפות מתוך הזרועות השונות של הממשל והן בתגבור מערכי ההגנה והאכיפה הקיימים. על הדרג המדיני לעצב מדיניות מתאימה, ולעודד פעולות הסברתיות נרחבות בציבור, כדי לחדד את ההכרה ש</w:t>
      </w:r>
      <w:r w:rsidRPr="00F90E80">
        <w:rPr>
          <w:rFonts w:eastAsia="MS Mincho"/>
          <w:b/>
          <w:bCs/>
          <w:color w:val="000000"/>
          <w:spacing w:val="1"/>
          <w:sz w:val="26"/>
          <w:szCs w:val="26"/>
          <w:u w:val="single"/>
          <w:rtl/>
          <w:lang w:eastAsia="ja-JP"/>
        </w:rPr>
        <w:t>דליפת סודות מדינה היא פגיעה חמורה בביטחון המדינה</w:t>
      </w:r>
      <w:r w:rsidRPr="00F90E80">
        <w:rPr>
          <w:rFonts w:eastAsia="MS Mincho"/>
          <w:color w:val="000000"/>
          <w:spacing w:val="1"/>
          <w:sz w:val="26"/>
          <w:szCs w:val="26"/>
          <w:rtl/>
          <w:lang w:eastAsia="ja-JP"/>
        </w:rPr>
        <w:t>." (ההדגשות לא במקור)</w:t>
      </w:r>
    </w:p>
    <w:p w14:paraId="664F5F56" w14:textId="77777777" w:rsidR="00F90E80" w:rsidRPr="00F90E80" w:rsidRDefault="00F90E80" w:rsidP="00F90E80">
      <w:pPr>
        <w:autoSpaceDE w:val="0"/>
        <w:autoSpaceDN w:val="0"/>
        <w:adjustRightInd w:val="0"/>
        <w:spacing w:before="240" w:after="240" w:line="240" w:lineRule="auto"/>
        <w:ind w:left="425"/>
        <w:contextualSpacing w:val="0"/>
        <w:textAlignment w:val="center"/>
        <w:rPr>
          <w:rFonts w:eastAsia="MS Mincho"/>
          <w:color w:val="000000"/>
          <w:spacing w:val="1"/>
          <w:sz w:val="26"/>
          <w:szCs w:val="26"/>
          <w:lang w:eastAsia="ja-JP"/>
        </w:rPr>
      </w:pPr>
      <w:r w:rsidRPr="00F90E80">
        <w:rPr>
          <w:rFonts w:eastAsia="MS Mincho"/>
          <w:color w:val="000000"/>
          <w:spacing w:val="1"/>
          <w:sz w:val="26"/>
          <w:szCs w:val="26"/>
          <w:rtl/>
          <w:lang w:eastAsia="ja-JP"/>
        </w:rPr>
        <w:t xml:space="preserve">ביום 28.05.2017 התקבלה החלטה מס' ב/212 לעניין אישור המלצות הוועדה לעניין עבודת הקבינט המדיני-ביטחוני (להלן - דו"ח ועדת עמידרור או ועדת עמידרור). פרק ו' להמלצות דו"ח ועדת עמידרור עסק בעניין ההדלפות מדיוני הקבינט. </w:t>
      </w:r>
    </w:p>
    <w:p w14:paraId="0E095776" w14:textId="77777777" w:rsidR="00F90E80" w:rsidRPr="00F90E80" w:rsidRDefault="00F90E80" w:rsidP="00F90E80">
      <w:pPr>
        <w:autoSpaceDE w:val="0"/>
        <w:autoSpaceDN w:val="0"/>
        <w:adjustRightInd w:val="0"/>
        <w:spacing w:before="240" w:after="240" w:line="240" w:lineRule="auto"/>
        <w:ind w:left="425"/>
        <w:contextualSpacing w:val="0"/>
        <w:textAlignment w:val="center"/>
        <w:rPr>
          <w:rFonts w:eastAsia="MS Mincho"/>
          <w:color w:val="000000"/>
          <w:spacing w:val="1"/>
          <w:sz w:val="26"/>
          <w:szCs w:val="26"/>
          <w:lang w:eastAsia="ja-JP"/>
        </w:rPr>
      </w:pPr>
      <w:r w:rsidRPr="00F90E80">
        <w:rPr>
          <w:rFonts w:eastAsia="MS Mincho"/>
          <w:color w:val="000000"/>
          <w:spacing w:val="1"/>
          <w:sz w:val="26"/>
          <w:szCs w:val="26"/>
          <w:rtl/>
          <w:lang w:eastAsia="ja-JP"/>
        </w:rPr>
        <w:t xml:space="preserve">לפי ועדת עמידרור, "הטענה כי עיקר ליבת הסוד לא נחשף אינה מונעת את החשש מהדלפה, שעלולה לגרום לנזק ביטחוני. </w:t>
      </w:r>
      <w:r w:rsidRPr="00F90E80">
        <w:rPr>
          <w:rFonts w:eastAsia="MS Mincho"/>
          <w:b/>
          <w:bCs/>
          <w:color w:val="000000"/>
          <w:spacing w:val="1"/>
          <w:sz w:val="26"/>
          <w:szCs w:val="26"/>
          <w:rtl/>
          <w:lang w:eastAsia="ja-JP"/>
        </w:rPr>
        <w:t>חשיפתם של סודות מדינה היא רעה חולה, המשרתת את האויב ויוצרת נזק משמעותי למדינת ישראל</w:t>
      </w:r>
      <w:r w:rsidRPr="00F90E80">
        <w:rPr>
          <w:rFonts w:eastAsia="MS Mincho"/>
          <w:color w:val="000000"/>
          <w:spacing w:val="1"/>
          <w:sz w:val="26"/>
          <w:szCs w:val="26"/>
          <w:rtl/>
          <w:lang w:eastAsia="ja-JP"/>
        </w:rPr>
        <w:t xml:space="preserve">". כמו כן, לפי ועדת עמידרור, "הדלפות מדיוני הקבינט </w:t>
      </w:r>
      <w:r w:rsidRPr="00F90E80">
        <w:rPr>
          <w:rFonts w:eastAsia="MS Mincho"/>
          <w:b/>
          <w:bCs/>
          <w:color w:val="000000"/>
          <w:spacing w:val="1"/>
          <w:sz w:val="26"/>
          <w:szCs w:val="26"/>
          <w:rtl/>
          <w:lang w:eastAsia="ja-JP"/>
        </w:rPr>
        <w:t>עלולות לעקר את תוכנם ולהחלישם</w:t>
      </w:r>
      <w:r w:rsidRPr="00F90E80">
        <w:rPr>
          <w:rFonts w:eastAsia="MS Mincho"/>
          <w:color w:val="000000"/>
          <w:spacing w:val="1"/>
          <w:sz w:val="26"/>
          <w:szCs w:val="26"/>
          <w:rtl/>
          <w:lang w:eastAsia="ja-JP"/>
        </w:rPr>
        <w:t xml:space="preserve">, וכתוצאה מכך עלול הציבור לאבד את אמונו בהנהגה. כל הדלפה מדיוני הקבינט, ולו גם בנושא פעוט, </w:t>
      </w:r>
      <w:r w:rsidRPr="00F90E80">
        <w:rPr>
          <w:rFonts w:eastAsia="MS Mincho"/>
          <w:b/>
          <w:bCs/>
          <w:color w:val="000000"/>
          <w:spacing w:val="1"/>
          <w:sz w:val="26"/>
          <w:szCs w:val="26"/>
          <w:rtl/>
          <w:lang w:eastAsia="ja-JP"/>
        </w:rPr>
        <w:t>מזיקה</w:t>
      </w:r>
      <w:r w:rsidRPr="00F90E80">
        <w:rPr>
          <w:rFonts w:eastAsia="MS Mincho"/>
          <w:color w:val="000000"/>
          <w:spacing w:val="1"/>
          <w:sz w:val="26"/>
          <w:szCs w:val="26"/>
          <w:rtl/>
          <w:lang w:eastAsia="ja-JP"/>
        </w:rPr>
        <w:t xml:space="preserve"> ויש להימנע מכך לחלוטין".</w:t>
      </w:r>
      <w:r w:rsidRPr="00F90E80">
        <w:rPr>
          <w:rFonts w:eastAsia="MS Mincho" w:hint="cs"/>
          <w:color w:val="000000"/>
          <w:spacing w:val="1"/>
          <w:sz w:val="26"/>
          <w:szCs w:val="26"/>
          <w:rtl/>
          <w:lang w:eastAsia="ja-JP"/>
        </w:rPr>
        <w:t xml:space="preserve"> התייחסות להמלצות הקונקרטיות של ועדת עמידרור לעניין ההדלפות, תובא בהמשך. </w:t>
      </w:r>
    </w:p>
    <w:p w14:paraId="176D0EF4" w14:textId="77777777" w:rsidR="00F90E80" w:rsidRPr="00F90E80" w:rsidRDefault="00F90E80" w:rsidP="00F90E80">
      <w:pPr>
        <w:autoSpaceDE w:val="0"/>
        <w:autoSpaceDN w:val="0"/>
        <w:adjustRightInd w:val="0"/>
        <w:spacing w:before="240" w:after="240" w:line="240" w:lineRule="auto"/>
        <w:ind w:left="425"/>
        <w:contextualSpacing w:val="0"/>
        <w:textAlignment w:val="center"/>
        <w:rPr>
          <w:rFonts w:eastAsia="MS Mincho"/>
          <w:b/>
          <w:bCs/>
          <w:color w:val="000000"/>
          <w:spacing w:val="1"/>
          <w:sz w:val="26"/>
          <w:szCs w:val="26"/>
          <w:rtl/>
          <w:lang w:eastAsia="ja-JP"/>
        </w:rPr>
      </w:pPr>
      <w:r w:rsidRPr="00F90E80">
        <w:rPr>
          <w:rFonts w:eastAsia="MS Mincho"/>
          <w:b/>
          <w:bCs/>
          <w:color w:val="000000"/>
          <w:spacing w:val="1"/>
          <w:sz w:val="26"/>
          <w:szCs w:val="26"/>
          <w:rtl/>
          <w:lang w:eastAsia="ja-JP"/>
        </w:rPr>
        <w:t>הפגיעה בתהליך קבלת ההחלטות - "האפקט המצנן"</w:t>
      </w:r>
    </w:p>
    <w:p w14:paraId="4DE36C40" w14:textId="77777777" w:rsidR="00F90E80" w:rsidRPr="00F90E80" w:rsidRDefault="00F90E80" w:rsidP="00F90E80">
      <w:pPr>
        <w:autoSpaceDE w:val="0"/>
        <w:autoSpaceDN w:val="0"/>
        <w:adjustRightInd w:val="0"/>
        <w:spacing w:before="240" w:after="240" w:line="240" w:lineRule="auto"/>
        <w:ind w:left="425"/>
        <w:contextualSpacing w:val="0"/>
        <w:textAlignment w:val="center"/>
        <w:rPr>
          <w:rFonts w:eastAsia="MS Mincho"/>
          <w:color w:val="000000"/>
          <w:spacing w:val="1"/>
          <w:sz w:val="26"/>
          <w:szCs w:val="26"/>
          <w:lang w:eastAsia="ja-JP"/>
        </w:rPr>
      </w:pPr>
      <w:r w:rsidRPr="00F90E80">
        <w:rPr>
          <w:rFonts w:eastAsia="MS Mincho"/>
          <w:color w:val="000000"/>
          <w:spacing w:val="1"/>
          <w:sz w:val="26"/>
          <w:szCs w:val="26"/>
          <w:rtl/>
          <w:lang w:eastAsia="ja-JP"/>
        </w:rPr>
        <w:t>תופעת ההדלפות מדיוני הקבינט המדיני-ביטחוני מקשה על הדרג המדיני ל</w:t>
      </w:r>
      <w:r w:rsidRPr="00F90E80">
        <w:rPr>
          <w:rFonts w:eastAsia="MS Mincho" w:hint="cs"/>
          <w:color w:val="000000"/>
          <w:spacing w:val="1"/>
          <w:sz w:val="26"/>
          <w:szCs w:val="26"/>
          <w:rtl/>
          <w:lang w:eastAsia="ja-JP"/>
        </w:rPr>
        <w:t>התייחס</w:t>
      </w:r>
      <w:r w:rsidRPr="00F90E80">
        <w:rPr>
          <w:rFonts w:eastAsia="MS Mincho"/>
          <w:color w:val="000000"/>
          <w:spacing w:val="1"/>
          <w:sz w:val="26"/>
          <w:szCs w:val="26"/>
          <w:rtl/>
          <w:lang w:eastAsia="ja-JP"/>
        </w:rPr>
        <w:t xml:space="preserve"> </w:t>
      </w:r>
      <w:r w:rsidRPr="00F90E80">
        <w:rPr>
          <w:rFonts w:eastAsia="MS Mincho" w:hint="cs"/>
          <w:color w:val="000000"/>
          <w:spacing w:val="1"/>
          <w:sz w:val="26"/>
          <w:szCs w:val="26"/>
          <w:rtl/>
          <w:lang w:eastAsia="ja-JP"/>
        </w:rPr>
        <w:t>ל</w:t>
      </w:r>
      <w:r w:rsidRPr="00F90E80">
        <w:rPr>
          <w:rFonts w:eastAsia="MS Mincho"/>
          <w:color w:val="000000"/>
          <w:spacing w:val="1"/>
          <w:sz w:val="26"/>
          <w:szCs w:val="26"/>
          <w:rtl/>
          <w:lang w:eastAsia="ja-JP"/>
        </w:rPr>
        <w:t xml:space="preserve">קבינט כפורום אינטימי שבו ניתן לערוך שיח פתוח בין המשתתפים, </w:t>
      </w:r>
      <w:r w:rsidRPr="00F90E80">
        <w:rPr>
          <w:rFonts w:eastAsia="MS Mincho" w:hint="cs"/>
          <w:color w:val="000000"/>
          <w:spacing w:val="1"/>
          <w:sz w:val="26"/>
          <w:szCs w:val="26"/>
          <w:rtl/>
          <w:lang w:eastAsia="ja-JP"/>
        </w:rPr>
        <w:t>ב</w:t>
      </w:r>
      <w:r w:rsidRPr="00F90E80">
        <w:rPr>
          <w:rFonts w:eastAsia="MS Mincho"/>
          <w:color w:val="000000"/>
          <w:spacing w:val="1"/>
          <w:sz w:val="26"/>
          <w:szCs w:val="26"/>
          <w:rtl/>
          <w:lang w:eastAsia="ja-JP"/>
        </w:rPr>
        <w:t xml:space="preserve">נושאים החשובים ביותר בתחום הביטחון הלאומי של מדינת ישראל. </w:t>
      </w:r>
    </w:p>
    <w:p w14:paraId="28BCA346" w14:textId="77777777" w:rsidR="00F90E80" w:rsidRPr="00F90E80" w:rsidRDefault="00F90E80" w:rsidP="00F90E80">
      <w:pPr>
        <w:autoSpaceDE w:val="0"/>
        <w:autoSpaceDN w:val="0"/>
        <w:adjustRightInd w:val="0"/>
        <w:spacing w:before="240" w:after="240" w:line="240" w:lineRule="auto"/>
        <w:ind w:left="425"/>
        <w:contextualSpacing w:val="0"/>
        <w:textAlignment w:val="center"/>
        <w:rPr>
          <w:rFonts w:eastAsia="MS Mincho"/>
          <w:color w:val="000000"/>
          <w:spacing w:val="1"/>
          <w:sz w:val="26"/>
          <w:szCs w:val="26"/>
          <w:lang w:eastAsia="ja-JP"/>
        </w:rPr>
      </w:pPr>
      <w:r w:rsidRPr="00F90E80">
        <w:rPr>
          <w:rFonts w:eastAsia="MS Mincho"/>
          <w:color w:val="000000"/>
          <w:spacing w:val="1"/>
          <w:sz w:val="26"/>
          <w:szCs w:val="26"/>
          <w:rtl/>
          <w:lang w:eastAsia="ja-JP"/>
        </w:rPr>
        <w:t xml:space="preserve">התוצאה שנוצרת היא שהקבינט אינו מתכנס באופן סדור ובמקרים שכן מתכנס - חלק ממשתתפי הדיון אינם חולקים את מחשבותיהם והשקפותיהם באופן מלא. לאור זאת, הדיונים על הנושאים החשובים ביותר בתחום הביטחון הלאומי מתקיימים, לעתים, בפורומים אחרים. </w:t>
      </w:r>
    </w:p>
    <w:p w14:paraId="67D08DF8" w14:textId="77777777" w:rsidR="00F90E80" w:rsidRPr="00F90E80" w:rsidRDefault="00F90E80" w:rsidP="00F90E80">
      <w:pPr>
        <w:autoSpaceDE w:val="0"/>
        <w:autoSpaceDN w:val="0"/>
        <w:adjustRightInd w:val="0"/>
        <w:spacing w:before="240" w:after="240" w:line="240" w:lineRule="auto"/>
        <w:ind w:left="425"/>
        <w:contextualSpacing w:val="0"/>
        <w:textAlignment w:val="center"/>
        <w:rPr>
          <w:rFonts w:eastAsia="MS Mincho"/>
          <w:color w:val="000000"/>
          <w:spacing w:val="1"/>
          <w:sz w:val="26"/>
          <w:szCs w:val="26"/>
          <w:lang w:eastAsia="ja-JP"/>
        </w:rPr>
      </w:pPr>
      <w:r w:rsidRPr="00F90E80">
        <w:rPr>
          <w:rFonts w:eastAsia="MS Mincho"/>
          <w:color w:val="000000"/>
          <w:spacing w:val="1"/>
          <w:sz w:val="26"/>
          <w:szCs w:val="26"/>
          <w:rtl/>
          <w:lang w:eastAsia="ja-JP"/>
        </w:rPr>
        <w:t>בהתאם לכך, אי כינוס הקבינט באופן סדור והיעדר שיח פתוח בדיון עצמו בין משתתפי הדיון, פוגעים באופן משמעותי ביותר בתהליך קבלת ההחלטות בתחומים הרגישים ביותר של הביטחון הלאומי של מדינת ישראל.</w:t>
      </w:r>
    </w:p>
    <w:p w14:paraId="46E33F41" w14:textId="77777777" w:rsidR="00F90E80" w:rsidRPr="00F90E80" w:rsidRDefault="00F90E80" w:rsidP="00F90E80">
      <w:pPr>
        <w:autoSpaceDE w:val="0"/>
        <w:autoSpaceDN w:val="0"/>
        <w:adjustRightInd w:val="0"/>
        <w:spacing w:before="240" w:after="240" w:line="240" w:lineRule="auto"/>
        <w:ind w:left="425"/>
        <w:contextualSpacing w:val="0"/>
        <w:textAlignment w:val="center"/>
        <w:rPr>
          <w:rFonts w:eastAsia="MS Mincho"/>
          <w:color w:val="000000"/>
          <w:spacing w:val="1"/>
          <w:sz w:val="26"/>
          <w:szCs w:val="26"/>
          <w:rtl/>
          <w:lang w:eastAsia="ja-JP"/>
        </w:rPr>
      </w:pPr>
      <w:r w:rsidRPr="00F90E80">
        <w:rPr>
          <w:rFonts w:eastAsia="MS Mincho"/>
          <w:color w:val="000000"/>
          <w:spacing w:val="1"/>
          <w:sz w:val="26"/>
          <w:szCs w:val="26"/>
          <w:rtl/>
          <w:lang w:eastAsia="ja-JP"/>
        </w:rPr>
        <w:t xml:space="preserve">כפי שצוין בבג"צ 614/21 </w:t>
      </w:r>
      <w:r w:rsidRPr="00F90E80">
        <w:rPr>
          <w:rFonts w:eastAsia="MS Mincho"/>
          <w:b/>
          <w:bCs/>
          <w:color w:val="000000"/>
          <w:spacing w:val="1"/>
          <w:sz w:val="26"/>
          <w:szCs w:val="26"/>
          <w:rtl/>
          <w:lang w:eastAsia="ja-JP"/>
        </w:rPr>
        <w:t>התנועה לחופש המידע נ' משרד ראש הממשלה ואח'</w:t>
      </w:r>
      <w:r w:rsidRPr="00F90E80">
        <w:rPr>
          <w:rFonts w:eastAsia="MS Mincho"/>
          <w:color w:val="000000"/>
          <w:spacing w:val="1"/>
          <w:sz w:val="26"/>
          <w:szCs w:val="26"/>
          <w:rtl/>
          <w:lang w:eastAsia="ja-JP"/>
        </w:rPr>
        <w:t xml:space="preserve">, קיימת חשיבות רבה בקיום דיון פנימי חופשי וענייני בישיבות ממשלה שיש להן הוראת סודיות, כפי שקיים בדיונים הקבינט המדיני-ביטחוני: </w:t>
      </w:r>
    </w:p>
    <w:p w14:paraId="16FE8A7D" w14:textId="77777777" w:rsidR="00F90E80" w:rsidRPr="00F90E80" w:rsidRDefault="00F90E80" w:rsidP="00F90E80">
      <w:pPr>
        <w:autoSpaceDE w:val="0"/>
        <w:autoSpaceDN w:val="0"/>
        <w:adjustRightInd w:val="0"/>
        <w:spacing w:before="240" w:after="240" w:line="240" w:lineRule="auto"/>
        <w:ind w:left="1134" w:right="1134"/>
        <w:contextualSpacing w:val="0"/>
        <w:textAlignment w:val="center"/>
        <w:rPr>
          <w:rFonts w:eastAsia="MS Mincho"/>
          <w:color w:val="000000"/>
          <w:spacing w:val="1"/>
          <w:sz w:val="26"/>
          <w:szCs w:val="26"/>
          <w:rtl/>
          <w:lang w:eastAsia="ja-JP"/>
        </w:rPr>
      </w:pPr>
      <w:r w:rsidRPr="00F90E80">
        <w:rPr>
          <w:rFonts w:eastAsia="MS Mincho"/>
          <w:color w:val="000000"/>
          <w:spacing w:val="1"/>
          <w:sz w:val="26"/>
          <w:szCs w:val="26"/>
          <w:rtl/>
          <w:lang w:eastAsia="ja-JP"/>
        </w:rPr>
        <w:t xml:space="preserve">"התכלית המרכזית העומדת בבסיס הוראת הסודיות של תמלילי ישיבות הממשלה וּועדות השרים היא לאפשר דיון פנימי חופשי וענייני בישיבות הממשלה ולמנוע "אפקט מצנן". ישיבת ממשלה אינה צריכה להיות שקולה למסיבת עיתונאים (עניין פן-דור, פסקה יז). "יש תחומים בהם קשה שלא להבחין בהשפעתו של האפקט המצנן על ההתנהלות השוטפת" (עניין התנועה למען איכות השלטון, פסקה 22), וענייננו-שלנו נמנה על אותם תחומים (ראו והשוו גם לרע"פ 2783/19 קרא נ' מדינת ישראל (2.1.2020), שם נדונה ונדחתה בקשת עיתונאים להסיר צו איסור פרסום מעל חומרים מסוימים הקשורים ל"פרשת הרפז" תוך התמקדות בתמלול שיחות טלפון והקלטות מלשכת הרמטכ"ל). </w:t>
      </w:r>
    </w:p>
    <w:p w14:paraId="3E13AA23" w14:textId="77777777" w:rsidR="00F90E80" w:rsidRPr="00F90E80" w:rsidRDefault="00F90E80" w:rsidP="00F90E80">
      <w:pPr>
        <w:autoSpaceDE w:val="0"/>
        <w:autoSpaceDN w:val="0"/>
        <w:adjustRightInd w:val="0"/>
        <w:spacing w:before="240" w:after="240" w:line="240" w:lineRule="auto"/>
        <w:ind w:left="1134" w:right="1134"/>
        <w:contextualSpacing w:val="0"/>
        <w:textAlignment w:val="center"/>
        <w:rPr>
          <w:rFonts w:eastAsia="MS Mincho"/>
          <w:color w:val="000000"/>
          <w:spacing w:val="1"/>
          <w:sz w:val="26"/>
          <w:szCs w:val="26"/>
          <w:rtl/>
          <w:lang w:eastAsia="ja-JP"/>
        </w:rPr>
      </w:pPr>
      <w:r w:rsidRPr="00F90E80">
        <w:rPr>
          <w:rFonts w:eastAsia="MS Mincho"/>
          <w:color w:val="000000"/>
          <w:spacing w:val="1"/>
          <w:sz w:val="26"/>
          <w:szCs w:val="26"/>
          <w:rtl/>
          <w:lang w:eastAsia="ja-JP"/>
        </w:rPr>
        <w:t xml:space="preserve">אכן, הטענה לאפקט מצנן נדחתה בפסיקה פעמים רבות, לנוכח עוצמתו של האינטרס שבגילוי האמת בהליך משפטי מסוים בין שני צדדים (עניין התנועה למען איכות השלטון, פסקה 22; לסקירת פסיקה בנושא ראו עמית חסיונות ואינטרסים, עמ' 1120-1115; לסקירת פסיקה שבה הובעה גישה שונה ראו שם </w:t>
      </w:r>
      <w:r w:rsidRPr="00F90E80">
        <w:rPr>
          <w:rFonts w:eastAsia="MS Mincho"/>
          <w:color w:val="000000"/>
          <w:spacing w:val="1"/>
          <w:sz w:val="26"/>
          <w:szCs w:val="26"/>
          <w:rtl/>
          <w:lang w:eastAsia="ja-JP"/>
        </w:rPr>
        <w:lastRenderedPageBreak/>
        <w:t>בעמ' 1123-1121). עם זאת, "</w:t>
      </w:r>
      <w:r w:rsidRPr="00F90E80">
        <w:rPr>
          <w:rFonts w:eastAsia="MS Mincho"/>
          <w:b/>
          <w:bCs/>
          <w:color w:val="000000"/>
          <w:spacing w:val="1"/>
          <w:sz w:val="26"/>
          <w:szCs w:val="26"/>
          <w:rtl/>
          <w:lang w:eastAsia="ja-JP"/>
        </w:rPr>
        <w:t>ענייננו-שלנו בהוראת סודיות הקבועה בדין, הוראה שבבסיסה ובתכליתה גם חשש לאפקט מצנן, ואשר כנגדה לא עומד האינטרס העוצמתי של גילוי האמת בהליך משפטי</w:t>
      </w:r>
      <w:r w:rsidRPr="00F90E80">
        <w:rPr>
          <w:rFonts w:eastAsia="MS Mincho"/>
          <w:color w:val="000000"/>
          <w:spacing w:val="1"/>
          <w:sz w:val="26"/>
          <w:szCs w:val="26"/>
          <w:lang w:eastAsia="ja-JP"/>
        </w:rPr>
        <w:t>".</w:t>
      </w:r>
      <w:r w:rsidRPr="00F90E80">
        <w:rPr>
          <w:rFonts w:eastAsia="MS Mincho"/>
          <w:color w:val="000000"/>
          <w:spacing w:val="1"/>
          <w:sz w:val="26"/>
          <w:szCs w:val="26"/>
          <w:rtl/>
          <w:lang w:eastAsia="ja-JP"/>
        </w:rPr>
        <w:t xml:space="preserve"> (עניין התנועה למען איכות השלטון, פסקה 22).... במקרה דנן, המשקל שיש ליתן לאפקט המצנן גדול יותר, באשר האיסור לפרסום התמלילים מעוגן בדין, בתקנון הממשלה</w:t>
      </w:r>
      <w:r w:rsidRPr="00F90E80">
        <w:rPr>
          <w:rFonts w:eastAsia="MS Mincho"/>
          <w:color w:val="000000"/>
          <w:spacing w:val="1"/>
          <w:sz w:val="26"/>
          <w:szCs w:val="26"/>
          <w:lang w:eastAsia="ja-JP"/>
        </w:rPr>
        <w:t>.</w:t>
      </w:r>
    </w:p>
    <w:p w14:paraId="1372DA8F" w14:textId="77777777" w:rsidR="00F90E80" w:rsidRPr="00F90E80" w:rsidRDefault="00F90E80" w:rsidP="00F90E80">
      <w:pPr>
        <w:autoSpaceDE w:val="0"/>
        <w:autoSpaceDN w:val="0"/>
        <w:adjustRightInd w:val="0"/>
        <w:spacing w:before="240" w:after="240" w:line="240" w:lineRule="auto"/>
        <w:ind w:left="1134" w:right="1134"/>
        <w:contextualSpacing w:val="0"/>
        <w:textAlignment w:val="center"/>
        <w:rPr>
          <w:rFonts w:eastAsia="MS Mincho"/>
          <w:color w:val="000000"/>
          <w:spacing w:val="1"/>
          <w:sz w:val="26"/>
          <w:szCs w:val="26"/>
          <w:rtl/>
          <w:lang w:eastAsia="ja-JP"/>
        </w:rPr>
      </w:pPr>
      <w:r w:rsidRPr="00F90E80">
        <w:rPr>
          <w:rFonts w:eastAsia="MS Mincho"/>
          <w:color w:val="000000"/>
          <w:spacing w:val="1"/>
          <w:sz w:val="26"/>
          <w:szCs w:val="26"/>
          <w:rtl/>
          <w:lang w:eastAsia="ja-JP"/>
        </w:rPr>
        <w:t>... תכליתן של הוראות התקנון לגבי תמלילי ישיבות הממשלה היא לאפשר למשתתפים בישיבות שיח פתוח וענייני, נטול השפעות ולחצים, אשר נדרש לצורך תפקודה וניהולה התקין של הממשלה".</w:t>
      </w:r>
    </w:p>
    <w:p w14:paraId="38374B42" w14:textId="77777777" w:rsidR="00F90E80" w:rsidRPr="00F90E80" w:rsidRDefault="00F90E80" w:rsidP="00F90E80">
      <w:pPr>
        <w:autoSpaceDE w:val="0"/>
        <w:autoSpaceDN w:val="0"/>
        <w:adjustRightInd w:val="0"/>
        <w:spacing w:before="240" w:after="240" w:line="240" w:lineRule="auto"/>
        <w:ind w:left="425"/>
        <w:contextualSpacing w:val="0"/>
        <w:textAlignment w:val="center"/>
        <w:rPr>
          <w:rFonts w:eastAsia="MS Mincho"/>
          <w:color w:val="000000"/>
          <w:spacing w:val="1"/>
          <w:sz w:val="26"/>
          <w:szCs w:val="26"/>
          <w:lang w:eastAsia="ja-JP"/>
        </w:rPr>
      </w:pPr>
      <w:r w:rsidRPr="00F90E80">
        <w:rPr>
          <w:rFonts w:eastAsia="MS Mincho" w:hint="cs"/>
          <w:color w:val="000000"/>
          <w:spacing w:val="1"/>
          <w:sz w:val="26"/>
          <w:szCs w:val="26"/>
          <w:rtl/>
          <w:lang w:eastAsia="ja-JP"/>
        </w:rPr>
        <w:t xml:space="preserve">בנוסף, </w:t>
      </w:r>
      <w:r w:rsidRPr="00F90E80">
        <w:rPr>
          <w:rFonts w:eastAsia="MS Mincho"/>
          <w:color w:val="000000"/>
          <w:spacing w:val="1"/>
          <w:sz w:val="26"/>
          <w:szCs w:val="26"/>
          <w:rtl/>
          <w:lang w:eastAsia="ja-JP"/>
        </w:rPr>
        <w:t>כפי שצוין בע"מ 445 לדו"ח הסופי של "ועדת וינוגרד":</w:t>
      </w:r>
    </w:p>
    <w:p w14:paraId="3C4EFC5E" w14:textId="77777777" w:rsidR="00F90E80" w:rsidRPr="00F90E80" w:rsidRDefault="00F90E80" w:rsidP="00F90E80">
      <w:pPr>
        <w:autoSpaceDE w:val="0"/>
        <w:autoSpaceDN w:val="0"/>
        <w:adjustRightInd w:val="0"/>
        <w:spacing w:before="240" w:after="240" w:line="240" w:lineRule="auto"/>
        <w:ind w:left="1134" w:right="1134"/>
        <w:contextualSpacing w:val="0"/>
        <w:textAlignment w:val="center"/>
        <w:rPr>
          <w:rFonts w:eastAsia="MS Mincho"/>
          <w:color w:val="000000"/>
          <w:spacing w:val="1"/>
          <w:sz w:val="26"/>
          <w:szCs w:val="26"/>
          <w:rtl/>
          <w:lang w:eastAsia="ja-JP"/>
        </w:rPr>
      </w:pPr>
      <w:r w:rsidRPr="00F90E80">
        <w:rPr>
          <w:rFonts w:eastAsia="MS Mincho"/>
          <w:color w:val="000000"/>
          <w:spacing w:val="1"/>
          <w:sz w:val="26"/>
          <w:szCs w:val="26"/>
          <w:rtl/>
          <w:lang w:eastAsia="ja-JP"/>
        </w:rPr>
        <w:t xml:space="preserve">"נזכיר כי סכנת ההדלפות אינה מתמצית בנזקים שנגרמים בכך שמידע סודי מגיע לידי האויב. תופעת ההדלפות מצמצמת במידה גדולה את היכולת לקיים דיון גלוי ואמין בפורומים חשובים, ויכול להיות שבכך היא תורמת לחולשות חמורות בתהליכי קבלת ההחלטות בישראל. הדלפות מסכנות את היכולת של ישראל לקיים שיתוף פעולה פורה עם גורמים מדיניים וארגוני מודיעין אחרים, העלולים לחשוש מתוצאות מכת ההדלפות בישראל. הן עלולות לסכל את היכולת של ישראל לגייס מקורות, והן משדרות רושם של חוסר אחריות וחוסר מקצועיות ברמות הגבוהות ביותר של הדרג המדיני והצבאי בישראל. </w:t>
      </w:r>
      <w:r w:rsidRPr="00F90E80">
        <w:rPr>
          <w:rFonts w:eastAsia="MS Mincho"/>
          <w:b/>
          <w:bCs/>
          <w:color w:val="000000"/>
          <w:spacing w:val="1"/>
          <w:sz w:val="26"/>
          <w:szCs w:val="26"/>
          <w:rtl/>
          <w:lang w:eastAsia="ja-JP"/>
        </w:rPr>
        <w:t>לדעתנו, מכת ההדלפות תרמה משמעותית במלחמה האחרונה גם לתחושת השבר של הציבור בישראל ושל הלוחמים כלפי ההנהגה המדינית והצבאית</w:t>
      </w:r>
      <w:r w:rsidRPr="00F90E80">
        <w:rPr>
          <w:rFonts w:eastAsia="MS Mincho"/>
          <w:color w:val="000000"/>
          <w:spacing w:val="1"/>
          <w:sz w:val="26"/>
          <w:szCs w:val="26"/>
          <w:rtl/>
          <w:lang w:eastAsia="ja-JP"/>
        </w:rPr>
        <w:t>".</w:t>
      </w:r>
    </w:p>
    <w:p w14:paraId="3D347060" w14:textId="77777777" w:rsidR="00F90E80" w:rsidRPr="00F90E80" w:rsidRDefault="00F90E80" w:rsidP="00F90E80">
      <w:pPr>
        <w:autoSpaceDE w:val="0"/>
        <w:autoSpaceDN w:val="0"/>
        <w:adjustRightInd w:val="0"/>
        <w:spacing w:before="240" w:after="240" w:line="240" w:lineRule="auto"/>
        <w:ind w:left="425"/>
        <w:contextualSpacing w:val="0"/>
        <w:textAlignment w:val="center"/>
        <w:rPr>
          <w:rFonts w:eastAsia="MS Mincho"/>
          <w:color w:val="000000"/>
          <w:spacing w:val="1"/>
          <w:sz w:val="26"/>
          <w:szCs w:val="26"/>
          <w:lang w:eastAsia="ja-JP"/>
        </w:rPr>
      </w:pPr>
      <w:r w:rsidRPr="00F90E80">
        <w:rPr>
          <w:rFonts w:eastAsia="MS Mincho"/>
          <w:color w:val="000000"/>
          <w:spacing w:val="1"/>
          <w:sz w:val="26"/>
          <w:szCs w:val="26"/>
          <w:rtl/>
          <w:lang w:eastAsia="ja-JP"/>
        </w:rPr>
        <w:t xml:space="preserve">לסיכום חלק זה, המל"ל </w:t>
      </w:r>
      <w:r>
        <w:rPr>
          <w:rFonts w:eastAsia="MS Mincho"/>
          <w:color w:val="000000"/>
          <w:spacing w:val="1"/>
          <w:sz w:val="26"/>
          <w:szCs w:val="26"/>
          <w:rtl/>
          <w:lang w:eastAsia="ja-JP"/>
        </w:rPr>
        <w:t>סבו</w:t>
      </w:r>
      <w:r>
        <w:rPr>
          <w:rFonts w:eastAsia="MS Mincho" w:hint="cs"/>
          <w:color w:val="000000"/>
          <w:spacing w:val="1"/>
          <w:sz w:val="26"/>
          <w:szCs w:val="26"/>
          <w:rtl/>
          <w:lang w:eastAsia="ja-JP"/>
        </w:rPr>
        <w:t>ר</w:t>
      </w:r>
      <w:r w:rsidRPr="00F90E80">
        <w:rPr>
          <w:rFonts w:eastAsia="MS Mincho"/>
          <w:color w:val="000000"/>
          <w:spacing w:val="1"/>
          <w:sz w:val="26"/>
          <w:szCs w:val="26"/>
          <w:rtl/>
          <w:lang w:eastAsia="ja-JP"/>
        </w:rPr>
        <w:t xml:space="preserve"> שהדלפות מדיוני הקבינט המדיני-ביטחוני פוגעים משמעותית בביטחון המדינה וביחסי החוץ שלה וכן בתהליך קבלת ההחלטות בקבינט המדיני-ביטחוני בשל "האפקט המצנן".  </w:t>
      </w:r>
    </w:p>
    <w:p w14:paraId="1FC7DEA1" w14:textId="77777777" w:rsidR="00F90E80" w:rsidRPr="00F90E80" w:rsidRDefault="00F90E80" w:rsidP="00F90E80">
      <w:pPr>
        <w:widowControl/>
        <w:numPr>
          <w:ilvl w:val="0"/>
          <w:numId w:val="26"/>
        </w:numPr>
        <w:autoSpaceDE w:val="0"/>
        <w:autoSpaceDN w:val="0"/>
        <w:adjustRightInd w:val="0"/>
        <w:spacing w:before="240" w:after="240" w:line="240" w:lineRule="auto"/>
        <w:ind w:left="927" w:right="567"/>
        <w:contextualSpacing w:val="0"/>
        <w:jc w:val="left"/>
        <w:textAlignment w:val="center"/>
        <w:rPr>
          <w:rFonts w:eastAsia="Times New Roman"/>
          <w:sz w:val="26"/>
          <w:szCs w:val="26"/>
          <w:u w:val="single"/>
        </w:rPr>
      </w:pPr>
      <w:r w:rsidRPr="00F90E80">
        <w:rPr>
          <w:rFonts w:eastAsia="Times New Roman"/>
          <w:sz w:val="26"/>
          <w:szCs w:val="26"/>
          <w:u w:val="single"/>
          <w:rtl/>
        </w:rPr>
        <w:t>הכלים הקיימים כיום להתמודדות עם תופעת ההדלפות</w:t>
      </w:r>
    </w:p>
    <w:p w14:paraId="51B49277" w14:textId="77777777" w:rsidR="00F90E80" w:rsidRPr="00F90E80" w:rsidRDefault="00F90E80" w:rsidP="00F90E80">
      <w:pPr>
        <w:autoSpaceDE w:val="0"/>
        <w:autoSpaceDN w:val="0"/>
        <w:adjustRightInd w:val="0"/>
        <w:spacing w:before="240" w:after="240" w:line="240" w:lineRule="auto"/>
        <w:ind w:left="425"/>
        <w:contextualSpacing w:val="0"/>
        <w:textAlignment w:val="center"/>
        <w:rPr>
          <w:rFonts w:eastAsia="MS Mincho"/>
          <w:color w:val="000000"/>
          <w:spacing w:val="1"/>
          <w:sz w:val="26"/>
          <w:szCs w:val="26"/>
          <w:lang w:eastAsia="ja-JP"/>
        </w:rPr>
      </w:pPr>
      <w:r w:rsidRPr="00F90E80">
        <w:rPr>
          <w:rFonts w:eastAsia="MS Mincho"/>
          <w:color w:val="000000"/>
          <w:spacing w:val="1"/>
          <w:sz w:val="26"/>
          <w:szCs w:val="26"/>
          <w:rtl/>
          <w:lang w:eastAsia="ja-JP"/>
        </w:rPr>
        <w:t xml:space="preserve">לאחר שפורט לעיל הצורך במניעת תופעת ההדלפות, להלן יפורטו הכלים המרכזיים האפשריים הקיימים להתמודד עם תופעת ההדלפות מדיוני הקבינט, שכאמור בשלב זה, לא נותנים מענה אפקטיבי: </w:t>
      </w:r>
    </w:p>
    <w:p w14:paraId="1763C01E" w14:textId="77777777" w:rsidR="00F90E80" w:rsidRPr="00F90E80" w:rsidRDefault="00F90E80" w:rsidP="00F90E80">
      <w:pPr>
        <w:autoSpaceDE w:val="0"/>
        <w:autoSpaceDN w:val="0"/>
        <w:adjustRightInd w:val="0"/>
        <w:spacing w:before="240" w:after="240" w:line="240" w:lineRule="auto"/>
        <w:ind w:left="425"/>
        <w:contextualSpacing w:val="0"/>
        <w:textAlignment w:val="center"/>
        <w:rPr>
          <w:rFonts w:eastAsia="MS Mincho"/>
          <w:b/>
          <w:bCs/>
          <w:color w:val="000000"/>
          <w:spacing w:val="1"/>
          <w:sz w:val="26"/>
          <w:szCs w:val="26"/>
          <w:lang w:eastAsia="ja-JP"/>
        </w:rPr>
      </w:pPr>
      <w:r w:rsidRPr="00F90E80">
        <w:rPr>
          <w:rFonts w:eastAsia="MS Mincho"/>
          <w:b/>
          <w:bCs/>
          <w:color w:val="000000"/>
          <w:spacing w:val="1"/>
          <w:sz w:val="26"/>
          <w:szCs w:val="26"/>
          <w:rtl/>
          <w:lang w:eastAsia="ja-JP"/>
        </w:rPr>
        <w:t xml:space="preserve">ביצוע חקירה פלילית לאחר אירוע </w:t>
      </w:r>
      <w:r w:rsidRPr="00F90E80">
        <w:rPr>
          <w:rFonts w:eastAsia="MS Mincho" w:hint="cs"/>
          <w:b/>
          <w:bCs/>
          <w:color w:val="000000"/>
          <w:spacing w:val="1"/>
          <w:sz w:val="26"/>
          <w:szCs w:val="26"/>
          <w:rtl/>
          <w:lang w:eastAsia="ja-JP"/>
        </w:rPr>
        <w:t>של מסירת מידע האסור בגילוי</w:t>
      </w:r>
      <w:r w:rsidRPr="00F90E80">
        <w:rPr>
          <w:rFonts w:eastAsia="MS Mincho"/>
          <w:b/>
          <w:bCs/>
          <w:color w:val="000000"/>
          <w:spacing w:val="1"/>
          <w:sz w:val="26"/>
          <w:szCs w:val="26"/>
          <w:rtl/>
          <w:lang w:eastAsia="ja-JP"/>
        </w:rPr>
        <w:t xml:space="preserve"> (אשר יכול לכלול גם בדיקת פוליגרף) – </w:t>
      </w:r>
    </w:p>
    <w:p w14:paraId="68CDED0D" w14:textId="77777777" w:rsidR="00F90E80" w:rsidRPr="00F90E80" w:rsidRDefault="00F90E80" w:rsidP="00F90E80">
      <w:pPr>
        <w:autoSpaceDE w:val="0"/>
        <w:autoSpaceDN w:val="0"/>
        <w:adjustRightInd w:val="0"/>
        <w:spacing w:before="240" w:after="240" w:line="240" w:lineRule="auto"/>
        <w:ind w:left="425"/>
        <w:contextualSpacing w:val="0"/>
        <w:textAlignment w:val="center"/>
        <w:rPr>
          <w:rFonts w:eastAsia="MS Mincho"/>
          <w:color w:val="000000"/>
          <w:spacing w:val="1"/>
          <w:sz w:val="26"/>
          <w:szCs w:val="26"/>
          <w:rtl/>
          <w:lang w:eastAsia="ja-JP"/>
        </w:rPr>
      </w:pPr>
      <w:r w:rsidRPr="00F90E80">
        <w:rPr>
          <w:rFonts w:eastAsia="MS Mincho"/>
          <w:color w:val="000000"/>
          <w:spacing w:val="1"/>
          <w:sz w:val="26"/>
          <w:szCs w:val="26"/>
          <w:rtl/>
          <w:lang w:eastAsia="ja-JP"/>
        </w:rPr>
        <w:t>לפי המלצות ועדת עמיד</w:t>
      </w:r>
      <w:r w:rsidRPr="00F90E80">
        <w:rPr>
          <w:rFonts w:eastAsia="MS Mincho" w:hint="cs"/>
          <w:color w:val="000000"/>
          <w:spacing w:val="1"/>
          <w:sz w:val="26"/>
          <w:szCs w:val="26"/>
          <w:rtl/>
          <w:lang w:eastAsia="ja-JP"/>
        </w:rPr>
        <w:t>רור</w:t>
      </w:r>
      <w:r w:rsidRPr="00F90E80">
        <w:rPr>
          <w:rFonts w:eastAsia="MS Mincho"/>
          <w:color w:val="000000"/>
          <w:spacing w:val="1"/>
          <w:sz w:val="26"/>
          <w:szCs w:val="26"/>
          <w:rtl/>
          <w:lang w:eastAsia="ja-JP"/>
        </w:rPr>
        <w:t xml:space="preserve"> יש להשאיר לרה"מ את האפשרות לפנות בבקשה ליועמ"ש לממשלה לפתוח בחקירה בגין הדלפה מישיבת הקבינט. </w:t>
      </w:r>
    </w:p>
    <w:p w14:paraId="3F0C07BB" w14:textId="77777777" w:rsidR="00F90E80" w:rsidRPr="00F90E80" w:rsidRDefault="00F90E80" w:rsidP="00F90E80">
      <w:pPr>
        <w:autoSpaceDE w:val="0"/>
        <w:autoSpaceDN w:val="0"/>
        <w:adjustRightInd w:val="0"/>
        <w:spacing w:before="240" w:after="240" w:line="240" w:lineRule="auto"/>
        <w:ind w:left="425"/>
        <w:contextualSpacing w:val="0"/>
        <w:textAlignment w:val="center"/>
        <w:rPr>
          <w:rFonts w:eastAsia="MS Mincho"/>
          <w:color w:val="000000"/>
          <w:spacing w:val="1"/>
          <w:sz w:val="26"/>
          <w:szCs w:val="26"/>
          <w:lang w:eastAsia="ja-JP"/>
        </w:rPr>
      </w:pPr>
      <w:r w:rsidRPr="00F90E80">
        <w:rPr>
          <w:rFonts w:eastAsia="MS Mincho"/>
          <w:color w:val="000000"/>
          <w:spacing w:val="1"/>
          <w:sz w:val="26"/>
          <w:szCs w:val="26"/>
          <w:rtl/>
          <w:lang w:eastAsia="ja-JP"/>
        </w:rPr>
        <w:t xml:space="preserve">פתיחה בחקירה בגין הדלפה מוסדרת בהנחיית היועץ המשפטי לממשלה מס' 4.1114 בעניין "קווים מנחים למדיניות אכיפה בעבירות הנוגעות למסירת מידע האסור בגלוי". </w:t>
      </w:r>
    </w:p>
    <w:p w14:paraId="4B915C03" w14:textId="77777777" w:rsidR="00F90E80" w:rsidRPr="00F90E80" w:rsidRDefault="00F90E80" w:rsidP="00F90E80">
      <w:pPr>
        <w:autoSpaceDE w:val="0"/>
        <w:autoSpaceDN w:val="0"/>
        <w:adjustRightInd w:val="0"/>
        <w:spacing w:before="240" w:after="240" w:line="240" w:lineRule="auto"/>
        <w:ind w:left="425"/>
        <w:contextualSpacing w:val="0"/>
        <w:textAlignment w:val="center"/>
        <w:rPr>
          <w:rFonts w:eastAsia="MS Mincho"/>
          <w:color w:val="000000"/>
          <w:spacing w:val="1"/>
          <w:sz w:val="26"/>
          <w:szCs w:val="26"/>
          <w:lang w:eastAsia="ja-JP"/>
        </w:rPr>
      </w:pPr>
      <w:r w:rsidRPr="00F90E80">
        <w:rPr>
          <w:rFonts w:eastAsia="MS Mincho"/>
          <w:color w:val="000000"/>
          <w:spacing w:val="1"/>
          <w:sz w:val="26"/>
          <w:szCs w:val="26"/>
          <w:rtl/>
          <w:lang w:eastAsia="ja-JP"/>
        </w:rPr>
        <w:t>לפי הנחיית היועמ"ש לממשלה מס' 4.1114, ההחלטה בשאלה האם לפתוח בהליך פלילי בגין מסירת מידע האסור בגילוי תושפע משלושה שיקולים מרכזיים: האחד, הפגיעה או פוטנציאל הפגיעה באינטרסים חיוניים הנובעת מעצם טיבו של המידע; השני, תוחלת החקירה ומורכבותה (במקרים בהם לא ברורה זהות מוסר המידע); השלישי, במקרים הרלבנטי</w:t>
      </w:r>
      <w:r w:rsidRPr="00F90E80">
        <w:rPr>
          <w:rFonts w:eastAsia="MS Mincho" w:hint="cs"/>
          <w:color w:val="000000"/>
          <w:spacing w:val="1"/>
          <w:sz w:val="26"/>
          <w:szCs w:val="26"/>
          <w:rtl/>
          <w:lang w:eastAsia="ja-JP"/>
        </w:rPr>
        <w:t>י</w:t>
      </w:r>
      <w:r w:rsidRPr="00F90E80">
        <w:rPr>
          <w:rFonts w:eastAsia="MS Mincho"/>
          <w:color w:val="000000"/>
          <w:spacing w:val="1"/>
          <w:sz w:val="26"/>
          <w:szCs w:val="26"/>
          <w:rtl/>
          <w:lang w:eastAsia="ja-JP"/>
        </w:rPr>
        <w:t xml:space="preserve">ם לכך - חופש העיתונות וזכות הציבור לדעת. </w:t>
      </w:r>
    </w:p>
    <w:p w14:paraId="2283B915" w14:textId="77777777" w:rsidR="00F90E80" w:rsidRPr="00F90E80" w:rsidRDefault="00F90E80" w:rsidP="00F90E80">
      <w:pPr>
        <w:autoSpaceDE w:val="0"/>
        <w:autoSpaceDN w:val="0"/>
        <w:adjustRightInd w:val="0"/>
        <w:spacing w:before="240" w:after="240" w:line="240" w:lineRule="auto"/>
        <w:ind w:left="425"/>
        <w:contextualSpacing w:val="0"/>
        <w:textAlignment w:val="center"/>
        <w:rPr>
          <w:rFonts w:eastAsia="MS Mincho"/>
          <w:color w:val="000000"/>
          <w:spacing w:val="1"/>
          <w:sz w:val="26"/>
          <w:szCs w:val="26"/>
          <w:lang w:eastAsia="ja-JP"/>
        </w:rPr>
      </w:pPr>
      <w:r w:rsidRPr="00F90E80">
        <w:rPr>
          <w:rFonts w:eastAsia="MS Mincho"/>
          <w:color w:val="000000"/>
          <w:spacing w:val="1"/>
          <w:sz w:val="26"/>
          <w:szCs w:val="26"/>
          <w:rtl/>
          <w:lang w:eastAsia="ja-JP"/>
        </w:rPr>
        <w:t>במקרי עבר של הדלפות, משרד המשפטים פנה לגורמי הביטחון לקבל את עמדתם ביחס לפגיעה או פוטנציאל הפגיעה באינטרסים חיוניים כתוצאה מהדלפה.</w:t>
      </w:r>
    </w:p>
    <w:p w14:paraId="326013E0" w14:textId="77777777" w:rsidR="00F90E80" w:rsidRPr="00F90E80" w:rsidRDefault="00F90E80" w:rsidP="00F90E80">
      <w:pPr>
        <w:autoSpaceDE w:val="0"/>
        <w:autoSpaceDN w:val="0"/>
        <w:adjustRightInd w:val="0"/>
        <w:spacing w:before="240" w:after="240" w:line="240" w:lineRule="auto"/>
        <w:ind w:left="425"/>
        <w:contextualSpacing w:val="0"/>
        <w:textAlignment w:val="center"/>
        <w:rPr>
          <w:rFonts w:eastAsia="MS Mincho"/>
          <w:color w:val="000000"/>
          <w:spacing w:val="1"/>
          <w:sz w:val="26"/>
          <w:szCs w:val="26"/>
          <w:rtl/>
          <w:lang w:eastAsia="ja-JP"/>
        </w:rPr>
      </w:pPr>
      <w:r w:rsidRPr="00F90E80">
        <w:rPr>
          <w:rFonts w:eastAsia="MS Mincho"/>
          <w:color w:val="000000"/>
          <w:spacing w:val="1"/>
          <w:sz w:val="26"/>
          <w:szCs w:val="26"/>
          <w:rtl/>
          <w:lang w:eastAsia="ja-JP"/>
        </w:rPr>
        <w:t>לנוכח הצורך להוכיח רף פגיעה גבוה (הוכחת פגיעה או פוטנציאל פגיעה באינטרסים חיוניים), בשים לב לבחינת כלל השיקולים (תוחלת החקירה ומורכבותה, חופש העיתונות וזכות הציבור לדעת), לא נפתחה עד כה חקירה בשל הדלפה מדיון בקבינט המדיני-ביטחוני בשנים האחרונות.</w:t>
      </w:r>
    </w:p>
    <w:p w14:paraId="2AE74986" w14:textId="77777777" w:rsidR="00F90E80" w:rsidRPr="00F90E80" w:rsidRDefault="00F90E80" w:rsidP="00F90E80">
      <w:pPr>
        <w:autoSpaceDE w:val="0"/>
        <w:autoSpaceDN w:val="0"/>
        <w:adjustRightInd w:val="0"/>
        <w:spacing w:before="240" w:after="240" w:line="240" w:lineRule="auto"/>
        <w:ind w:left="425"/>
        <w:contextualSpacing w:val="0"/>
        <w:textAlignment w:val="center"/>
        <w:rPr>
          <w:rFonts w:eastAsia="MS Mincho"/>
          <w:color w:val="000000"/>
          <w:spacing w:val="1"/>
          <w:sz w:val="26"/>
          <w:szCs w:val="26"/>
          <w:lang w:eastAsia="ja-JP"/>
        </w:rPr>
      </w:pPr>
      <w:r w:rsidRPr="00F90E80">
        <w:rPr>
          <w:rFonts w:eastAsia="MS Mincho"/>
          <w:color w:val="000000"/>
          <w:spacing w:val="1"/>
          <w:sz w:val="26"/>
          <w:szCs w:val="26"/>
          <w:rtl/>
          <w:lang w:eastAsia="ja-JP"/>
        </w:rPr>
        <w:lastRenderedPageBreak/>
        <w:t>בדו"ח הצוות לטיוב השמירה על סודות ביטחוניים</w:t>
      </w:r>
      <w:r w:rsidRPr="00F90E80">
        <w:rPr>
          <w:rFonts w:eastAsia="MS Mincho" w:hint="cs"/>
          <w:color w:val="000000"/>
          <w:spacing w:val="1"/>
          <w:sz w:val="26"/>
          <w:szCs w:val="26"/>
          <w:rtl/>
          <w:lang w:eastAsia="ja-JP"/>
        </w:rPr>
        <w:t>, בראשות המשנה ליועמ"שית לממשלה (דאז), עו"ד דינה זילבר, שהגישה את מסקנותיה ליועמ"ש לממשלה ביולי 2020,</w:t>
      </w:r>
      <w:r w:rsidRPr="00F90E80">
        <w:rPr>
          <w:rFonts w:eastAsia="MS Mincho"/>
          <w:color w:val="000000"/>
          <w:spacing w:val="1"/>
          <w:sz w:val="26"/>
          <w:szCs w:val="26"/>
          <w:rtl/>
          <w:lang w:eastAsia="ja-JP"/>
        </w:rPr>
        <w:t xml:space="preserve"> אף צוין כי: "האפיק הפלילי מוגבל יותר ביחס לנבחרי הציבור מאשר ביחס לקבוצות אחרות של מוסרי מידע, בין היתר בהינתן חסינותם הפרלמנטרית". </w:t>
      </w:r>
    </w:p>
    <w:p w14:paraId="05FC68A8" w14:textId="77777777" w:rsidR="00F90E80" w:rsidRPr="00F90E80" w:rsidRDefault="00F90E80" w:rsidP="00F90E80">
      <w:pPr>
        <w:autoSpaceDE w:val="0"/>
        <w:autoSpaceDN w:val="0"/>
        <w:adjustRightInd w:val="0"/>
        <w:spacing w:before="240" w:after="240" w:line="240" w:lineRule="auto"/>
        <w:ind w:left="0" w:right="567" w:firstLine="425"/>
        <w:contextualSpacing w:val="0"/>
        <w:textAlignment w:val="center"/>
        <w:rPr>
          <w:rFonts w:eastAsia="MS Mincho"/>
          <w:color w:val="000000"/>
          <w:spacing w:val="1"/>
          <w:sz w:val="26"/>
          <w:szCs w:val="26"/>
          <w:u w:val="single"/>
          <w:lang w:eastAsia="ja-JP"/>
        </w:rPr>
      </w:pPr>
      <w:r w:rsidRPr="00F90E80">
        <w:rPr>
          <w:rFonts w:eastAsia="MS Mincho"/>
          <w:b/>
          <w:bCs/>
          <w:color w:val="000000"/>
          <w:spacing w:val="1"/>
          <w:sz w:val="26"/>
          <w:szCs w:val="26"/>
          <w:rtl/>
          <w:lang w:eastAsia="ja-JP"/>
        </w:rPr>
        <w:t>הגברת המודעות על הנזק הביטחוני מהדלפות והחתמה על טופס לשמירת סודיות –</w:t>
      </w:r>
      <w:r w:rsidRPr="00F90E80">
        <w:rPr>
          <w:rFonts w:eastAsia="MS Mincho"/>
          <w:color w:val="000000"/>
          <w:spacing w:val="1"/>
          <w:sz w:val="26"/>
          <w:szCs w:val="26"/>
          <w:u w:val="single"/>
          <w:rtl/>
          <w:lang w:eastAsia="ja-JP"/>
        </w:rPr>
        <w:t xml:space="preserve"> </w:t>
      </w:r>
    </w:p>
    <w:p w14:paraId="3F47B9BE" w14:textId="77777777" w:rsidR="00F90E80" w:rsidRPr="00F90E80" w:rsidRDefault="00F90E80" w:rsidP="00F90E80">
      <w:pPr>
        <w:autoSpaceDE w:val="0"/>
        <w:autoSpaceDN w:val="0"/>
        <w:adjustRightInd w:val="0"/>
        <w:spacing w:before="240" w:after="240" w:line="240" w:lineRule="auto"/>
        <w:ind w:left="425"/>
        <w:contextualSpacing w:val="0"/>
        <w:textAlignment w:val="center"/>
        <w:rPr>
          <w:rFonts w:eastAsia="MS Mincho"/>
          <w:color w:val="000000"/>
          <w:spacing w:val="1"/>
          <w:sz w:val="26"/>
          <w:szCs w:val="26"/>
          <w:lang w:eastAsia="ja-JP"/>
        </w:rPr>
      </w:pPr>
      <w:r w:rsidRPr="00F90E80">
        <w:rPr>
          <w:rFonts w:eastAsia="MS Mincho"/>
          <w:color w:val="000000"/>
          <w:spacing w:val="1"/>
          <w:sz w:val="26"/>
          <w:szCs w:val="26"/>
          <w:rtl/>
          <w:lang w:eastAsia="ja-JP"/>
        </w:rPr>
        <w:t>בדו"ח ועדת עמידרור צוין כי "באחריות המל"ל ומזכירות הממשלה לפעול להגברת המודעות למניעת הדלפות בקרב חברי הקבינט וגורמי המקצוע הלוקחים בו חלק. לצורך כך, הוועדה ממליצה, כי אחת לשנה ימלאו כל חברי הקבינט טופס הצהרת סודיות, שבמסגרתו יובהר, כי הדלפה מהקבינט היא עבירה פלילית. ובתחילת כל דיון סודי יובהר, כי מדובר בדיון מסווג, שהדלפה ממנו אסורה".</w:t>
      </w:r>
    </w:p>
    <w:p w14:paraId="3DAD7727" w14:textId="77777777" w:rsidR="00F90E80" w:rsidRPr="00F90E80" w:rsidRDefault="00F90E80" w:rsidP="00F90E80">
      <w:pPr>
        <w:autoSpaceDE w:val="0"/>
        <w:autoSpaceDN w:val="0"/>
        <w:adjustRightInd w:val="0"/>
        <w:spacing w:before="240" w:after="240" w:line="240" w:lineRule="auto"/>
        <w:ind w:left="425"/>
        <w:contextualSpacing w:val="0"/>
        <w:textAlignment w:val="center"/>
        <w:rPr>
          <w:rFonts w:eastAsia="MS Mincho"/>
          <w:color w:val="000000"/>
          <w:spacing w:val="1"/>
          <w:sz w:val="26"/>
          <w:szCs w:val="26"/>
          <w:lang w:eastAsia="ja-JP"/>
        </w:rPr>
      </w:pPr>
      <w:r w:rsidRPr="00F90E80">
        <w:rPr>
          <w:rFonts w:eastAsia="MS Mincho"/>
          <w:color w:val="000000"/>
          <w:spacing w:val="1"/>
          <w:sz w:val="26"/>
          <w:szCs w:val="26"/>
          <w:rtl/>
          <w:lang w:eastAsia="ja-JP"/>
        </w:rPr>
        <w:t>בדו"ח הסופי של ועדת וינוגרד (ע"מ 480), הוצע כי: "יש להדגיש, בראשיתה של כל ישיבה, אם בצה"ל ואם בדרג המדיני, שבה עומד להימסר מידע סודי, שהמידע אשר יימסר הוא חומר סודי, שחל איסור על מסירתו למי שאינו מורשה לכך".</w:t>
      </w:r>
    </w:p>
    <w:p w14:paraId="42C0F7CC" w14:textId="77777777" w:rsidR="00F90E80" w:rsidRPr="00F90E80" w:rsidRDefault="00F90E80" w:rsidP="00F90E80">
      <w:pPr>
        <w:autoSpaceDE w:val="0"/>
        <w:autoSpaceDN w:val="0"/>
        <w:adjustRightInd w:val="0"/>
        <w:spacing w:before="240" w:after="240" w:line="240" w:lineRule="auto"/>
        <w:ind w:left="425"/>
        <w:contextualSpacing w:val="0"/>
        <w:textAlignment w:val="center"/>
        <w:rPr>
          <w:rFonts w:eastAsia="MS Mincho"/>
          <w:color w:val="000000"/>
          <w:spacing w:val="1"/>
          <w:sz w:val="26"/>
          <w:szCs w:val="26"/>
          <w:lang w:eastAsia="ja-JP"/>
        </w:rPr>
      </w:pPr>
      <w:r w:rsidRPr="00F90E80">
        <w:rPr>
          <w:rFonts w:eastAsia="MS Mincho"/>
          <w:color w:val="000000"/>
          <w:spacing w:val="1"/>
          <w:sz w:val="26"/>
          <w:szCs w:val="26"/>
          <w:rtl/>
          <w:lang w:eastAsia="ja-JP"/>
        </w:rPr>
        <w:t>בהמלצות דו"ח הצוות לטיוב השמירה על סודות ביטחוניים, גובשו המלצות ביחס לנבחרי ציבור, שעסקו בעיקר בצורך בהגברת המודעות וההכשרה בנושא: יצירת והטמ</w:t>
      </w:r>
      <w:r w:rsidRPr="00F90E80">
        <w:rPr>
          <w:rFonts w:eastAsia="MS Mincho" w:hint="cs"/>
          <w:color w:val="000000"/>
          <w:spacing w:val="1"/>
          <w:sz w:val="26"/>
          <w:szCs w:val="26"/>
          <w:rtl/>
          <w:lang w:eastAsia="ja-JP"/>
        </w:rPr>
        <w:t>ע</w:t>
      </w:r>
      <w:r w:rsidRPr="00F90E80">
        <w:rPr>
          <w:rFonts w:eastAsia="MS Mincho"/>
          <w:color w:val="000000"/>
          <w:spacing w:val="1"/>
          <w:sz w:val="26"/>
          <w:szCs w:val="26"/>
          <w:rtl/>
          <w:lang w:eastAsia="ja-JP"/>
        </w:rPr>
        <w:t xml:space="preserve">ת תהליך הכשרה מחייב בתחום חומרים סודיים ותכנים מסווגים לנבחרי ציבור שתפקידם מחייב היחשפות למידע מסוג זה, בתחילת כהונתם; ככל שיתקדם המהלך לקביעת כללי אתיקה לחברי הממשלה, מוצע לעגן במסגרתם גם את החובה לשמירה על סודיות המידע המגיע לידיעתם אגב תפקידם; בנוגע לחברי כנסת שאינם חברי ממשלה – מוצע לבחון מול יושב ראש הכנסת ומול היועץ המשפטי של הכנסת את הצורך בהעמקת ההכשרה בנושא חשיפה למידע מסווג והשמירה עליו עבור החברים בוועדת החוץ והביטחון של הכנסת, וכן להמליץ לכנסת לקדם, במסגרת כללי האתיקה של חברי הכנסת, את החובה לשמור על סודיות של מידע מסווג שמובא לידיעתם. </w:t>
      </w:r>
    </w:p>
    <w:p w14:paraId="7FEF24C6" w14:textId="77777777" w:rsidR="00F90E80" w:rsidRPr="00F90E80" w:rsidRDefault="00F90E80" w:rsidP="00F90E80">
      <w:pPr>
        <w:autoSpaceDE w:val="0"/>
        <w:autoSpaceDN w:val="0"/>
        <w:adjustRightInd w:val="0"/>
        <w:spacing w:before="240" w:after="240" w:line="240" w:lineRule="auto"/>
        <w:ind w:left="425"/>
        <w:contextualSpacing w:val="0"/>
        <w:textAlignment w:val="center"/>
        <w:rPr>
          <w:rFonts w:eastAsia="MS Mincho"/>
          <w:color w:val="000000"/>
          <w:spacing w:val="1"/>
          <w:sz w:val="26"/>
          <w:szCs w:val="26"/>
          <w:rtl/>
          <w:lang w:eastAsia="ja-JP"/>
        </w:rPr>
      </w:pPr>
      <w:r w:rsidRPr="00F90E80">
        <w:rPr>
          <w:rFonts w:eastAsia="MS Mincho" w:hint="cs"/>
          <w:color w:val="000000"/>
          <w:spacing w:val="1"/>
          <w:sz w:val="26"/>
          <w:szCs w:val="26"/>
          <w:rtl/>
          <w:lang w:eastAsia="ja-JP"/>
        </w:rPr>
        <w:t xml:space="preserve">מגורמי המקצוע של המל"ל נמסר כי השרים עוברים תדרוך בכניסתם לתפקיד לעניין שמירה וטיפול בחומרים סודיים; כמו כן, קב"ט כל משרד אחראי על יצירת מנגנונים, פיקוח ובקרה על חומרים סודיים שמקבל השר, תחת הנחיית הגורמים המוסמכים. </w:t>
      </w:r>
    </w:p>
    <w:p w14:paraId="1462ADB4" w14:textId="77777777" w:rsidR="00F90E80" w:rsidRPr="00F90E80" w:rsidRDefault="00F90E80" w:rsidP="00F90E80">
      <w:pPr>
        <w:autoSpaceDE w:val="0"/>
        <w:autoSpaceDN w:val="0"/>
        <w:adjustRightInd w:val="0"/>
        <w:spacing w:before="240" w:after="240" w:line="240" w:lineRule="auto"/>
        <w:ind w:left="425"/>
        <w:contextualSpacing w:val="0"/>
        <w:textAlignment w:val="center"/>
        <w:rPr>
          <w:rFonts w:eastAsia="MS Mincho"/>
          <w:color w:val="000000"/>
          <w:spacing w:val="1"/>
          <w:sz w:val="26"/>
          <w:szCs w:val="26"/>
          <w:lang w:eastAsia="ja-JP"/>
        </w:rPr>
      </w:pPr>
      <w:r w:rsidRPr="00F90E80">
        <w:rPr>
          <w:rFonts w:eastAsia="MS Mincho"/>
          <w:color w:val="000000"/>
          <w:spacing w:val="1"/>
          <w:sz w:val="26"/>
          <w:szCs w:val="26"/>
          <w:rtl/>
          <w:lang w:eastAsia="ja-JP"/>
        </w:rPr>
        <w:t xml:space="preserve">מהמל"ל נמסר כי מאז קבלת ההחלטה בדו"ח ועדת עמידרור, כל שרי הקבינט מוחתמים על טופס סודיות בתחילת כל קדנציה, כולל חברי הקבינט של הממשלה ה-37. בהינתן קיומם של דיונים בעלי רגישות מיוחדת או דיונים בסיווג שו"ס, מוחתמים השרים על טופס ייעודי בנושא הדיון המדובר. </w:t>
      </w:r>
    </w:p>
    <w:p w14:paraId="28AE89EA" w14:textId="77777777" w:rsidR="00F90E80" w:rsidRPr="00F90E80" w:rsidRDefault="00F90E80" w:rsidP="00F90E80">
      <w:pPr>
        <w:autoSpaceDE w:val="0"/>
        <w:autoSpaceDN w:val="0"/>
        <w:adjustRightInd w:val="0"/>
        <w:spacing w:before="240" w:after="240" w:line="240" w:lineRule="auto"/>
        <w:ind w:left="425"/>
        <w:contextualSpacing w:val="0"/>
        <w:textAlignment w:val="center"/>
        <w:rPr>
          <w:rFonts w:eastAsia="MS Mincho"/>
          <w:color w:val="000000"/>
          <w:spacing w:val="1"/>
          <w:sz w:val="26"/>
          <w:szCs w:val="26"/>
          <w:lang w:eastAsia="ja-JP"/>
        </w:rPr>
      </w:pPr>
      <w:r w:rsidRPr="00F90E80">
        <w:rPr>
          <w:rFonts w:eastAsia="MS Mincho"/>
          <w:color w:val="000000"/>
          <w:spacing w:val="1"/>
          <w:sz w:val="26"/>
          <w:szCs w:val="26"/>
          <w:rtl/>
          <w:lang w:eastAsia="ja-JP"/>
        </w:rPr>
        <w:t xml:space="preserve">לפני כשנה וחצי (פברואר 2022), גיבש המל"ל, יחד עם הייעוץ המשפטי לממשלה, טופס לשמירת סודיות עדכני, הכולל פסקה בדבר האפשרות לבדיקת פוליגרף במקרים מיוחדים ובהתקיים התנאים לכך כפי שנקבעו בהנחיית היועץ, כאשר מטרת הבדיקה כרוכה בהגנה על אינטרס ציבורי חיוני או במניעת פגיעה באינטרס כאמור, בעקבות חשיפה לא מאושרת של תוכן דיון בעתיד. </w:t>
      </w:r>
    </w:p>
    <w:p w14:paraId="4AEDA056" w14:textId="77777777" w:rsidR="00F90E80" w:rsidRPr="00F90E80" w:rsidRDefault="00F90E80" w:rsidP="00F90E80">
      <w:pPr>
        <w:autoSpaceDE w:val="0"/>
        <w:autoSpaceDN w:val="0"/>
        <w:adjustRightInd w:val="0"/>
        <w:spacing w:before="240" w:after="240" w:line="240" w:lineRule="auto"/>
        <w:ind w:left="425"/>
        <w:contextualSpacing w:val="0"/>
        <w:textAlignment w:val="center"/>
        <w:rPr>
          <w:rFonts w:eastAsia="MS Mincho"/>
          <w:color w:val="000000"/>
          <w:spacing w:val="1"/>
          <w:sz w:val="26"/>
          <w:szCs w:val="26"/>
          <w:rtl/>
          <w:lang w:eastAsia="ja-JP"/>
        </w:rPr>
      </w:pPr>
      <w:r w:rsidRPr="00F90E80">
        <w:rPr>
          <w:rFonts w:eastAsia="MS Mincho"/>
          <w:color w:val="000000"/>
          <w:spacing w:val="1"/>
          <w:sz w:val="26"/>
          <w:szCs w:val="26"/>
          <w:rtl/>
          <w:lang w:eastAsia="ja-JP"/>
        </w:rPr>
        <w:t>כמו כן, רה"מ והמל"ל שבים ומחדדים לאורך השנים באופן עתי, וביתר שאת בתקופה האחרונה במלחמה, לשרי הקבינט ולמשתתפי הדיון על האיסור לחשוף את המידע וכן על הנזק שעשוי להיגרם מכך, לרבות הסיכונים והמחירים הפוטנציאלים של מקרים אלו.</w:t>
      </w:r>
    </w:p>
    <w:p w14:paraId="192CE447" w14:textId="77777777" w:rsidR="00F90E80" w:rsidRPr="00F90E80" w:rsidRDefault="00F90E80" w:rsidP="00F90E80">
      <w:pPr>
        <w:autoSpaceDE w:val="0"/>
        <w:autoSpaceDN w:val="0"/>
        <w:adjustRightInd w:val="0"/>
        <w:spacing w:before="240" w:after="240" w:line="240" w:lineRule="auto"/>
        <w:ind w:left="425"/>
        <w:contextualSpacing w:val="0"/>
        <w:textAlignment w:val="center"/>
        <w:rPr>
          <w:rFonts w:eastAsia="MS Mincho"/>
          <w:color w:val="000000"/>
          <w:spacing w:val="1"/>
          <w:sz w:val="26"/>
          <w:szCs w:val="26"/>
          <w:lang w:eastAsia="ja-JP"/>
        </w:rPr>
      </w:pPr>
      <w:r w:rsidRPr="00F90E80">
        <w:rPr>
          <w:rFonts w:eastAsia="MS Mincho"/>
          <w:color w:val="000000"/>
          <w:spacing w:val="1"/>
          <w:sz w:val="26"/>
          <w:szCs w:val="26"/>
          <w:rtl/>
          <w:lang w:eastAsia="ja-JP"/>
        </w:rPr>
        <w:t xml:space="preserve">למרות כל האמור לעיל, ההדלפות </w:t>
      </w:r>
      <w:r w:rsidRPr="00F90E80">
        <w:rPr>
          <w:rFonts w:eastAsia="MS Mincho" w:hint="cs"/>
          <w:color w:val="000000"/>
          <w:spacing w:val="1"/>
          <w:sz w:val="26"/>
          <w:szCs w:val="26"/>
          <w:rtl/>
          <w:lang w:eastAsia="ja-JP"/>
        </w:rPr>
        <w:t>לא פסקו</w:t>
      </w:r>
      <w:r w:rsidRPr="00F90E80">
        <w:rPr>
          <w:rFonts w:eastAsia="MS Mincho"/>
          <w:color w:val="000000"/>
          <w:spacing w:val="1"/>
          <w:sz w:val="26"/>
          <w:szCs w:val="26"/>
          <w:rtl/>
          <w:lang w:eastAsia="ja-JP"/>
        </w:rPr>
        <w:t xml:space="preserve">.  </w:t>
      </w:r>
    </w:p>
    <w:p w14:paraId="6A3E33E2" w14:textId="77777777" w:rsidR="00F90E80" w:rsidRPr="00F90E80" w:rsidRDefault="00F90E80" w:rsidP="00F90E80">
      <w:pPr>
        <w:widowControl/>
        <w:numPr>
          <w:ilvl w:val="0"/>
          <w:numId w:val="26"/>
        </w:numPr>
        <w:autoSpaceDE w:val="0"/>
        <w:autoSpaceDN w:val="0"/>
        <w:adjustRightInd w:val="0"/>
        <w:spacing w:before="240" w:after="240" w:line="240" w:lineRule="auto"/>
        <w:ind w:left="927" w:right="567"/>
        <w:contextualSpacing w:val="0"/>
        <w:jc w:val="left"/>
        <w:textAlignment w:val="center"/>
        <w:rPr>
          <w:rFonts w:eastAsia="Times New Roman"/>
          <w:sz w:val="26"/>
          <w:szCs w:val="26"/>
          <w:u w:val="single"/>
        </w:rPr>
      </w:pPr>
      <w:r w:rsidRPr="00F90E80">
        <w:rPr>
          <w:rFonts w:eastAsia="Times New Roman"/>
          <w:sz w:val="26"/>
          <w:szCs w:val="26"/>
          <w:u w:val="single"/>
          <w:rtl/>
        </w:rPr>
        <w:t>הכלים הקיימים כיום אינם נותנים מענה לתופעת ההדלפות</w:t>
      </w:r>
    </w:p>
    <w:p w14:paraId="6F5958DD" w14:textId="77777777" w:rsidR="00F90E80" w:rsidRPr="00F90E80" w:rsidRDefault="00F90E80" w:rsidP="00F90E80">
      <w:pPr>
        <w:autoSpaceDE w:val="0"/>
        <w:autoSpaceDN w:val="0"/>
        <w:adjustRightInd w:val="0"/>
        <w:spacing w:before="240" w:after="240" w:line="240" w:lineRule="auto"/>
        <w:ind w:left="425"/>
        <w:contextualSpacing w:val="0"/>
        <w:textAlignment w:val="center"/>
        <w:rPr>
          <w:rFonts w:eastAsia="MS Mincho"/>
          <w:color w:val="000000"/>
          <w:spacing w:val="1"/>
          <w:sz w:val="26"/>
          <w:szCs w:val="26"/>
          <w:lang w:eastAsia="ja-JP"/>
        </w:rPr>
      </w:pPr>
      <w:r w:rsidRPr="00F90E80">
        <w:rPr>
          <w:rFonts w:eastAsia="MS Mincho"/>
          <w:color w:val="000000"/>
          <w:spacing w:val="1"/>
          <w:sz w:val="26"/>
          <w:szCs w:val="26"/>
          <w:rtl/>
          <w:lang w:eastAsia="ja-JP"/>
        </w:rPr>
        <w:t>קיימות עשרות דוגמאות של הדלפות מהקבינט לאורך השנים, ואף בתקופה האחרונה במהלך המלחמה, מה שמעלה מס</w:t>
      </w:r>
      <w:r w:rsidRPr="00F90E80">
        <w:rPr>
          <w:rFonts w:eastAsia="MS Mincho" w:hint="cs"/>
          <w:color w:val="000000"/>
          <w:spacing w:val="1"/>
          <w:sz w:val="26"/>
          <w:szCs w:val="26"/>
          <w:rtl/>
          <w:lang w:eastAsia="ja-JP"/>
        </w:rPr>
        <w:t>פר</w:t>
      </w:r>
      <w:r w:rsidRPr="00F90E80">
        <w:rPr>
          <w:rFonts w:eastAsia="MS Mincho"/>
          <w:color w:val="000000"/>
          <w:spacing w:val="1"/>
          <w:sz w:val="26"/>
          <w:szCs w:val="26"/>
          <w:rtl/>
          <w:lang w:eastAsia="ja-JP"/>
        </w:rPr>
        <w:t xml:space="preserve"> מסקנות, כדלקמן: </w:t>
      </w:r>
    </w:p>
    <w:p w14:paraId="51B3087A" w14:textId="77777777" w:rsidR="00F90E80" w:rsidRPr="00F90E80" w:rsidRDefault="00F90E80" w:rsidP="00F90E80">
      <w:pPr>
        <w:numPr>
          <w:ilvl w:val="0"/>
          <w:numId w:val="25"/>
        </w:numPr>
        <w:autoSpaceDE w:val="0"/>
        <w:autoSpaceDN w:val="0"/>
        <w:adjustRightInd w:val="0"/>
        <w:spacing w:before="240" w:after="240" w:line="240" w:lineRule="auto"/>
        <w:ind w:left="1134" w:right="567"/>
        <w:contextualSpacing w:val="0"/>
        <w:textAlignment w:val="center"/>
        <w:rPr>
          <w:rFonts w:eastAsia="MS Mincho"/>
          <w:color w:val="000000"/>
          <w:spacing w:val="1"/>
          <w:sz w:val="26"/>
          <w:szCs w:val="26"/>
          <w:lang w:eastAsia="ja-JP"/>
        </w:rPr>
      </w:pPr>
      <w:r w:rsidRPr="00F90E80">
        <w:rPr>
          <w:rFonts w:eastAsia="MS Mincho"/>
          <w:color w:val="000000"/>
          <w:spacing w:val="1"/>
          <w:sz w:val="26"/>
          <w:szCs w:val="26"/>
          <w:rtl/>
          <w:lang w:eastAsia="ja-JP"/>
        </w:rPr>
        <w:t xml:space="preserve">התופעה אינה חדשה והיא חוזרת על עצמה בכל קבינט, הגם שחלק לא מבוטל מבעלי התפקידים התחלף לאורך השנים. </w:t>
      </w:r>
    </w:p>
    <w:p w14:paraId="5C590344" w14:textId="77777777" w:rsidR="00F90E80" w:rsidRPr="00F90E80" w:rsidRDefault="00F90E80" w:rsidP="00F90E80">
      <w:pPr>
        <w:numPr>
          <w:ilvl w:val="0"/>
          <w:numId w:val="25"/>
        </w:numPr>
        <w:autoSpaceDE w:val="0"/>
        <w:autoSpaceDN w:val="0"/>
        <w:adjustRightInd w:val="0"/>
        <w:spacing w:before="240" w:after="240" w:line="240" w:lineRule="auto"/>
        <w:ind w:left="1134" w:right="567"/>
        <w:contextualSpacing w:val="0"/>
        <w:textAlignment w:val="center"/>
        <w:rPr>
          <w:rFonts w:eastAsia="MS Mincho"/>
          <w:color w:val="000000"/>
          <w:spacing w:val="1"/>
          <w:sz w:val="26"/>
          <w:szCs w:val="26"/>
          <w:lang w:eastAsia="ja-JP"/>
        </w:rPr>
      </w:pPr>
      <w:r w:rsidRPr="00F90E80">
        <w:rPr>
          <w:rFonts w:eastAsia="MS Mincho"/>
          <w:color w:val="000000"/>
          <w:spacing w:val="1"/>
          <w:sz w:val="26"/>
          <w:szCs w:val="26"/>
          <w:rtl/>
          <w:lang w:eastAsia="ja-JP"/>
        </w:rPr>
        <w:t xml:space="preserve">ההמלצות של דו"ח ועדת עמידרור בהקשר של מניעת הדלפות, הגם שהן מיושמות, </w:t>
      </w:r>
      <w:r w:rsidRPr="00F90E80">
        <w:rPr>
          <w:rFonts w:eastAsia="MS Mincho"/>
          <w:color w:val="000000"/>
          <w:spacing w:val="1"/>
          <w:sz w:val="26"/>
          <w:szCs w:val="26"/>
          <w:rtl/>
          <w:lang w:eastAsia="ja-JP"/>
        </w:rPr>
        <w:lastRenderedPageBreak/>
        <w:t xml:space="preserve">ראויות לבחינה מחדש לאור פרק הזמן שחלף, ולנוכח היעדר הפתרון לתופעה.  </w:t>
      </w:r>
    </w:p>
    <w:p w14:paraId="5DDF2476" w14:textId="77777777" w:rsidR="00F90E80" w:rsidRPr="00F90E80" w:rsidRDefault="00F90E80" w:rsidP="00F90E80">
      <w:pPr>
        <w:numPr>
          <w:ilvl w:val="0"/>
          <w:numId w:val="25"/>
        </w:numPr>
        <w:autoSpaceDE w:val="0"/>
        <w:autoSpaceDN w:val="0"/>
        <w:adjustRightInd w:val="0"/>
        <w:spacing w:before="240" w:after="240" w:line="240" w:lineRule="auto"/>
        <w:ind w:left="1134" w:right="567"/>
        <w:contextualSpacing w:val="0"/>
        <w:textAlignment w:val="center"/>
        <w:rPr>
          <w:rFonts w:eastAsia="MS Mincho"/>
          <w:color w:val="000000"/>
          <w:spacing w:val="1"/>
          <w:sz w:val="26"/>
          <w:szCs w:val="26"/>
          <w:lang w:eastAsia="ja-JP"/>
        </w:rPr>
      </w:pPr>
      <w:r w:rsidRPr="00F90E80">
        <w:rPr>
          <w:rFonts w:eastAsia="MS Mincho"/>
          <w:color w:val="000000"/>
          <w:spacing w:val="1"/>
          <w:sz w:val="26"/>
          <w:szCs w:val="26"/>
          <w:rtl/>
          <w:lang w:eastAsia="ja-JP"/>
        </w:rPr>
        <w:t xml:space="preserve">באופן עובדתי, הכלים הקיימים למניעת ההדלפות לא נתנו מענה לתופעה, וההדלפות המשיכו, לרבות במסגרת הממשלה ה-37. כך, למשל, כפי שהוסבר לעיל, למרות ששרי הקבינט הוחתמו על טופס לשמירת סודיות, והגם שרה"מ מדגיש לעתים קרובות </w:t>
      </w:r>
      <w:r w:rsidRPr="00F90E80">
        <w:rPr>
          <w:rFonts w:eastAsia="MS Mincho" w:hint="cs"/>
          <w:color w:val="000000"/>
          <w:spacing w:val="1"/>
          <w:sz w:val="26"/>
          <w:szCs w:val="26"/>
          <w:rtl/>
          <w:lang w:eastAsia="ja-JP"/>
        </w:rPr>
        <w:t>את</w:t>
      </w:r>
      <w:r w:rsidRPr="00F90E80">
        <w:rPr>
          <w:rFonts w:eastAsia="MS Mincho"/>
          <w:color w:val="000000"/>
          <w:spacing w:val="1"/>
          <w:sz w:val="26"/>
          <w:szCs w:val="26"/>
          <w:rtl/>
          <w:lang w:eastAsia="ja-JP"/>
        </w:rPr>
        <w:t xml:space="preserve"> החשיבות בהימנעות מהדלפות והנזק הביטחוני שיכול להיגרם כתוצאה מכך – תופעה זו לא נעצרה. כמו כן, לא נפתחה בשנים האחרונות חקירה על-ידי היועץ המשפטי לממשלה בגין הדלפה</w:t>
      </w:r>
      <w:r w:rsidRPr="00F90E80">
        <w:rPr>
          <w:rFonts w:eastAsia="MS Mincho" w:hint="cs"/>
          <w:color w:val="000000"/>
          <w:spacing w:val="1"/>
          <w:sz w:val="26"/>
          <w:szCs w:val="26"/>
          <w:rtl/>
          <w:lang w:eastAsia="ja-JP"/>
        </w:rPr>
        <w:t>, הגם שנעשו פניות בעניין</w:t>
      </w:r>
      <w:r w:rsidRPr="00F90E80">
        <w:rPr>
          <w:rFonts w:eastAsia="MS Mincho"/>
          <w:color w:val="000000"/>
          <w:spacing w:val="1"/>
          <w:sz w:val="26"/>
          <w:szCs w:val="26"/>
          <w:rtl/>
          <w:lang w:eastAsia="ja-JP"/>
        </w:rPr>
        <w:t xml:space="preserve">. </w:t>
      </w:r>
    </w:p>
    <w:p w14:paraId="5486BE20" w14:textId="77777777" w:rsidR="00F90E80" w:rsidRPr="00F90E80" w:rsidRDefault="00F90E80" w:rsidP="00F90E80">
      <w:pPr>
        <w:widowControl/>
        <w:numPr>
          <w:ilvl w:val="0"/>
          <w:numId w:val="26"/>
        </w:numPr>
        <w:autoSpaceDE w:val="0"/>
        <w:autoSpaceDN w:val="0"/>
        <w:adjustRightInd w:val="0"/>
        <w:spacing w:before="240" w:after="240" w:line="240" w:lineRule="auto"/>
        <w:ind w:left="927" w:right="567"/>
        <w:contextualSpacing w:val="0"/>
        <w:jc w:val="left"/>
        <w:textAlignment w:val="center"/>
        <w:rPr>
          <w:rFonts w:eastAsia="Times New Roman"/>
          <w:b/>
          <w:bCs/>
          <w:sz w:val="26"/>
          <w:szCs w:val="26"/>
        </w:rPr>
      </w:pPr>
      <w:r w:rsidRPr="00F90E80">
        <w:rPr>
          <w:rFonts w:eastAsia="Times New Roman"/>
          <w:sz w:val="26"/>
          <w:szCs w:val="26"/>
          <w:u w:val="single"/>
          <w:rtl/>
        </w:rPr>
        <w:t>ביצוע בדיקה עתית, לרבות בדיקת פוליגרף נוהלית למשתתפי דיוני הקבינט</w:t>
      </w:r>
      <w:r w:rsidRPr="00F90E80">
        <w:rPr>
          <w:rFonts w:eastAsia="Times New Roman"/>
          <w:b/>
          <w:bCs/>
          <w:sz w:val="26"/>
          <w:szCs w:val="26"/>
          <w:rtl/>
        </w:rPr>
        <w:t xml:space="preserve"> </w:t>
      </w:r>
    </w:p>
    <w:p w14:paraId="5038A3BF" w14:textId="77777777" w:rsidR="00F90E80" w:rsidRPr="00F90E80" w:rsidRDefault="00F90E80" w:rsidP="00F90E80">
      <w:pPr>
        <w:autoSpaceDE w:val="0"/>
        <w:autoSpaceDN w:val="0"/>
        <w:adjustRightInd w:val="0"/>
        <w:spacing w:before="240" w:after="240" w:line="240" w:lineRule="auto"/>
        <w:ind w:left="425"/>
        <w:contextualSpacing w:val="0"/>
        <w:textAlignment w:val="center"/>
        <w:rPr>
          <w:rFonts w:eastAsia="MS Mincho"/>
          <w:color w:val="000000"/>
          <w:spacing w:val="1"/>
          <w:sz w:val="26"/>
          <w:szCs w:val="26"/>
          <w:rtl/>
          <w:lang w:eastAsia="ja-JP"/>
        </w:rPr>
      </w:pPr>
      <w:r w:rsidRPr="00F90E80">
        <w:rPr>
          <w:rFonts w:eastAsia="MS Mincho"/>
          <w:color w:val="000000"/>
          <w:spacing w:val="1"/>
          <w:sz w:val="26"/>
          <w:szCs w:val="26"/>
          <w:rtl/>
          <w:lang w:eastAsia="ja-JP"/>
        </w:rPr>
        <w:t>לאחר שנסקר הצורך הביטחוני-מדיני במניעת תופעת ההדלפות מדיוני הקבינט, ולאחר שפורטו הטענות לכך שהכלים הקיימים אינם נותנים מענה מספק לעצירת התופעה, יוער כי לעמדת גורמי המקצוע במל"ל קידום תזכיר חוק באופן שיעגן אפשרות לבדיקת פוליגרף עתית (נוהלית) למשתתפי דיוני הקבינט, לרבות לשרי הקבינט, הוא הכלי האפקטיבי היחיד</w:t>
      </w:r>
      <w:r w:rsidRPr="00F90E80">
        <w:rPr>
          <w:rFonts w:eastAsia="MS Mincho" w:hint="cs"/>
          <w:color w:val="000000"/>
          <w:spacing w:val="1"/>
          <w:sz w:val="26"/>
          <w:szCs w:val="26"/>
          <w:rtl/>
          <w:lang w:eastAsia="ja-JP"/>
        </w:rPr>
        <w:t xml:space="preserve"> למאבק בתופעה. </w:t>
      </w:r>
      <w:r w:rsidRPr="00F90E80">
        <w:rPr>
          <w:rFonts w:eastAsia="MS Mincho"/>
          <w:color w:val="000000"/>
          <w:spacing w:val="1"/>
          <w:sz w:val="26"/>
          <w:szCs w:val="26"/>
          <w:rtl/>
          <w:lang w:eastAsia="ja-JP"/>
        </w:rPr>
        <w:t xml:space="preserve"> </w:t>
      </w:r>
    </w:p>
    <w:p w14:paraId="27EEB33A" w14:textId="77777777" w:rsidR="00F90E80" w:rsidRPr="00F90E80" w:rsidRDefault="00F90E80" w:rsidP="00F90E80">
      <w:pPr>
        <w:autoSpaceDE w:val="0"/>
        <w:autoSpaceDN w:val="0"/>
        <w:adjustRightInd w:val="0"/>
        <w:spacing w:before="240" w:after="240" w:line="240" w:lineRule="auto"/>
        <w:ind w:left="425"/>
        <w:contextualSpacing w:val="0"/>
        <w:textAlignment w:val="center"/>
        <w:rPr>
          <w:rFonts w:eastAsia="MS Mincho"/>
          <w:color w:val="000000"/>
          <w:spacing w:val="1"/>
          <w:sz w:val="26"/>
          <w:szCs w:val="26"/>
          <w:rtl/>
          <w:lang w:eastAsia="ja-JP"/>
        </w:rPr>
      </w:pPr>
      <w:r w:rsidRPr="00F90E80">
        <w:rPr>
          <w:rFonts w:eastAsia="MS Mincho"/>
          <w:color w:val="000000"/>
          <w:spacing w:val="1"/>
          <w:sz w:val="26"/>
          <w:szCs w:val="26"/>
          <w:rtl/>
          <w:lang w:eastAsia="ja-JP"/>
        </w:rPr>
        <w:t>כידוע, בדיקות פוליגרף משמשות את הרשות המבצעת בעיקר לצורך הליך סינון של מועמדים למשרות מסוימות, החשופים בתוקף תפקידם למידע ביטחוני מסווג. לצד זאת, הצורך בביצוע בדיקת פוליגרף עשוי להתעורר גם במסגרת חקירה פלילית.</w:t>
      </w:r>
    </w:p>
    <w:p w14:paraId="0B5E6D93" w14:textId="77777777" w:rsidR="00F90E80" w:rsidRPr="00F90E80" w:rsidRDefault="00F90E80" w:rsidP="00F90E80">
      <w:pPr>
        <w:autoSpaceDE w:val="0"/>
        <w:autoSpaceDN w:val="0"/>
        <w:adjustRightInd w:val="0"/>
        <w:spacing w:before="240" w:after="240" w:line="240" w:lineRule="auto"/>
        <w:ind w:left="425"/>
        <w:contextualSpacing w:val="0"/>
        <w:textAlignment w:val="center"/>
        <w:rPr>
          <w:rFonts w:eastAsia="MS Mincho"/>
          <w:color w:val="000000"/>
          <w:spacing w:val="1"/>
          <w:sz w:val="26"/>
          <w:szCs w:val="26"/>
          <w:rtl/>
          <w:lang w:eastAsia="ja-JP"/>
        </w:rPr>
      </w:pPr>
      <w:r w:rsidRPr="00F90E80">
        <w:rPr>
          <w:rFonts w:eastAsia="MS Mincho"/>
          <w:color w:val="000000"/>
          <w:spacing w:val="1"/>
          <w:sz w:val="26"/>
          <w:szCs w:val="26"/>
          <w:rtl/>
          <w:lang w:eastAsia="ja-JP"/>
        </w:rPr>
        <w:t>בדיקת הפוליגרף ידועה כבדיקה המעלה קשיים, הן מהפן של חדירה לפרטיותו של הנבדק והן מהפן של מהימנות הבדיקה, שאינה מספקת תוצאה ודאית. נוכח קושי זה, בדיקת הפוליגרף אינה ראיה קבילה במשפט פלילי. אך גם במישור המנהלי היא נתפסת כעניין שמעלה קשיים ולכן היועץ המשפטי לממשלה הוציא בשעתו הנחיות מיוחדות לעניין שימוש בבדיקות פוליגרף על-ידי רשויות המדינה כלפי עובדי ציבור, וקבע סדרה של תנאים והגבלות לביצוע בדיקה שכזו.</w:t>
      </w:r>
    </w:p>
    <w:p w14:paraId="409E480A" w14:textId="77777777" w:rsidR="00F90E80" w:rsidRPr="00F90E80" w:rsidRDefault="00F90E80" w:rsidP="00F90E80">
      <w:pPr>
        <w:autoSpaceDE w:val="0"/>
        <w:autoSpaceDN w:val="0"/>
        <w:adjustRightInd w:val="0"/>
        <w:spacing w:before="240" w:after="240" w:line="240" w:lineRule="auto"/>
        <w:ind w:left="425"/>
        <w:contextualSpacing w:val="0"/>
        <w:textAlignment w:val="center"/>
        <w:rPr>
          <w:rFonts w:eastAsia="MS Mincho"/>
          <w:color w:val="000000"/>
          <w:spacing w:val="1"/>
          <w:sz w:val="26"/>
          <w:szCs w:val="26"/>
          <w:rtl/>
          <w:lang w:eastAsia="ja-JP"/>
        </w:rPr>
      </w:pPr>
      <w:r w:rsidRPr="00F90E80">
        <w:rPr>
          <w:rFonts w:eastAsia="MS Mincho"/>
          <w:color w:val="000000"/>
          <w:spacing w:val="1"/>
          <w:sz w:val="26"/>
          <w:szCs w:val="26"/>
          <w:rtl/>
          <w:lang w:eastAsia="ja-JP"/>
        </w:rPr>
        <w:t xml:space="preserve">ואילו ביחס לנבחרי ציבור, הגישה שהייתה מקובלת לאורך השנים היא </w:t>
      </w:r>
      <w:r w:rsidRPr="00F90E80">
        <w:rPr>
          <w:rFonts w:eastAsia="MS Mincho" w:hint="cs"/>
          <w:color w:val="000000"/>
          <w:spacing w:val="1"/>
          <w:sz w:val="26"/>
          <w:szCs w:val="26"/>
          <w:rtl/>
          <w:lang w:eastAsia="ja-JP"/>
        </w:rPr>
        <w:t xml:space="preserve">שלא נדרש לערוך </w:t>
      </w:r>
      <w:r w:rsidRPr="00F90E80">
        <w:rPr>
          <w:rFonts w:eastAsia="MS Mincho"/>
          <w:color w:val="000000"/>
          <w:spacing w:val="1"/>
          <w:sz w:val="26"/>
          <w:szCs w:val="26"/>
          <w:rtl/>
          <w:lang w:eastAsia="ja-JP"/>
        </w:rPr>
        <w:t xml:space="preserve">בדיקות פוליגרף לנבחרי ציבור, לשרים ולחברי כנסת, לא לבחינת התאמתם הביטחונית לתפקיד מראש, לא במהלך כהונתם, וגם לא כאשר הם מכהנים בתפקידים החושפים אותם לסודות הכמוסים ביותר של המדינה. גישה זו אף עוגנה בחוק השב"כ משנת 2002, שקבע כי השב"כ אינו מוסמך לבצע התאמה ביטחונית לנבחרי ציבור. כאמור, </w:t>
      </w:r>
      <w:r w:rsidRPr="00F90E80">
        <w:rPr>
          <w:rFonts w:eastAsia="MS Mincho" w:hint="cs"/>
          <w:color w:val="000000"/>
          <w:spacing w:val="1"/>
          <w:sz w:val="26"/>
          <w:szCs w:val="26"/>
          <w:rtl/>
          <w:lang w:eastAsia="ja-JP"/>
        </w:rPr>
        <w:t>גישה</w:t>
      </w:r>
      <w:r w:rsidRPr="00F90E80">
        <w:rPr>
          <w:rFonts w:eastAsia="MS Mincho"/>
          <w:color w:val="000000"/>
          <w:spacing w:val="1"/>
          <w:sz w:val="26"/>
          <w:szCs w:val="26"/>
          <w:rtl/>
          <w:lang w:eastAsia="ja-JP"/>
        </w:rPr>
        <w:t xml:space="preserve"> זו עומדת לבחינה מחודשת לאור תופעת ההדלפות אשר פוגעת באופן חמור ביותר בביטחון המדינה.  </w:t>
      </w:r>
    </w:p>
    <w:p w14:paraId="133E84D9" w14:textId="77777777" w:rsidR="00F90E80" w:rsidRPr="00F90E80" w:rsidRDefault="00F90E80" w:rsidP="00F90E80">
      <w:pPr>
        <w:widowControl/>
        <w:numPr>
          <w:ilvl w:val="0"/>
          <w:numId w:val="26"/>
        </w:numPr>
        <w:autoSpaceDE w:val="0"/>
        <w:autoSpaceDN w:val="0"/>
        <w:adjustRightInd w:val="0"/>
        <w:spacing w:before="240" w:after="240" w:line="240" w:lineRule="auto"/>
        <w:ind w:left="927" w:right="567"/>
        <w:contextualSpacing w:val="0"/>
        <w:jc w:val="left"/>
        <w:textAlignment w:val="center"/>
        <w:rPr>
          <w:rFonts w:eastAsia="Times New Roman"/>
          <w:sz w:val="26"/>
          <w:szCs w:val="26"/>
          <w:u w:val="single"/>
        </w:rPr>
      </w:pPr>
      <w:r w:rsidRPr="00F90E80">
        <w:rPr>
          <w:rFonts w:eastAsia="Times New Roman"/>
          <w:sz w:val="26"/>
          <w:szCs w:val="26"/>
          <w:u w:val="single"/>
          <w:rtl/>
        </w:rPr>
        <w:t xml:space="preserve">הנחיית היועצת המשפטי לממשלה בעניין בדיקת פוליגרף </w:t>
      </w:r>
    </w:p>
    <w:p w14:paraId="607B2ACF" w14:textId="77777777" w:rsidR="00F90E80" w:rsidRPr="00F90E80" w:rsidRDefault="00F90E80" w:rsidP="00F90E80">
      <w:pPr>
        <w:autoSpaceDE w:val="0"/>
        <w:autoSpaceDN w:val="0"/>
        <w:adjustRightInd w:val="0"/>
        <w:spacing w:before="240" w:after="240" w:line="240" w:lineRule="auto"/>
        <w:ind w:left="425"/>
        <w:contextualSpacing w:val="0"/>
        <w:textAlignment w:val="center"/>
        <w:rPr>
          <w:rFonts w:eastAsia="MS Mincho"/>
          <w:color w:val="000000"/>
          <w:spacing w:val="1"/>
          <w:sz w:val="26"/>
          <w:szCs w:val="26"/>
          <w:lang w:eastAsia="ja-JP"/>
        </w:rPr>
      </w:pPr>
      <w:r w:rsidRPr="00F90E80">
        <w:rPr>
          <w:rFonts w:eastAsia="MS Mincho"/>
          <w:color w:val="000000"/>
          <w:spacing w:val="1"/>
          <w:sz w:val="26"/>
          <w:szCs w:val="26"/>
          <w:rtl/>
          <w:lang w:eastAsia="ja-JP"/>
        </w:rPr>
        <w:t xml:space="preserve">השימוש בבדיקות פוליגרף על-ידי רשויות המדינה מוסדר בהנחיית היועצת המשפטית לממשלה מס' 3.11.02. נבקש להביא מתוך הנחיית היועצת מספר קטעים שיסבירו את הקשיים בביצוע בדיקת פוליגרף ויתרונותיו. </w:t>
      </w:r>
    </w:p>
    <w:p w14:paraId="702626F4" w14:textId="77777777" w:rsidR="00F90E80" w:rsidRPr="00F90E80" w:rsidRDefault="00F90E80" w:rsidP="00F90E80">
      <w:pPr>
        <w:autoSpaceDE w:val="0"/>
        <w:autoSpaceDN w:val="0"/>
        <w:adjustRightInd w:val="0"/>
        <w:spacing w:before="240" w:after="240" w:line="240" w:lineRule="auto"/>
        <w:ind w:left="425"/>
        <w:contextualSpacing w:val="0"/>
        <w:textAlignment w:val="center"/>
        <w:rPr>
          <w:rFonts w:eastAsia="MS Mincho"/>
          <w:color w:val="000000"/>
          <w:spacing w:val="1"/>
          <w:sz w:val="26"/>
          <w:szCs w:val="26"/>
          <w:lang w:eastAsia="ja-JP"/>
        </w:rPr>
      </w:pPr>
      <w:r w:rsidRPr="00F90E80">
        <w:rPr>
          <w:rFonts w:eastAsia="MS Mincho"/>
          <w:color w:val="000000"/>
          <w:spacing w:val="1"/>
          <w:sz w:val="26"/>
          <w:szCs w:val="26"/>
          <w:rtl/>
          <w:lang w:eastAsia="ja-JP"/>
        </w:rPr>
        <w:t xml:space="preserve">הקטעים הבאים בסעיף זה לקוחים מתוך הנחיית היועצת, אלא אם צוין אחרת: </w:t>
      </w:r>
    </w:p>
    <w:p w14:paraId="02B16418" w14:textId="77777777" w:rsidR="00F90E80" w:rsidRPr="00F90E80" w:rsidRDefault="00F90E80" w:rsidP="00F90E80">
      <w:pPr>
        <w:numPr>
          <w:ilvl w:val="0"/>
          <w:numId w:val="25"/>
        </w:numPr>
        <w:autoSpaceDE w:val="0"/>
        <w:autoSpaceDN w:val="0"/>
        <w:adjustRightInd w:val="0"/>
        <w:spacing w:before="240" w:after="240" w:line="240" w:lineRule="auto"/>
        <w:ind w:left="1134" w:right="567"/>
        <w:contextualSpacing w:val="0"/>
        <w:textAlignment w:val="center"/>
        <w:rPr>
          <w:rFonts w:eastAsia="MS Mincho"/>
          <w:b/>
          <w:bCs/>
          <w:color w:val="000000"/>
          <w:spacing w:val="1"/>
          <w:sz w:val="26"/>
          <w:szCs w:val="26"/>
          <w:u w:val="single"/>
          <w:lang w:eastAsia="ja-JP"/>
        </w:rPr>
      </w:pPr>
      <w:r w:rsidRPr="00F90E80">
        <w:rPr>
          <w:rFonts w:eastAsia="MS Mincho"/>
          <w:color w:val="000000"/>
          <w:spacing w:val="1"/>
          <w:sz w:val="26"/>
          <w:szCs w:val="26"/>
          <w:rtl/>
          <w:lang w:eastAsia="ja-JP"/>
        </w:rPr>
        <w:t>"קיימת בעיה לא פשוטה ובלתי-פתורה של מהימנות בדיקות הפוליגרף. אף לגרסת מצדדי הפוליגרף, קיים שיעור לא מבוטל, עד כדי עשרות אחוזים, של תוצאות שגויות, הן במובן שדוברי אמת נקבעים בבדיקה כדוברי שקר (</w:t>
      </w:r>
      <w:r w:rsidRPr="00F90E80">
        <w:rPr>
          <w:rFonts w:eastAsia="MS Mincho"/>
          <w:color w:val="000000"/>
          <w:spacing w:val="1"/>
          <w:sz w:val="26"/>
          <w:szCs w:val="26"/>
          <w:lang w:eastAsia="ja-JP"/>
        </w:rPr>
        <w:t>False Positive</w:t>
      </w:r>
      <w:r w:rsidRPr="00F90E80">
        <w:rPr>
          <w:rFonts w:eastAsia="MS Mincho"/>
          <w:color w:val="000000"/>
          <w:spacing w:val="1"/>
          <w:sz w:val="26"/>
          <w:szCs w:val="26"/>
          <w:rtl/>
          <w:lang w:eastAsia="ja-JP"/>
        </w:rPr>
        <w:t>), והן במובן של דוברי שקר שבדיקות הפוליגרף קובעות שהם דוברי אמת (</w:t>
      </w:r>
      <w:r w:rsidRPr="00F90E80">
        <w:rPr>
          <w:rFonts w:eastAsia="MS Mincho"/>
          <w:color w:val="000000"/>
          <w:spacing w:val="1"/>
          <w:sz w:val="26"/>
          <w:szCs w:val="26"/>
          <w:lang w:eastAsia="ja-JP"/>
        </w:rPr>
        <w:t>False Negative</w:t>
      </w:r>
      <w:r w:rsidRPr="00F90E80">
        <w:rPr>
          <w:rFonts w:eastAsia="MS Mincho"/>
          <w:color w:val="000000"/>
          <w:spacing w:val="1"/>
          <w:sz w:val="26"/>
          <w:szCs w:val="26"/>
          <w:rtl/>
          <w:lang w:eastAsia="ja-JP"/>
        </w:rPr>
        <w:t>)."</w:t>
      </w:r>
    </w:p>
    <w:p w14:paraId="6A598D29" w14:textId="77777777" w:rsidR="00F90E80" w:rsidRPr="00F90E80" w:rsidRDefault="00F90E80" w:rsidP="00F90E80">
      <w:pPr>
        <w:numPr>
          <w:ilvl w:val="0"/>
          <w:numId w:val="25"/>
        </w:numPr>
        <w:autoSpaceDE w:val="0"/>
        <w:autoSpaceDN w:val="0"/>
        <w:adjustRightInd w:val="0"/>
        <w:spacing w:before="240" w:after="240" w:line="240" w:lineRule="auto"/>
        <w:ind w:left="1134" w:right="567"/>
        <w:contextualSpacing w:val="0"/>
        <w:textAlignment w:val="center"/>
        <w:rPr>
          <w:rFonts w:eastAsia="MS Mincho"/>
          <w:b/>
          <w:bCs/>
          <w:color w:val="000000"/>
          <w:spacing w:val="1"/>
          <w:sz w:val="26"/>
          <w:szCs w:val="26"/>
          <w:u w:val="single"/>
          <w:lang w:eastAsia="ja-JP"/>
        </w:rPr>
      </w:pPr>
      <w:r w:rsidRPr="00F90E80">
        <w:rPr>
          <w:rFonts w:eastAsia="MS Mincho"/>
          <w:color w:val="000000"/>
          <w:spacing w:val="1"/>
          <w:sz w:val="26"/>
          <w:szCs w:val="26"/>
          <w:rtl/>
          <w:lang w:eastAsia="ja-JP"/>
        </w:rPr>
        <w:t xml:space="preserve">"קיימות שתי שיטות בדיקה עיקריות: שיטת "פרטי החקירה המוכמנים" (פח"מ), בה נעשה שימוש במסגרת הליכי חקירה, ושיטת "שאלות הביקורת", בה נעשה שימוש בבדיקות מהימנות כללית, כגון לצרכי סינון בטחון. קיימת הסכמה כי מהימנותה </w:t>
      </w:r>
      <w:r w:rsidRPr="00F90E80">
        <w:rPr>
          <w:rFonts w:eastAsia="MS Mincho" w:hint="cs"/>
          <w:color w:val="000000"/>
          <w:spacing w:val="1"/>
          <w:sz w:val="26"/>
          <w:szCs w:val="26"/>
          <w:rtl/>
          <w:lang w:eastAsia="ja-JP"/>
        </w:rPr>
        <w:t xml:space="preserve">של </w:t>
      </w:r>
      <w:r w:rsidRPr="00F90E80">
        <w:rPr>
          <w:rFonts w:eastAsia="MS Mincho"/>
          <w:color w:val="000000"/>
          <w:spacing w:val="1"/>
          <w:sz w:val="26"/>
          <w:szCs w:val="26"/>
          <w:rtl/>
          <w:lang w:eastAsia="ja-JP"/>
        </w:rPr>
        <w:t>בדיקה בשיטת "פח"מ", גבוהה יותר מהמהימנות של בדיקה בשיטת "שאלות הביקורת", אשר רבים חולקים אף על תקפותה."</w:t>
      </w:r>
    </w:p>
    <w:p w14:paraId="088950B1" w14:textId="77777777" w:rsidR="00F90E80" w:rsidRPr="00F90E80" w:rsidRDefault="00F90E80" w:rsidP="00F90E80">
      <w:pPr>
        <w:numPr>
          <w:ilvl w:val="0"/>
          <w:numId w:val="25"/>
        </w:numPr>
        <w:autoSpaceDE w:val="0"/>
        <w:autoSpaceDN w:val="0"/>
        <w:adjustRightInd w:val="0"/>
        <w:spacing w:before="240" w:after="240" w:line="240" w:lineRule="auto"/>
        <w:ind w:left="1134" w:right="567"/>
        <w:contextualSpacing w:val="0"/>
        <w:textAlignment w:val="center"/>
        <w:rPr>
          <w:rFonts w:eastAsia="MS Mincho"/>
          <w:color w:val="000000"/>
          <w:spacing w:val="1"/>
          <w:sz w:val="26"/>
          <w:szCs w:val="26"/>
          <w:rtl/>
          <w:lang w:eastAsia="ja-JP"/>
        </w:rPr>
      </w:pPr>
      <w:r w:rsidRPr="00F90E80">
        <w:rPr>
          <w:rFonts w:eastAsia="MS Mincho"/>
          <w:color w:val="000000"/>
          <w:spacing w:val="1"/>
          <w:sz w:val="26"/>
          <w:szCs w:val="26"/>
          <w:rtl/>
          <w:lang w:eastAsia="ja-JP"/>
        </w:rPr>
        <w:t xml:space="preserve">"חקירה באמצעות מכשיר פוליגרף היא הליך חודרני מאוד, ועלולה להיות חוויה רגשית </w:t>
      </w:r>
      <w:r w:rsidRPr="00F90E80">
        <w:rPr>
          <w:rFonts w:eastAsia="MS Mincho"/>
          <w:color w:val="000000"/>
          <w:spacing w:val="1"/>
          <w:sz w:val="26"/>
          <w:szCs w:val="26"/>
          <w:rtl/>
          <w:lang w:eastAsia="ja-JP"/>
        </w:rPr>
        <w:lastRenderedPageBreak/>
        <w:t xml:space="preserve">בלתי נעימה ואף משפילה. מדובר בבדיקה שנועדה להעמיק אל הלא מודע ובכך לפגוע בחופש הרצון, תוך חדירה לנבכי נפשו של אדם וגביית תגובות בלתי מודעות... על כן יש בשימוש במכשיר פוליגרף פוטנציאל ממשי של הטלת כתם חברתי קשה על חפים מפשע. [הנבדק נאלץ] על מנת "לעבור בשלום" את הבדיקה, לחשוף בפני הבודק כל פרט מציק בעברו, לרבות נושאים אינטימיים... כך למשל, בתשובה לשאלת ביקורת שגרתית אודות פגיעה באמון בעבר, מחוייב הנבדק לחשוף בגידות בחיי הנישואין, שקרים למעביד ועוד. בכל אלה יש כדי להטיל אימה על הנבדק." </w:t>
      </w:r>
    </w:p>
    <w:p w14:paraId="16E944E9" w14:textId="77777777" w:rsidR="00F90E80" w:rsidRPr="00F90E80" w:rsidRDefault="00F90E80" w:rsidP="00F90E80">
      <w:pPr>
        <w:numPr>
          <w:ilvl w:val="0"/>
          <w:numId w:val="25"/>
        </w:numPr>
        <w:autoSpaceDE w:val="0"/>
        <w:autoSpaceDN w:val="0"/>
        <w:adjustRightInd w:val="0"/>
        <w:spacing w:before="240" w:after="240" w:line="240" w:lineRule="auto"/>
        <w:ind w:left="1134" w:right="567"/>
        <w:contextualSpacing w:val="0"/>
        <w:textAlignment w:val="center"/>
        <w:rPr>
          <w:rFonts w:eastAsia="MS Mincho"/>
          <w:color w:val="000000"/>
          <w:spacing w:val="1"/>
          <w:sz w:val="26"/>
          <w:szCs w:val="26"/>
          <w:lang w:eastAsia="ja-JP"/>
        </w:rPr>
      </w:pPr>
      <w:r w:rsidRPr="00F90E80">
        <w:rPr>
          <w:rFonts w:eastAsia="MS Mincho"/>
          <w:color w:val="000000"/>
          <w:spacing w:val="1"/>
          <w:sz w:val="26"/>
          <w:szCs w:val="26"/>
          <w:rtl/>
          <w:lang w:eastAsia="ja-JP"/>
        </w:rPr>
        <w:t>"... מדובר איפוא בחדירה בוטה, בלתי נעימה ואף משפילה לפרטיותו של הנבדק, בעניינים ובפרטים שאין להם כל נגיעה לנושא הנחקר. זוהי פגיעה חמורה בגרעין הקשה של זכות האדם לפרטיות, המהווה גם פגיעה בכבודו של אדם. ... יודגש כי פרסום תוצאות בדיקת פוליגרף ברבים יוצר פגיעה נוספת ועצמאית בשמו הטוב של האדם..."</w:t>
      </w:r>
    </w:p>
    <w:p w14:paraId="0E055160" w14:textId="77777777" w:rsidR="00F90E80" w:rsidRPr="00F90E80" w:rsidRDefault="00F90E80" w:rsidP="00F90E80">
      <w:pPr>
        <w:numPr>
          <w:ilvl w:val="0"/>
          <w:numId w:val="25"/>
        </w:numPr>
        <w:autoSpaceDE w:val="0"/>
        <w:autoSpaceDN w:val="0"/>
        <w:adjustRightInd w:val="0"/>
        <w:spacing w:before="240" w:after="240" w:line="240" w:lineRule="auto"/>
        <w:ind w:left="1134" w:right="567"/>
        <w:contextualSpacing w:val="0"/>
        <w:textAlignment w:val="center"/>
        <w:rPr>
          <w:rFonts w:eastAsia="MS Mincho"/>
          <w:color w:val="000000"/>
          <w:spacing w:val="1"/>
          <w:sz w:val="26"/>
          <w:szCs w:val="26"/>
          <w:lang w:eastAsia="ja-JP"/>
        </w:rPr>
      </w:pPr>
      <w:r w:rsidRPr="00F90E80">
        <w:rPr>
          <w:rFonts w:eastAsia="MS Mincho"/>
          <w:color w:val="000000"/>
          <w:spacing w:val="1"/>
          <w:sz w:val="26"/>
          <w:szCs w:val="26"/>
          <w:rtl/>
          <w:lang w:eastAsia="ja-JP"/>
        </w:rPr>
        <w:t xml:space="preserve">"תוצאות בדיקות פוליגרף אינן קבילות כראיה במשפט פלילי. דין זהה יחול גם בהליכים משמעתיים בפני בתי דין למשמעת.... אין לייחס לתוצאות הבדיקות משקל ראייתי עצמאי בגיבוש תוצאות ומסקנות החקירה או הבדיקה, אלא יש לראות בתוצאות ככלי עזר ראייתי משלים בלבד, בהתאם לכך אין לנקוט בכל הליך או סנקציה על בסיס ממצאי בדיקת הפוליגרף בלבד". </w:t>
      </w:r>
    </w:p>
    <w:p w14:paraId="7D0F8239" w14:textId="77777777" w:rsidR="00F90E80" w:rsidRPr="00F90E80" w:rsidRDefault="00F90E80" w:rsidP="00F90E80">
      <w:pPr>
        <w:numPr>
          <w:ilvl w:val="0"/>
          <w:numId w:val="25"/>
        </w:numPr>
        <w:autoSpaceDE w:val="0"/>
        <w:autoSpaceDN w:val="0"/>
        <w:adjustRightInd w:val="0"/>
        <w:spacing w:before="240" w:after="240" w:line="240" w:lineRule="auto"/>
        <w:ind w:left="1134" w:right="567"/>
        <w:contextualSpacing w:val="0"/>
        <w:textAlignment w:val="center"/>
        <w:rPr>
          <w:rFonts w:eastAsia="MS Mincho"/>
          <w:color w:val="000000"/>
          <w:spacing w:val="1"/>
          <w:sz w:val="26"/>
          <w:szCs w:val="26"/>
          <w:lang w:eastAsia="ja-JP"/>
        </w:rPr>
      </w:pPr>
      <w:r w:rsidRPr="00F90E80">
        <w:rPr>
          <w:rFonts w:eastAsia="MS Mincho"/>
          <w:color w:val="000000"/>
          <w:spacing w:val="1"/>
          <w:sz w:val="26"/>
          <w:szCs w:val="26"/>
          <w:rtl/>
          <w:lang w:eastAsia="ja-JP"/>
        </w:rPr>
        <w:t xml:space="preserve">"אל מול בעיית המהימנות והפגיעה בזכויות יסוד, יש להציב תועלות אפשריות שבשימוש במכשיר הפוליגרף. כך, למשל, </w:t>
      </w:r>
      <w:r w:rsidRPr="00F90E80">
        <w:rPr>
          <w:rFonts w:eastAsia="MS Mincho"/>
          <w:b/>
          <w:bCs/>
          <w:color w:val="000000"/>
          <w:spacing w:val="1"/>
          <w:sz w:val="26"/>
          <w:szCs w:val="26"/>
          <w:u w:val="single"/>
          <w:rtl/>
          <w:lang w:eastAsia="ja-JP"/>
        </w:rPr>
        <w:t>אין חולק כי לשימוש במכשיר הפוליגרף יתרונות הרתעתיים מסוימים."</w:t>
      </w:r>
      <w:r w:rsidRPr="00F90E80">
        <w:rPr>
          <w:rFonts w:eastAsia="MS Mincho"/>
          <w:color w:val="000000"/>
          <w:spacing w:val="1"/>
          <w:sz w:val="26"/>
          <w:szCs w:val="26"/>
          <w:rtl/>
          <w:lang w:eastAsia="ja-JP"/>
        </w:rPr>
        <w:t xml:space="preserve"> (ההדגשות לא במקור)</w:t>
      </w:r>
    </w:p>
    <w:p w14:paraId="5703C74E" w14:textId="77777777" w:rsidR="00F90E80" w:rsidRPr="00F90E80" w:rsidRDefault="00F90E80" w:rsidP="00F90E80">
      <w:pPr>
        <w:autoSpaceDE w:val="0"/>
        <w:autoSpaceDN w:val="0"/>
        <w:adjustRightInd w:val="0"/>
        <w:spacing w:before="240" w:after="240" w:line="240" w:lineRule="auto"/>
        <w:ind w:left="0"/>
        <w:contextualSpacing w:val="0"/>
        <w:textAlignment w:val="center"/>
        <w:rPr>
          <w:rFonts w:eastAsia="MS Mincho"/>
          <w:b/>
          <w:bCs/>
          <w:color w:val="000000"/>
          <w:spacing w:val="1"/>
          <w:sz w:val="26"/>
          <w:szCs w:val="26"/>
          <w:rtl/>
          <w:lang w:eastAsia="ja-JP"/>
        </w:rPr>
      </w:pPr>
      <w:r w:rsidRPr="00F90E80">
        <w:rPr>
          <w:rFonts w:eastAsia="MS Mincho"/>
          <w:color w:val="000000"/>
          <w:spacing w:val="1"/>
          <w:sz w:val="26"/>
          <w:szCs w:val="26"/>
          <w:rtl/>
          <w:lang w:eastAsia="ja-JP"/>
        </w:rPr>
        <w:t xml:space="preserve">          </w:t>
      </w:r>
      <w:r w:rsidRPr="00F90E80">
        <w:rPr>
          <w:rFonts w:eastAsia="MS Mincho"/>
          <w:b/>
          <w:bCs/>
          <w:color w:val="000000"/>
          <w:spacing w:val="1"/>
          <w:sz w:val="26"/>
          <w:szCs w:val="26"/>
          <w:rtl/>
          <w:lang w:eastAsia="ja-JP"/>
        </w:rPr>
        <w:t>בדיקות פוליגרף נוהליות</w:t>
      </w:r>
    </w:p>
    <w:p w14:paraId="4701EC41" w14:textId="77777777" w:rsidR="00F90E80" w:rsidRPr="00F90E80" w:rsidRDefault="00F90E80" w:rsidP="00F90E80">
      <w:pPr>
        <w:numPr>
          <w:ilvl w:val="0"/>
          <w:numId w:val="25"/>
        </w:numPr>
        <w:autoSpaceDE w:val="0"/>
        <w:autoSpaceDN w:val="0"/>
        <w:adjustRightInd w:val="0"/>
        <w:spacing w:before="240" w:after="240" w:line="240" w:lineRule="auto"/>
        <w:ind w:left="1134" w:right="567"/>
        <w:contextualSpacing w:val="0"/>
        <w:textAlignment w:val="center"/>
        <w:rPr>
          <w:rFonts w:eastAsia="MS Mincho"/>
          <w:color w:val="000000"/>
          <w:spacing w:val="1"/>
          <w:sz w:val="26"/>
          <w:szCs w:val="26"/>
          <w:rtl/>
          <w:lang w:eastAsia="ja-JP"/>
        </w:rPr>
      </w:pPr>
      <w:r w:rsidRPr="00F90E80">
        <w:rPr>
          <w:rFonts w:eastAsia="MS Mincho"/>
          <w:color w:val="000000"/>
          <w:spacing w:val="1"/>
          <w:sz w:val="26"/>
          <w:szCs w:val="26"/>
          <w:rtl/>
          <w:lang w:eastAsia="ja-JP"/>
        </w:rPr>
        <w:t>"נוכח הפגיעה בזכויות יסוד מוגנות הכרוכות בבדיקת הפוליגרף, ובעיקר פגיעה בזכות לפרטיות, העלולה לעלות גם כדי פגיעה בכבוד האדם, ולאור בעיות אמינות לא קלות של הבדיקה, ככלל אין לבצע בדיקת פוליגרף נוהלית ע"י רשויות המדינה אלא עפ"י הסמכה מפורשת בחוק או על-פיו."</w:t>
      </w:r>
    </w:p>
    <w:p w14:paraId="2FD14930" w14:textId="77777777" w:rsidR="00F90E80" w:rsidRPr="00F90E80" w:rsidRDefault="00F90E80" w:rsidP="00F90E80">
      <w:pPr>
        <w:numPr>
          <w:ilvl w:val="0"/>
          <w:numId w:val="25"/>
        </w:numPr>
        <w:autoSpaceDE w:val="0"/>
        <w:autoSpaceDN w:val="0"/>
        <w:adjustRightInd w:val="0"/>
        <w:spacing w:before="240" w:after="240" w:line="240" w:lineRule="auto"/>
        <w:ind w:left="1134" w:right="567"/>
        <w:contextualSpacing w:val="0"/>
        <w:textAlignment w:val="center"/>
        <w:rPr>
          <w:rFonts w:eastAsia="MS Mincho"/>
          <w:color w:val="000000"/>
          <w:spacing w:val="1"/>
          <w:sz w:val="26"/>
          <w:szCs w:val="26"/>
          <w:rtl/>
          <w:lang w:eastAsia="ja-JP"/>
        </w:rPr>
      </w:pPr>
      <w:r w:rsidRPr="00F90E80">
        <w:rPr>
          <w:rFonts w:eastAsia="MS Mincho"/>
          <w:color w:val="000000"/>
          <w:spacing w:val="1"/>
          <w:sz w:val="26"/>
          <w:szCs w:val="26"/>
          <w:rtl/>
          <w:lang w:eastAsia="ja-JP"/>
        </w:rPr>
        <w:t>"הסמכה בחוק לביצוע בדיקות פוליגרף קיימת כיום רק בנוגע לבדיקות סינון ביטחון, לשם "קביעה של התאמה בטחונית של אדם לתפקיד או למשרה שסווגו בסיווג בטחוני", בהתאם לסעיף 7(ב)(3) לחוק שירות הביטחון הכללי, התשס"ב-2002 (להלן-חוק השב"כ), ולכללים שהותקנו שמכוחו."</w:t>
      </w:r>
    </w:p>
    <w:p w14:paraId="0AF18C89" w14:textId="77777777" w:rsidR="00F90E80" w:rsidRPr="00F90E80" w:rsidRDefault="00F90E80" w:rsidP="00F90E80">
      <w:pPr>
        <w:numPr>
          <w:ilvl w:val="0"/>
          <w:numId w:val="25"/>
        </w:numPr>
        <w:autoSpaceDE w:val="0"/>
        <w:autoSpaceDN w:val="0"/>
        <w:adjustRightInd w:val="0"/>
        <w:spacing w:before="240" w:after="240" w:line="240" w:lineRule="auto"/>
        <w:ind w:left="1134" w:right="567"/>
        <w:contextualSpacing w:val="0"/>
        <w:textAlignment w:val="center"/>
        <w:rPr>
          <w:rFonts w:eastAsia="MS Mincho"/>
          <w:color w:val="000000"/>
          <w:spacing w:val="1"/>
          <w:sz w:val="26"/>
          <w:szCs w:val="26"/>
          <w:rtl/>
          <w:lang w:eastAsia="ja-JP"/>
        </w:rPr>
      </w:pPr>
      <w:r w:rsidRPr="00F90E80">
        <w:rPr>
          <w:rFonts w:eastAsia="MS Mincho"/>
          <w:color w:val="000000"/>
          <w:spacing w:val="1"/>
          <w:sz w:val="26"/>
          <w:szCs w:val="26"/>
          <w:rtl/>
          <w:lang w:eastAsia="ja-JP"/>
        </w:rPr>
        <w:t xml:space="preserve">"הסדר חוקי זה גובש על יסוד המלצות ועדת לוין, אשר גובשו תחילה לכדי החלטת ממשלה (החלטה מס' 2978 מיום 14.12.1997), ולאחר מכן עוגנו כאמור בחוק השב"כ ובחקיקת-משנה מכוחו. ביסוד המלצות הועדה וההסדר החוקי שנקבע בעקבותיה עומדת התפיסה וההכרה כי </w:t>
      </w:r>
      <w:r w:rsidRPr="00F90E80">
        <w:rPr>
          <w:rFonts w:eastAsia="MS Mincho"/>
          <w:b/>
          <w:bCs/>
          <w:color w:val="000000"/>
          <w:spacing w:val="1"/>
          <w:sz w:val="26"/>
          <w:szCs w:val="26"/>
          <w:u w:val="single"/>
          <w:rtl/>
          <w:lang w:eastAsia="ja-JP"/>
        </w:rPr>
        <w:t>האינטרס הציבורי החיוני שבמניעת פגיעה בבטחון המדינה</w:t>
      </w:r>
      <w:r w:rsidRPr="00F90E80">
        <w:rPr>
          <w:rFonts w:eastAsia="MS Mincho"/>
          <w:color w:val="000000"/>
          <w:spacing w:val="1"/>
          <w:sz w:val="26"/>
          <w:szCs w:val="26"/>
          <w:rtl/>
          <w:lang w:eastAsia="ja-JP"/>
        </w:rPr>
        <w:t>, מצדיק, בתנאים ובסייגים שנקבעו, עריכת בדיקות פוליגרף במסגרת הליך סינון בטחון לקבוצה מוגדרת ומוגבלת של נושאי תפקידים בשירות הציבורי. יודגש, כי הסדר זה הוא הסדר ממצה, ואין לבצע בדיקת פוליגרף נוהלית לצרכי סינון בטחון שאינה מותרת בו במפורש." (ההדגשה לא במקור)</w:t>
      </w:r>
    </w:p>
    <w:p w14:paraId="6FA90BEE" w14:textId="77777777" w:rsidR="00F90E80" w:rsidRDefault="00F90E80" w:rsidP="00F90E80">
      <w:pPr>
        <w:numPr>
          <w:ilvl w:val="0"/>
          <w:numId w:val="25"/>
        </w:numPr>
        <w:autoSpaceDE w:val="0"/>
        <w:autoSpaceDN w:val="0"/>
        <w:adjustRightInd w:val="0"/>
        <w:spacing w:before="240" w:after="240" w:line="240" w:lineRule="auto"/>
        <w:ind w:left="1134" w:right="567"/>
        <w:contextualSpacing w:val="0"/>
        <w:textAlignment w:val="center"/>
        <w:rPr>
          <w:rFonts w:eastAsia="MS Mincho"/>
          <w:color w:val="000000"/>
          <w:spacing w:val="1"/>
          <w:sz w:val="26"/>
          <w:szCs w:val="26"/>
          <w:lang w:eastAsia="ja-JP"/>
        </w:rPr>
      </w:pPr>
      <w:r w:rsidRPr="00F90E80">
        <w:rPr>
          <w:rFonts w:eastAsia="MS Mincho"/>
          <w:color w:val="000000"/>
          <w:spacing w:val="1"/>
          <w:sz w:val="26"/>
          <w:szCs w:val="26"/>
          <w:rtl/>
          <w:lang w:eastAsia="ja-JP"/>
        </w:rPr>
        <w:t>"בהעדר הסמכה חוקית כאמור, אין לערוך בדיקות פוליגרף נוהליות בכל תחום אחר, או לכל מטרה אחרת, בין כתנאי לקבלה לעבודה או לקידום במסגרת שירות המדינה, ובין כתנאי לקבלת רשיון או אישור או כל זכות אחרת."</w:t>
      </w:r>
    </w:p>
    <w:p w14:paraId="06B81184" w14:textId="77777777" w:rsidR="00D634F9" w:rsidRDefault="00D634F9" w:rsidP="00D634F9">
      <w:pPr>
        <w:autoSpaceDE w:val="0"/>
        <w:autoSpaceDN w:val="0"/>
        <w:adjustRightInd w:val="0"/>
        <w:spacing w:before="240" w:after="240" w:line="240" w:lineRule="auto"/>
        <w:ind w:right="567"/>
        <w:contextualSpacing w:val="0"/>
        <w:textAlignment w:val="center"/>
        <w:rPr>
          <w:rFonts w:eastAsia="MS Mincho"/>
          <w:color w:val="000000"/>
          <w:spacing w:val="1"/>
          <w:sz w:val="26"/>
          <w:szCs w:val="26"/>
          <w:rtl/>
          <w:lang w:eastAsia="ja-JP"/>
        </w:rPr>
      </w:pPr>
    </w:p>
    <w:p w14:paraId="5E849A1E" w14:textId="77777777" w:rsidR="00D634F9" w:rsidRDefault="00D634F9" w:rsidP="00D634F9">
      <w:pPr>
        <w:autoSpaceDE w:val="0"/>
        <w:autoSpaceDN w:val="0"/>
        <w:adjustRightInd w:val="0"/>
        <w:spacing w:before="240" w:after="240" w:line="240" w:lineRule="auto"/>
        <w:ind w:right="567"/>
        <w:contextualSpacing w:val="0"/>
        <w:textAlignment w:val="center"/>
        <w:rPr>
          <w:rFonts w:eastAsia="MS Mincho"/>
          <w:color w:val="000000"/>
          <w:spacing w:val="1"/>
          <w:sz w:val="26"/>
          <w:szCs w:val="26"/>
          <w:rtl/>
          <w:lang w:eastAsia="ja-JP"/>
        </w:rPr>
      </w:pPr>
    </w:p>
    <w:p w14:paraId="20194E56" w14:textId="77777777" w:rsidR="00D634F9" w:rsidRPr="00F90E80" w:rsidRDefault="00D634F9" w:rsidP="00D634F9">
      <w:pPr>
        <w:autoSpaceDE w:val="0"/>
        <w:autoSpaceDN w:val="0"/>
        <w:adjustRightInd w:val="0"/>
        <w:spacing w:before="240" w:after="240" w:line="240" w:lineRule="auto"/>
        <w:ind w:right="567"/>
        <w:contextualSpacing w:val="0"/>
        <w:textAlignment w:val="center"/>
        <w:rPr>
          <w:rFonts w:eastAsia="MS Mincho"/>
          <w:color w:val="000000"/>
          <w:spacing w:val="1"/>
          <w:sz w:val="26"/>
          <w:szCs w:val="26"/>
          <w:lang w:eastAsia="ja-JP"/>
        </w:rPr>
      </w:pPr>
    </w:p>
    <w:p w14:paraId="433B9116" w14:textId="77777777" w:rsidR="00F90E80" w:rsidRPr="00F90E80" w:rsidRDefault="00F90E80" w:rsidP="00F90E80">
      <w:pPr>
        <w:widowControl/>
        <w:numPr>
          <w:ilvl w:val="0"/>
          <w:numId w:val="26"/>
        </w:numPr>
        <w:autoSpaceDE w:val="0"/>
        <w:autoSpaceDN w:val="0"/>
        <w:adjustRightInd w:val="0"/>
        <w:spacing w:before="240" w:after="240" w:line="240" w:lineRule="auto"/>
        <w:ind w:left="927" w:right="567"/>
        <w:contextualSpacing w:val="0"/>
        <w:jc w:val="left"/>
        <w:textAlignment w:val="center"/>
        <w:rPr>
          <w:rFonts w:eastAsia="Times New Roman"/>
          <w:sz w:val="26"/>
          <w:szCs w:val="26"/>
          <w:u w:val="single"/>
          <w:rtl/>
        </w:rPr>
      </w:pPr>
      <w:r w:rsidRPr="00F90E80">
        <w:rPr>
          <w:rFonts w:eastAsia="Times New Roman"/>
          <w:sz w:val="26"/>
          <w:szCs w:val="26"/>
          <w:u w:val="single"/>
          <w:rtl/>
        </w:rPr>
        <w:lastRenderedPageBreak/>
        <w:t xml:space="preserve">סיכום </w:t>
      </w:r>
    </w:p>
    <w:p w14:paraId="5F39DAEC" w14:textId="29D1CD3E" w:rsidR="00F90E80" w:rsidRPr="00F90E80" w:rsidRDefault="00F90E80" w:rsidP="001D524B">
      <w:pPr>
        <w:autoSpaceDE w:val="0"/>
        <w:autoSpaceDN w:val="0"/>
        <w:adjustRightInd w:val="0"/>
        <w:spacing w:before="240" w:after="240" w:line="240" w:lineRule="auto"/>
        <w:ind w:left="425"/>
        <w:contextualSpacing w:val="0"/>
        <w:textAlignment w:val="center"/>
        <w:rPr>
          <w:rFonts w:eastAsia="MS Mincho"/>
          <w:color w:val="000000"/>
          <w:spacing w:val="1"/>
          <w:sz w:val="26"/>
          <w:szCs w:val="26"/>
          <w:lang w:eastAsia="ja-JP"/>
        </w:rPr>
      </w:pPr>
      <w:r w:rsidRPr="00F90E80">
        <w:rPr>
          <w:rFonts w:eastAsia="MS Mincho"/>
          <w:color w:val="000000"/>
          <w:spacing w:val="1"/>
          <w:sz w:val="26"/>
          <w:szCs w:val="26"/>
          <w:rtl/>
          <w:lang w:eastAsia="ja-JP"/>
        </w:rPr>
        <w:t>לעמדת המל"ל, תופעת ההדלפות מדיוני ה</w:t>
      </w:r>
      <w:r w:rsidR="001D524B">
        <w:rPr>
          <w:rFonts w:eastAsia="MS Mincho"/>
          <w:color w:val="000000"/>
          <w:spacing w:val="1"/>
          <w:sz w:val="26"/>
          <w:szCs w:val="26"/>
          <w:rtl/>
          <w:lang w:eastAsia="ja-JP"/>
        </w:rPr>
        <w:t>קבינט המדיני-ביטחוני גורמת ל</w:t>
      </w:r>
      <w:r w:rsidR="001D524B">
        <w:rPr>
          <w:rFonts w:eastAsia="MS Mincho" w:hint="cs"/>
          <w:color w:val="000000"/>
          <w:spacing w:val="1"/>
          <w:sz w:val="26"/>
          <w:szCs w:val="26"/>
          <w:rtl/>
          <w:lang w:eastAsia="ja-JP"/>
        </w:rPr>
        <w:t xml:space="preserve">פגיעה חמורה </w:t>
      </w:r>
      <w:r w:rsidRPr="00F90E80">
        <w:rPr>
          <w:rFonts w:eastAsia="MS Mincho"/>
          <w:color w:val="000000"/>
          <w:spacing w:val="1"/>
          <w:sz w:val="26"/>
          <w:szCs w:val="26"/>
          <w:rtl/>
          <w:lang w:eastAsia="ja-JP"/>
        </w:rPr>
        <w:t>ביותר</w:t>
      </w:r>
      <w:r w:rsidR="001D524B">
        <w:rPr>
          <w:rFonts w:eastAsia="MS Mincho" w:hint="cs"/>
          <w:color w:val="000000"/>
          <w:spacing w:val="1"/>
          <w:sz w:val="26"/>
          <w:szCs w:val="26"/>
          <w:rtl/>
          <w:lang w:eastAsia="ja-JP"/>
        </w:rPr>
        <w:t xml:space="preserve"> לביטחון הלאומי של מדינת ישראל</w:t>
      </w:r>
      <w:r w:rsidRPr="00F90E80">
        <w:rPr>
          <w:rFonts w:eastAsia="MS Mincho"/>
          <w:color w:val="000000"/>
          <w:spacing w:val="1"/>
          <w:sz w:val="26"/>
          <w:szCs w:val="26"/>
          <w:rtl/>
          <w:lang w:eastAsia="ja-JP"/>
        </w:rPr>
        <w:t xml:space="preserve">, במיוחד בעת מלחמה, בשני מישורים עיקריים: </w:t>
      </w:r>
    </w:p>
    <w:p w14:paraId="49907915" w14:textId="77777777" w:rsidR="00F90E80" w:rsidRPr="00F90E80" w:rsidRDefault="00F90E80" w:rsidP="00F90E80">
      <w:pPr>
        <w:numPr>
          <w:ilvl w:val="0"/>
          <w:numId w:val="25"/>
        </w:numPr>
        <w:autoSpaceDE w:val="0"/>
        <w:autoSpaceDN w:val="0"/>
        <w:adjustRightInd w:val="0"/>
        <w:spacing w:before="240" w:after="240" w:line="240" w:lineRule="auto"/>
        <w:ind w:left="1134" w:right="567"/>
        <w:contextualSpacing w:val="0"/>
        <w:textAlignment w:val="center"/>
        <w:rPr>
          <w:rFonts w:eastAsia="MS Mincho"/>
          <w:color w:val="000000"/>
          <w:spacing w:val="1"/>
          <w:sz w:val="26"/>
          <w:szCs w:val="26"/>
          <w:lang w:eastAsia="ja-JP"/>
        </w:rPr>
      </w:pPr>
      <w:r w:rsidRPr="00F90E80">
        <w:rPr>
          <w:rFonts w:eastAsia="MS Mincho"/>
          <w:color w:val="000000"/>
          <w:spacing w:val="1"/>
          <w:sz w:val="26"/>
          <w:szCs w:val="26"/>
          <w:u w:val="single"/>
          <w:rtl/>
          <w:lang w:eastAsia="ja-JP"/>
        </w:rPr>
        <w:t>פגיעה משמעותית בביטחון המדינה וביחסי החוץ שלה</w:t>
      </w:r>
      <w:r w:rsidRPr="00F90E80">
        <w:rPr>
          <w:rFonts w:eastAsia="MS Mincho"/>
          <w:color w:val="000000"/>
          <w:spacing w:val="1"/>
          <w:sz w:val="26"/>
          <w:szCs w:val="26"/>
          <w:rtl/>
          <w:lang w:eastAsia="ja-JP"/>
        </w:rPr>
        <w:t xml:space="preserve"> - לאור חשיפת מידע מדיוני הקבינט שמגיע גם לידי האויב; </w:t>
      </w:r>
    </w:p>
    <w:p w14:paraId="4682034E" w14:textId="77777777" w:rsidR="00F90E80" w:rsidRPr="00F90E80" w:rsidRDefault="00F90E80" w:rsidP="00F90E80">
      <w:pPr>
        <w:numPr>
          <w:ilvl w:val="0"/>
          <w:numId w:val="25"/>
        </w:numPr>
        <w:autoSpaceDE w:val="0"/>
        <w:autoSpaceDN w:val="0"/>
        <w:adjustRightInd w:val="0"/>
        <w:spacing w:before="240" w:after="240" w:line="240" w:lineRule="auto"/>
        <w:ind w:left="1134" w:right="567"/>
        <w:contextualSpacing w:val="0"/>
        <w:textAlignment w:val="center"/>
        <w:rPr>
          <w:rFonts w:eastAsia="MS Mincho"/>
          <w:color w:val="000000"/>
          <w:spacing w:val="1"/>
          <w:sz w:val="26"/>
          <w:szCs w:val="26"/>
          <w:lang w:eastAsia="ja-JP"/>
        </w:rPr>
      </w:pPr>
      <w:r w:rsidRPr="00F90E80">
        <w:rPr>
          <w:rFonts w:eastAsia="MS Mincho"/>
          <w:color w:val="000000"/>
          <w:spacing w:val="1"/>
          <w:sz w:val="26"/>
          <w:szCs w:val="26"/>
          <w:u w:val="single"/>
          <w:rtl/>
          <w:lang w:eastAsia="ja-JP"/>
        </w:rPr>
        <w:t>פגיעה משמעותית בתהליך קבלת ההחלטות של הקבינט</w:t>
      </w:r>
      <w:r w:rsidRPr="00F90E80">
        <w:rPr>
          <w:rFonts w:eastAsia="MS Mincho"/>
          <w:color w:val="000000"/>
          <w:spacing w:val="1"/>
          <w:sz w:val="26"/>
          <w:szCs w:val="26"/>
          <w:rtl/>
          <w:lang w:eastAsia="ja-JP"/>
        </w:rPr>
        <w:t xml:space="preserve"> - לנוכח הקושי לקיים שיח פתוח, אמין ואפקטיבי במסגרת דיוניו</w:t>
      </w:r>
      <w:r w:rsidRPr="00F90E80">
        <w:rPr>
          <w:rFonts w:eastAsia="MS Mincho" w:hint="cs"/>
          <w:color w:val="000000"/>
          <w:spacing w:val="1"/>
          <w:sz w:val="26"/>
          <w:szCs w:val="26"/>
          <w:rtl/>
          <w:lang w:eastAsia="ja-JP"/>
        </w:rPr>
        <w:t xml:space="preserve"> (קרי, "האפקט המצנן")</w:t>
      </w:r>
      <w:r w:rsidRPr="00F90E80">
        <w:rPr>
          <w:rFonts w:eastAsia="MS Mincho"/>
          <w:color w:val="000000"/>
          <w:spacing w:val="1"/>
          <w:sz w:val="26"/>
          <w:szCs w:val="26"/>
          <w:rtl/>
          <w:lang w:eastAsia="ja-JP"/>
        </w:rPr>
        <w:t>.</w:t>
      </w:r>
    </w:p>
    <w:p w14:paraId="04C597AA" w14:textId="3FC7D031" w:rsidR="00F90E80" w:rsidRPr="00F90E80" w:rsidRDefault="00F90E80" w:rsidP="00F90E80">
      <w:pPr>
        <w:tabs>
          <w:tab w:val="left" w:pos="680"/>
          <w:tab w:val="left" w:pos="1020"/>
        </w:tabs>
        <w:autoSpaceDE w:val="0"/>
        <w:autoSpaceDN w:val="0"/>
        <w:adjustRightInd w:val="0"/>
        <w:snapToGrid w:val="0"/>
        <w:spacing w:before="240" w:after="240" w:line="240" w:lineRule="auto"/>
        <w:ind w:left="425"/>
        <w:contextualSpacing w:val="0"/>
        <w:textAlignment w:val="center"/>
        <w:rPr>
          <w:rFonts w:eastAsia="Arial Unicode MS"/>
          <w:b/>
          <w:bCs/>
          <w:snapToGrid w:val="0"/>
          <w:color w:val="000000"/>
          <w:sz w:val="26"/>
          <w:szCs w:val="26"/>
          <w:lang w:eastAsia="ja-JP"/>
        </w:rPr>
      </w:pPr>
      <w:r w:rsidRPr="00F90E80">
        <w:rPr>
          <w:rFonts w:eastAsia="Arial Unicode MS"/>
          <w:snapToGrid w:val="0"/>
          <w:color w:val="000000"/>
          <w:sz w:val="26"/>
          <w:szCs w:val="26"/>
          <w:rtl/>
          <w:lang w:eastAsia="ja-JP"/>
        </w:rPr>
        <w:t xml:space="preserve">תזכיר החוק מקודם לאור אירועי הדלפות רבים בשנים האחרונות מדיוני הקבינט, לרבות בעת האחרונה בתקופת המלחמה, שגרמו לנזק ביטחוני חמור </w:t>
      </w:r>
      <w:r w:rsidRPr="00F90E80">
        <w:rPr>
          <w:rFonts w:eastAsia="Arial Unicode MS" w:hint="cs"/>
          <w:snapToGrid w:val="0"/>
          <w:color w:val="000000"/>
          <w:sz w:val="26"/>
          <w:szCs w:val="26"/>
          <w:rtl/>
          <w:lang w:eastAsia="ja-JP"/>
        </w:rPr>
        <w:t>ביותר</w:t>
      </w:r>
      <w:r w:rsidRPr="00F90E80">
        <w:rPr>
          <w:rFonts w:eastAsia="Arial Unicode MS"/>
          <w:snapToGrid w:val="0"/>
          <w:color w:val="000000"/>
          <w:sz w:val="26"/>
          <w:szCs w:val="26"/>
          <w:rtl/>
          <w:lang w:eastAsia="ja-JP"/>
        </w:rPr>
        <w:t xml:space="preserve">; וכן לנוכח מסקנת עבודת המטה שהתבצעה במל"ל לפיה הכלים הקיימים להתמודד עם תופעת ההדלפות </w:t>
      </w:r>
      <w:r w:rsidRPr="00F90E80">
        <w:rPr>
          <w:rFonts w:eastAsia="Arial Unicode MS"/>
          <w:b/>
          <w:bCs/>
          <w:snapToGrid w:val="0"/>
          <w:color w:val="000000"/>
          <w:sz w:val="26"/>
          <w:szCs w:val="26"/>
          <w:rtl/>
          <w:lang w:eastAsia="ja-JP"/>
        </w:rPr>
        <w:t>לא נותנים מענה</w:t>
      </w:r>
      <w:r w:rsidR="00695D6E">
        <w:rPr>
          <w:rFonts w:eastAsia="Arial Unicode MS"/>
          <w:b/>
          <w:bCs/>
          <w:snapToGrid w:val="0"/>
          <w:color w:val="000000"/>
          <w:sz w:val="26"/>
          <w:szCs w:val="26"/>
          <w:rtl/>
          <w:lang w:eastAsia="ja-JP"/>
        </w:rPr>
        <w:t xml:space="preserve"> אפקטיבי לעצירת התופעה</w:t>
      </w:r>
      <w:r w:rsidRPr="00F90E80">
        <w:rPr>
          <w:rFonts w:eastAsia="Arial Unicode MS"/>
          <w:b/>
          <w:bCs/>
          <w:snapToGrid w:val="0"/>
          <w:color w:val="000000"/>
          <w:sz w:val="26"/>
          <w:szCs w:val="26"/>
          <w:rtl/>
          <w:lang w:eastAsia="ja-JP"/>
        </w:rPr>
        <w:t xml:space="preserve">. </w:t>
      </w:r>
    </w:p>
    <w:p w14:paraId="2B57FD72" w14:textId="77777777" w:rsidR="00F90E80" w:rsidRPr="00F90E80" w:rsidRDefault="00F90E80" w:rsidP="00F90E80">
      <w:pPr>
        <w:tabs>
          <w:tab w:val="left" w:pos="680"/>
          <w:tab w:val="left" w:pos="1020"/>
        </w:tabs>
        <w:autoSpaceDE w:val="0"/>
        <w:autoSpaceDN w:val="0"/>
        <w:adjustRightInd w:val="0"/>
        <w:snapToGrid w:val="0"/>
        <w:spacing w:before="240" w:after="240" w:line="240" w:lineRule="auto"/>
        <w:ind w:left="425"/>
        <w:contextualSpacing w:val="0"/>
        <w:textAlignment w:val="center"/>
        <w:rPr>
          <w:rFonts w:eastAsia="Arial Unicode MS"/>
          <w:snapToGrid w:val="0"/>
          <w:color w:val="000000"/>
          <w:sz w:val="26"/>
          <w:szCs w:val="26"/>
          <w:rtl/>
          <w:lang w:eastAsia="ja-JP"/>
        </w:rPr>
      </w:pPr>
      <w:r w:rsidRPr="00F90E80">
        <w:rPr>
          <w:rFonts w:eastAsia="Arial Unicode MS"/>
          <w:snapToGrid w:val="0"/>
          <w:color w:val="000000"/>
          <w:sz w:val="26"/>
          <w:szCs w:val="26"/>
          <w:rtl/>
          <w:lang w:eastAsia="ja-JP"/>
        </w:rPr>
        <w:t xml:space="preserve">לסיכום, </w:t>
      </w:r>
      <w:r w:rsidRPr="00F90E80">
        <w:rPr>
          <w:rFonts w:eastAsia="Arial Unicode MS"/>
          <w:b/>
          <w:bCs/>
          <w:snapToGrid w:val="0"/>
          <w:color w:val="000000"/>
          <w:sz w:val="26"/>
          <w:szCs w:val="26"/>
          <w:rtl/>
          <w:lang w:eastAsia="ja-JP"/>
        </w:rPr>
        <w:t>קיים אינטרס ציבורי חיוני גובר, בעיקר בעת מלחמה</w:t>
      </w:r>
      <w:r w:rsidRPr="00F90E80">
        <w:rPr>
          <w:rFonts w:eastAsia="Arial Unicode MS"/>
          <w:snapToGrid w:val="0"/>
          <w:color w:val="000000"/>
          <w:sz w:val="26"/>
          <w:szCs w:val="26"/>
          <w:rtl/>
          <w:lang w:eastAsia="ja-JP"/>
        </w:rPr>
        <w:t>,</w:t>
      </w:r>
      <w:r w:rsidRPr="00F90E80">
        <w:rPr>
          <w:rFonts w:eastAsia="Arial Unicode MS"/>
          <w:b/>
          <w:bCs/>
          <w:snapToGrid w:val="0"/>
          <w:color w:val="000000"/>
          <w:sz w:val="26"/>
          <w:szCs w:val="26"/>
          <w:rtl/>
          <w:lang w:eastAsia="ja-JP"/>
        </w:rPr>
        <w:t xml:space="preserve"> לקדם </w:t>
      </w:r>
      <w:r w:rsidRPr="00F90E80">
        <w:rPr>
          <w:rFonts w:eastAsia="Arial Unicode MS" w:hint="cs"/>
          <w:b/>
          <w:bCs/>
          <w:snapToGrid w:val="0"/>
          <w:color w:val="000000"/>
          <w:sz w:val="26"/>
          <w:szCs w:val="26"/>
          <w:rtl/>
          <w:lang w:eastAsia="ja-JP"/>
        </w:rPr>
        <w:t>את ה</w:t>
      </w:r>
      <w:r w:rsidRPr="00F90E80">
        <w:rPr>
          <w:rFonts w:eastAsia="Arial Unicode MS"/>
          <w:b/>
          <w:bCs/>
          <w:snapToGrid w:val="0"/>
          <w:color w:val="000000"/>
          <w:sz w:val="26"/>
          <w:szCs w:val="26"/>
          <w:rtl/>
          <w:lang w:eastAsia="ja-JP"/>
        </w:rPr>
        <w:t>חוק</w:t>
      </w:r>
      <w:r w:rsidRPr="00F90E80">
        <w:rPr>
          <w:rFonts w:eastAsia="Arial Unicode MS" w:hint="cs"/>
          <w:b/>
          <w:bCs/>
          <w:snapToGrid w:val="0"/>
          <w:color w:val="000000"/>
          <w:sz w:val="26"/>
          <w:szCs w:val="26"/>
          <w:rtl/>
          <w:lang w:eastAsia="ja-JP"/>
        </w:rPr>
        <w:t xml:space="preserve"> האמור</w:t>
      </w:r>
      <w:r w:rsidRPr="00F90E80">
        <w:rPr>
          <w:rFonts w:eastAsia="Arial Unicode MS"/>
          <w:b/>
          <w:bCs/>
          <w:snapToGrid w:val="0"/>
          <w:color w:val="000000"/>
          <w:sz w:val="26"/>
          <w:szCs w:val="26"/>
          <w:rtl/>
          <w:lang w:eastAsia="ja-JP"/>
        </w:rPr>
        <w:t xml:space="preserve"> לצורך </w:t>
      </w:r>
      <w:r w:rsidRPr="00F90E80">
        <w:rPr>
          <w:rFonts w:eastAsia="Arial Unicode MS" w:hint="cs"/>
          <w:b/>
          <w:bCs/>
          <w:snapToGrid w:val="0"/>
          <w:color w:val="000000"/>
          <w:sz w:val="26"/>
          <w:szCs w:val="26"/>
          <w:rtl/>
          <w:lang w:eastAsia="ja-JP"/>
        </w:rPr>
        <w:t>הגשמת</w:t>
      </w:r>
      <w:r w:rsidRPr="00F90E80">
        <w:rPr>
          <w:rFonts w:eastAsia="Arial Unicode MS"/>
          <w:b/>
          <w:bCs/>
          <w:snapToGrid w:val="0"/>
          <w:color w:val="000000"/>
          <w:sz w:val="26"/>
          <w:szCs w:val="26"/>
          <w:rtl/>
          <w:lang w:eastAsia="ja-JP"/>
        </w:rPr>
        <w:t xml:space="preserve"> התכליות הבאות</w:t>
      </w:r>
      <w:r w:rsidRPr="00F90E80">
        <w:rPr>
          <w:rFonts w:eastAsia="Arial Unicode MS" w:hint="cs"/>
          <w:b/>
          <w:bCs/>
          <w:snapToGrid w:val="0"/>
          <w:color w:val="000000"/>
          <w:sz w:val="26"/>
          <w:szCs w:val="26"/>
          <w:rtl/>
          <w:lang w:eastAsia="ja-JP"/>
        </w:rPr>
        <w:t>:</w:t>
      </w:r>
      <w:r w:rsidRPr="00F90E80">
        <w:rPr>
          <w:rFonts w:eastAsia="Arial Unicode MS"/>
          <w:b/>
          <w:bCs/>
          <w:snapToGrid w:val="0"/>
          <w:color w:val="000000"/>
          <w:sz w:val="26"/>
          <w:szCs w:val="26"/>
          <w:rtl/>
          <w:lang w:eastAsia="ja-JP"/>
        </w:rPr>
        <w:t xml:space="preserve"> מניעת פגיעה בביטחון וביחסי החוץ של המדינה ובתהליך קבלת ההחלטות של הקבינט</w:t>
      </w:r>
      <w:r w:rsidRPr="00F90E80">
        <w:rPr>
          <w:rFonts w:eastAsia="Arial Unicode MS"/>
          <w:snapToGrid w:val="0"/>
          <w:color w:val="000000"/>
          <w:sz w:val="26"/>
          <w:szCs w:val="26"/>
          <w:rtl/>
          <w:lang w:eastAsia="ja-JP"/>
        </w:rPr>
        <w:t xml:space="preserve">.  </w:t>
      </w:r>
    </w:p>
    <w:p w14:paraId="69A2CA17" w14:textId="77777777" w:rsidR="00F90E80" w:rsidRPr="00F90E80" w:rsidRDefault="00F90E80" w:rsidP="00F90E80">
      <w:pPr>
        <w:autoSpaceDE w:val="0"/>
        <w:autoSpaceDN w:val="0"/>
        <w:adjustRightInd w:val="0"/>
        <w:spacing w:before="240" w:after="240" w:line="240" w:lineRule="auto"/>
        <w:ind w:left="567" w:right="567"/>
        <w:contextualSpacing w:val="0"/>
        <w:textAlignment w:val="center"/>
        <w:rPr>
          <w:rFonts w:eastAsia="MS Mincho"/>
          <w:b/>
          <w:bCs/>
          <w:color w:val="000000"/>
          <w:spacing w:val="1"/>
          <w:sz w:val="26"/>
          <w:szCs w:val="26"/>
          <w:u w:val="single"/>
          <w:rtl/>
          <w:lang w:eastAsia="ja-JP"/>
        </w:rPr>
      </w:pPr>
    </w:p>
    <w:p w14:paraId="252FBFBB" w14:textId="77777777" w:rsidR="00F90E80" w:rsidRPr="00F90E80" w:rsidRDefault="00F90E80" w:rsidP="000B64A6">
      <w:pPr>
        <w:tabs>
          <w:tab w:val="left" w:pos="680"/>
          <w:tab w:val="left" w:pos="1020"/>
        </w:tabs>
        <w:autoSpaceDE w:val="0"/>
        <w:autoSpaceDN w:val="0"/>
        <w:adjustRightInd w:val="0"/>
        <w:snapToGrid w:val="0"/>
        <w:spacing w:before="240" w:after="240" w:line="240" w:lineRule="auto"/>
        <w:ind w:left="425"/>
        <w:contextualSpacing w:val="0"/>
        <w:textAlignment w:val="center"/>
        <w:rPr>
          <w:rFonts w:eastAsia="MS Mincho"/>
          <w:b/>
          <w:bCs/>
          <w:color w:val="000000"/>
          <w:spacing w:val="1"/>
          <w:sz w:val="26"/>
          <w:szCs w:val="26"/>
          <w:u w:val="single"/>
          <w:rtl/>
          <w:lang w:eastAsia="ja-JP"/>
        </w:rPr>
      </w:pPr>
      <w:r w:rsidRPr="00F90E80">
        <w:rPr>
          <w:rFonts w:eastAsia="MS Mincho"/>
          <w:b/>
          <w:bCs/>
          <w:color w:val="000000"/>
          <w:spacing w:val="1"/>
          <w:sz w:val="26"/>
          <w:szCs w:val="26"/>
          <w:u w:val="single"/>
          <w:rtl/>
          <w:lang w:eastAsia="ja-JP"/>
        </w:rPr>
        <w:t>דברי הסבר לסעיפי תזכיר החוק</w:t>
      </w:r>
    </w:p>
    <w:p w14:paraId="1B3310D4" w14:textId="77777777" w:rsidR="00101EEA" w:rsidRPr="00F90E80" w:rsidRDefault="00101EEA" w:rsidP="00FB08E1">
      <w:pPr>
        <w:tabs>
          <w:tab w:val="left" w:pos="680"/>
          <w:tab w:val="left" w:pos="1020"/>
        </w:tabs>
        <w:autoSpaceDE w:val="0"/>
        <w:autoSpaceDN w:val="0"/>
        <w:adjustRightInd w:val="0"/>
        <w:snapToGrid w:val="0"/>
        <w:spacing w:before="240" w:after="240" w:line="240" w:lineRule="auto"/>
        <w:ind w:left="425"/>
        <w:contextualSpacing w:val="0"/>
        <w:textAlignment w:val="center"/>
        <w:rPr>
          <w:rFonts w:eastAsia="Arial Unicode MS"/>
          <w:snapToGrid w:val="0"/>
          <w:color w:val="000000"/>
          <w:sz w:val="26"/>
          <w:szCs w:val="26"/>
          <w:rtl/>
          <w:lang w:eastAsia="ja-JP"/>
        </w:rPr>
      </w:pPr>
      <w:r w:rsidRPr="00F90E80">
        <w:rPr>
          <w:rFonts w:eastAsia="Arial Unicode MS"/>
          <w:snapToGrid w:val="0"/>
          <w:color w:val="000000"/>
          <w:sz w:val="26"/>
          <w:szCs w:val="26"/>
          <w:rtl/>
          <w:lang w:eastAsia="ja-JP"/>
        </w:rPr>
        <w:t>פסקה (א)</w:t>
      </w:r>
    </w:p>
    <w:p w14:paraId="11194918" w14:textId="4CBB8931" w:rsidR="00101EEA" w:rsidRPr="00F90E80" w:rsidRDefault="00FD4426" w:rsidP="00FD4426">
      <w:pPr>
        <w:tabs>
          <w:tab w:val="left" w:pos="680"/>
          <w:tab w:val="left" w:pos="1020"/>
        </w:tabs>
        <w:autoSpaceDE w:val="0"/>
        <w:autoSpaceDN w:val="0"/>
        <w:adjustRightInd w:val="0"/>
        <w:snapToGrid w:val="0"/>
        <w:spacing w:before="240" w:after="240" w:line="240" w:lineRule="auto"/>
        <w:ind w:left="425"/>
        <w:contextualSpacing w:val="0"/>
        <w:textAlignment w:val="center"/>
        <w:rPr>
          <w:rFonts w:eastAsia="Arial Unicode MS"/>
          <w:snapToGrid w:val="0"/>
          <w:color w:val="000000"/>
          <w:sz w:val="26"/>
          <w:szCs w:val="26"/>
          <w:rtl/>
          <w:lang w:eastAsia="ja-JP"/>
        </w:rPr>
      </w:pPr>
      <w:r w:rsidRPr="00F90E80">
        <w:rPr>
          <w:rFonts w:eastAsia="Arial Unicode MS"/>
          <w:snapToGrid w:val="0"/>
          <w:color w:val="000000"/>
          <w:sz w:val="26"/>
          <w:szCs w:val="26"/>
          <w:rtl/>
          <w:lang w:eastAsia="ja-JP"/>
        </w:rPr>
        <w:t xml:space="preserve">חרף </w:t>
      </w:r>
      <w:r w:rsidR="003F4FED">
        <w:rPr>
          <w:rFonts w:eastAsia="Arial Unicode MS"/>
          <w:snapToGrid w:val="0"/>
          <w:color w:val="000000"/>
          <w:sz w:val="26"/>
          <w:szCs w:val="26"/>
          <w:rtl/>
          <w:lang w:eastAsia="ja-JP"/>
        </w:rPr>
        <w:t>ההחרגה בסעיף 7(ב)(3) בחוק השב"כ</w:t>
      </w:r>
      <w:r w:rsidRPr="00F90E80">
        <w:rPr>
          <w:rFonts w:eastAsia="Arial Unicode MS"/>
          <w:snapToGrid w:val="0"/>
          <w:color w:val="000000"/>
          <w:sz w:val="26"/>
          <w:szCs w:val="26"/>
          <w:rtl/>
          <w:lang w:eastAsia="ja-JP"/>
        </w:rPr>
        <w:t xml:space="preserve"> לפיה השירות לא יבצע בדיקות התאמה לתפקיד על נבחרי ציבור</w:t>
      </w:r>
      <w:r>
        <w:rPr>
          <w:rFonts w:eastAsia="Arial Unicode MS" w:hint="cs"/>
          <w:snapToGrid w:val="0"/>
          <w:color w:val="000000"/>
          <w:sz w:val="26"/>
          <w:szCs w:val="26"/>
          <w:rtl/>
          <w:lang w:eastAsia="ja-JP"/>
        </w:rPr>
        <w:t xml:space="preserve">, מוצע כי </w:t>
      </w:r>
      <w:r w:rsidR="00101EEA" w:rsidRPr="00F90E80">
        <w:rPr>
          <w:rFonts w:eastAsia="Arial Unicode MS"/>
          <w:snapToGrid w:val="0"/>
          <w:color w:val="000000"/>
          <w:sz w:val="26"/>
          <w:szCs w:val="26"/>
          <w:rtl/>
          <w:lang w:eastAsia="ja-JP"/>
        </w:rPr>
        <w:t xml:space="preserve">השירות </w:t>
      </w:r>
      <w:r w:rsidR="000529FA">
        <w:rPr>
          <w:rFonts w:eastAsia="Arial Unicode MS" w:hint="cs"/>
          <w:snapToGrid w:val="0"/>
          <w:color w:val="000000"/>
          <w:sz w:val="26"/>
          <w:szCs w:val="26"/>
          <w:rtl/>
          <w:lang w:eastAsia="ja-JP"/>
        </w:rPr>
        <w:t>יבצע</w:t>
      </w:r>
      <w:r w:rsidR="00101EEA" w:rsidRPr="00F90E80">
        <w:rPr>
          <w:rFonts w:eastAsia="Arial Unicode MS"/>
          <w:snapToGrid w:val="0"/>
          <w:color w:val="000000"/>
          <w:sz w:val="26"/>
          <w:szCs w:val="26"/>
          <w:rtl/>
          <w:lang w:eastAsia="ja-JP"/>
        </w:rPr>
        <w:t xml:space="preserve"> בדיקה עתית, לרבות על-ידי שימוש בבדיקות פוליגרף, אשר תקבע האם </w:t>
      </w:r>
      <w:r w:rsidR="00101EEA" w:rsidRPr="00F90E80">
        <w:rPr>
          <w:rFonts w:eastAsia="Arial Unicode MS" w:hint="cs"/>
          <w:snapToGrid w:val="0"/>
          <w:color w:val="000000"/>
          <w:sz w:val="26"/>
          <w:szCs w:val="26"/>
          <w:rtl/>
          <w:lang w:eastAsia="ja-JP"/>
        </w:rPr>
        <w:t>עלה חשש ש</w:t>
      </w:r>
      <w:r w:rsidR="00101EEA" w:rsidRPr="00F90E80">
        <w:rPr>
          <w:rFonts w:eastAsia="Arial Unicode MS"/>
          <w:snapToGrid w:val="0"/>
          <w:color w:val="000000"/>
          <w:sz w:val="26"/>
          <w:szCs w:val="26"/>
          <w:rtl/>
          <w:lang w:eastAsia="ja-JP"/>
        </w:rPr>
        <w:t xml:space="preserve">משתתף בדיוני קבינט </w:t>
      </w:r>
      <w:r w:rsidR="00101EEA" w:rsidRPr="00F90E80">
        <w:rPr>
          <w:rFonts w:eastAsia="Arial Unicode MS" w:hint="cs"/>
          <w:snapToGrid w:val="0"/>
          <w:color w:val="000000"/>
          <w:sz w:val="26"/>
          <w:szCs w:val="26"/>
          <w:rtl/>
          <w:lang w:eastAsia="ja-JP"/>
        </w:rPr>
        <w:t>העביר מידע שלא בסמכות</w:t>
      </w:r>
      <w:r w:rsidR="00101EEA" w:rsidRPr="00F90E80">
        <w:rPr>
          <w:rFonts w:eastAsia="Arial Unicode MS"/>
          <w:snapToGrid w:val="0"/>
          <w:color w:val="000000"/>
          <w:sz w:val="26"/>
          <w:szCs w:val="26"/>
          <w:rtl/>
          <w:lang w:eastAsia="ja-JP"/>
        </w:rPr>
        <w:t xml:space="preserve"> (כהגדרת</w:t>
      </w:r>
      <w:r w:rsidR="00101EEA" w:rsidRPr="00F90E80">
        <w:rPr>
          <w:rFonts w:eastAsia="Arial Unicode MS" w:hint="cs"/>
          <w:snapToGrid w:val="0"/>
          <w:color w:val="000000"/>
          <w:sz w:val="26"/>
          <w:szCs w:val="26"/>
          <w:rtl/>
          <w:lang w:eastAsia="ja-JP"/>
        </w:rPr>
        <w:t>ו</w:t>
      </w:r>
      <w:r w:rsidR="00101EEA" w:rsidRPr="00F90E80">
        <w:rPr>
          <w:rFonts w:eastAsia="Arial Unicode MS"/>
          <w:snapToGrid w:val="0"/>
          <w:color w:val="000000"/>
          <w:sz w:val="26"/>
          <w:szCs w:val="26"/>
          <w:rtl/>
          <w:lang w:eastAsia="ja-JP"/>
        </w:rPr>
        <w:t xml:space="preserve"> בסעיף ההגדרות). </w:t>
      </w:r>
    </w:p>
    <w:p w14:paraId="1215DA6A" w14:textId="77777777" w:rsidR="00101EEA" w:rsidRPr="00F90E80" w:rsidRDefault="00101EEA" w:rsidP="00FB08E1">
      <w:pPr>
        <w:tabs>
          <w:tab w:val="left" w:pos="680"/>
          <w:tab w:val="left" w:pos="1020"/>
        </w:tabs>
        <w:autoSpaceDE w:val="0"/>
        <w:autoSpaceDN w:val="0"/>
        <w:adjustRightInd w:val="0"/>
        <w:snapToGrid w:val="0"/>
        <w:spacing w:before="240" w:after="240" w:line="240" w:lineRule="auto"/>
        <w:ind w:left="425"/>
        <w:contextualSpacing w:val="0"/>
        <w:textAlignment w:val="center"/>
        <w:rPr>
          <w:rFonts w:eastAsia="Arial Unicode MS"/>
          <w:snapToGrid w:val="0"/>
          <w:color w:val="000000"/>
          <w:sz w:val="26"/>
          <w:szCs w:val="26"/>
          <w:rtl/>
          <w:lang w:eastAsia="ja-JP"/>
        </w:rPr>
      </w:pPr>
      <w:r w:rsidRPr="00F90E80">
        <w:rPr>
          <w:rFonts w:eastAsia="Arial Unicode MS"/>
          <w:snapToGrid w:val="0"/>
          <w:color w:val="000000"/>
          <w:sz w:val="26"/>
          <w:szCs w:val="26"/>
          <w:rtl/>
          <w:lang w:eastAsia="ja-JP"/>
        </w:rPr>
        <w:t>בהתאם לסעיף ההגדרות, "משתתף בדיוני הקבינט" הינו כל גורם המשתתף דרך קבע בדיוני ועדת השרים לענייני ביטחון לאומי ובדיוני קבינט ניהול המלחמה,</w:t>
      </w:r>
      <w:r w:rsidRPr="00F90E80">
        <w:rPr>
          <w:rFonts w:eastAsia="Arial Unicode MS" w:hint="cs"/>
          <w:snapToGrid w:val="0"/>
          <w:color w:val="000000"/>
          <w:sz w:val="26"/>
          <w:szCs w:val="26"/>
          <w:rtl/>
          <w:lang w:eastAsia="ja-JP"/>
        </w:rPr>
        <w:t xml:space="preserve"> לרבות</w:t>
      </w:r>
      <w:r w:rsidRPr="00F90E80">
        <w:rPr>
          <w:rFonts w:eastAsia="Arial Unicode MS"/>
          <w:snapToGrid w:val="0"/>
          <w:color w:val="000000"/>
          <w:sz w:val="26"/>
          <w:szCs w:val="26"/>
          <w:rtl/>
          <w:lang w:eastAsia="ja-JP"/>
        </w:rPr>
        <w:t xml:space="preserve"> נבחר ציבור. </w:t>
      </w:r>
      <w:r w:rsidRPr="00F90E80">
        <w:rPr>
          <w:rFonts w:eastAsia="Arial Unicode MS" w:hint="cs"/>
          <w:snapToGrid w:val="0"/>
          <w:color w:val="000000"/>
          <w:sz w:val="26"/>
          <w:szCs w:val="26"/>
          <w:rtl/>
          <w:lang w:eastAsia="ja-JP"/>
        </w:rPr>
        <w:t xml:space="preserve">יובהר למען הסר ספק כי </w:t>
      </w:r>
      <w:r w:rsidRPr="00F90E80">
        <w:rPr>
          <w:rFonts w:eastAsia="Arial Unicode MS"/>
          <w:snapToGrid w:val="0"/>
          <w:color w:val="000000"/>
          <w:sz w:val="26"/>
          <w:szCs w:val="26"/>
          <w:rtl/>
          <w:lang w:eastAsia="ja-JP"/>
        </w:rPr>
        <w:t>סעיף זה חל גם על כל גורם שאינו נבחר ציבור שמשתתף דרך קבע בדיוני הקבינט</w:t>
      </w:r>
      <w:r w:rsidRPr="00F90E80">
        <w:rPr>
          <w:rFonts w:eastAsia="Arial Unicode MS" w:hint="cs"/>
          <w:snapToGrid w:val="0"/>
          <w:color w:val="000000"/>
          <w:sz w:val="26"/>
          <w:szCs w:val="26"/>
          <w:rtl/>
          <w:lang w:eastAsia="ja-JP"/>
        </w:rPr>
        <w:t>.</w:t>
      </w:r>
    </w:p>
    <w:p w14:paraId="2E8A97AF" w14:textId="77777777" w:rsidR="00101EEA" w:rsidRPr="00F90E80" w:rsidRDefault="00101EEA" w:rsidP="00FB08E1">
      <w:pPr>
        <w:tabs>
          <w:tab w:val="left" w:pos="680"/>
          <w:tab w:val="left" w:pos="1020"/>
        </w:tabs>
        <w:autoSpaceDE w:val="0"/>
        <w:autoSpaceDN w:val="0"/>
        <w:adjustRightInd w:val="0"/>
        <w:snapToGrid w:val="0"/>
        <w:spacing w:before="240" w:after="240" w:line="240" w:lineRule="auto"/>
        <w:ind w:left="425"/>
        <w:contextualSpacing w:val="0"/>
        <w:textAlignment w:val="center"/>
        <w:rPr>
          <w:rFonts w:eastAsia="Arial Unicode MS"/>
          <w:snapToGrid w:val="0"/>
          <w:color w:val="000000"/>
          <w:sz w:val="26"/>
          <w:szCs w:val="26"/>
          <w:rtl/>
          <w:lang w:eastAsia="ja-JP"/>
        </w:rPr>
      </w:pPr>
      <w:r w:rsidRPr="00F90E80">
        <w:rPr>
          <w:rFonts w:eastAsia="Arial Unicode MS"/>
          <w:snapToGrid w:val="0"/>
          <w:color w:val="000000"/>
          <w:sz w:val="26"/>
          <w:szCs w:val="26"/>
          <w:rtl/>
          <w:lang w:eastAsia="ja-JP"/>
        </w:rPr>
        <w:t>פסקה (ב)</w:t>
      </w:r>
    </w:p>
    <w:p w14:paraId="15E9EA85" w14:textId="77777777" w:rsidR="00101EEA" w:rsidRPr="00F90E80" w:rsidRDefault="00101EEA" w:rsidP="00FB08E1">
      <w:pPr>
        <w:tabs>
          <w:tab w:val="left" w:pos="680"/>
          <w:tab w:val="left" w:pos="1020"/>
        </w:tabs>
        <w:autoSpaceDE w:val="0"/>
        <w:autoSpaceDN w:val="0"/>
        <w:adjustRightInd w:val="0"/>
        <w:snapToGrid w:val="0"/>
        <w:spacing w:before="240" w:after="240" w:line="240" w:lineRule="auto"/>
        <w:ind w:left="425"/>
        <w:contextualSpacing w:val="0"/>
        <w:textAlignment w:val="center"/>
        <w:rPr>
          <w:rFonts w:eastAsia="Arial Unicode MS"/>
          <w:snapToGrid w:val="0"/>
          <w:color w:val="000000"/>
          <w:sz w:val="26"/>
          <w:szCs w:val="26"/>
          <w:rtl/>
          <w:lang w:eastAsia="ja-JP"/>
        </w:rPr>
      </w:pPr>
      <w:r w:rsidRPr="00F90E80">
        <w:rPr>
          <w:rFonts w:eastAsia="Arial Unicode MS"/>
          <w:snapToGrid w:val="0"/>
          <w:color w:val="000000"/>
          <w:sz w:val="26"/>
          <w:szCs w:val="26"/>
          <w:rtl/>
          <w:lang w:eastAsia="ja-JP"/>
        </w:rPr>
        <w:t xml:space="preserve">הפסקה מציעה לקבוע את העיתיות בה יבוצעו הבדיקות. </w:t>
      </w:r>
      <w:r w:rsidRPr="00F90E80">
        <w:rPr>
          <w:rFonts w:eastAsia="Arial Unicode MS" w:hint="cs"/>
          <w:snapToGrid w:val="0"/>
          <w:color w:val="000000"/>
          <w:sz w:val="26"/>
          <w:szCs w:val="26"/>
          <w:rtl/>
          <w:lang w:eastAsia="ja-JP"/>
        </w:rPr>
        <w:t xml:space="preserve">בהתאם לכך, </w:t>
      </w:r>
      <w:r w:rsidRPr="00F90E80">
        <w:rPr>
          <w:rFonts w:eastAsia="Arial Unicode MS"/>
          <w:snapToGrid w:val="0"/>
          <w:color w:val="000000"/>
          <w:sz w:val="26"/>
          <w:szCs w:val="26"/>
          <w:rtl/>
          <w:lang w:eastAsia="ja-JP"/>
        </w:rPr>
        <w:t>מוצע לקבוע, שבדיקה ראשונה תיערך בחלוף שנה ממועד הקמת ממשלה</w:t>
      </w:r>
      <w:r>
        <w:rPr>
          <w:rFonts w:eastAsia="Arial Unicode MS" w:hint="cs"/>
          <w:snapToGrid w:val="0"/>
          <w:color w:val="000000"/>
          <w:sz w:val="26"/>
          <w:szCs w:val="26"/>
          <w:rtl/>
          <w:lang w:eastAsia="ja-JP"/>
        </w:rPr>
        <w:t xml:space="preserve"> חדשה</w:t>
      </w:r>
      <w:r w:rsidRPr="00F90E80">
        <w:rPr>
          <w:rFonts w:eastAsia="Arial Unicode MS"/>
          <w:snapToGrid w:val="0"/>
          <w:color w:val="000000"/>
          <w:sz w:val="26"/>
          <w:szCs w:val="26"/>
          <w:rtl/>
          <w:lang w:eastAsia="ja-JP"/>
        </w:rPr>
        <w:t xml:space="preserve">, ובדיקה נוספת </w:t>
      </w:r>
      <w:r w:rsidRPr="005C1019">
        <w:rPr>
          <w:rFonts w:eastAsia="Arial Unicode MS" w:hint="eastAsia"/>
          <w:snapToGrid w:val="0"/>
          <w:color w:val="000000"/>
          <w:sz w:val="26"/>
          <w:szCs w:val="26"/>
          <w:rtl/>
          <w:lang w:eastAsia="ja-JP"/>
        </w:rPr>
        <w:t>לאחר</w:t>
      </w:r>
      <w:r w:rsidRPr="005C1019">
        <w:rPr>
          <w:rFonts w:eastAsia="Arial Unicode MS"/>
          <w:snapToGrid w:val="0"/>
          <w:color w:val="000000"/>
          <w:sz w:val="26"/>
          <w:szCs w:val="26"/>
          <w:rtl/>
          <w:lang w:eastAsia="ja-JP"/>
        </w:rPr>
        <w:t xml:space="preserve"> </w:t>
      </w:r>
      <w:r w:rsidRPr="005C1019">
        <w:rPr>
          <w:rFonts w:eastAsia="Arial Unicode MS" w:hint="eastAsia"/>
          <w:snapToGrid w:val="0"/>
          <w:color w:val="000000"/>
          <w:sz w:val="26"/>
          <w:szCs w:val="26"/>
          <w:rtl/>
          <w:lang w:eastAsia="ja-JP"/>
        </w:rPr>
        <w:t>שחלפו</w:t>
      </w:r>
      <w:r w:rsidRPr="005C1019">
        <w:rPr>
          <w:rFonts w:eastAsia="Arial Unicode MS"/>
          <w:snapToGrid w:val="0"/>
          <w:color w:val="000000"/>
          <w:sz w:val="26"/>
          <w:szCs w:val="26"/>
          <w:rtl/>
          <w:lang w:eastAsia="ja-JP"/>
        </w:rPr>
        <w:t xml:space="preserve"> </w:t>
      </w:r>
      <w:r w:rsidRPr="005C1019">
        <w:rPr>
          <w:rFonts w:eastAsia="Arial Unicode MS" w:hint="eastAsia"/>
          <w:snapToGrid w:val="0"/>
          <w:color w:val="000000"/>
          <w:sz w:val="26"/>
          <w:szCs w:val="26"/>
          <w:rtl/>
          <w:lang w:eastAsia="ja-JP"/>
        </w:rPr>
        <w:t>שלוש</w:t>
      </w:r>
      <w:r w:rsidRPr="005C1019">
        <w:rPr>
          <w:rFonts w:eastAsia="Arial Unicode MS"/>
          <w:snapToGrid w:val="0"/>
          <w:color w:val="000000"/>
          <w:sz w:val="26"/>
          <w:szCs w:val="26"/>
          <w:rtl/>
          <w:lang w:eastAsia="ja-JP"/>
        </w:rPr>
        <w:t xml:space="preserve"> </w:t>
      </w:r>
      <w:r w:rsidRPr="005C1019">
        <w:rPr>
          <w:rFonts w:eastAsia="Arial Unicode MS" w:hint="eastAsia"/>
          <w:snapToGrid w:val="0"/>
          <w:color w:val="000000"/>
          <w:sz w:val="26"/>
          <w:szCs w:val="26"/>
          <w:rtl/>
          <w:lang w:eastAsia="ja-JP"/>
        </w:rPr>
        <w:t>שנים</w:t>
      </w:r>
      <w:r w:rsidRPr="005C1019">
        <w:rPr>
          <w:rFonts w:eastAsia="Arial Unicode MS"/>
          <w:snapToGrid w:val="0"/>
          <w:color w:val="000000"/>
          <w:sz w:val="26"/>
          <w:szCs w:val="26"/>
          <w:rtl/>
          <w:lang w:eastAsia="ja-JP"/>
        </w:rPr>
        <w:t xml:space="preserve"> </w:t>
      </w:r>
      <w:r w:rsidRPr="005C1019">
        <w:rPr>
          <w:rFonts w:eastAsia="Arial Unicode MS" w:hint="eastAsia"/>
          <w:snapToGrid w:val="0"/>
          <w:color w:val="000000"/>
          <w:sz w:val="26"/>
          <w:szCs w:val="26"/>
          <w:rtl/>
          <w:lang w:eastAsia="ja-JP"/>
        </w:rPr>
        <w:t>ממועד</w:t>
      </w:r>
      <w:r w:rsidRPr="005C1019">
        <w:rPr>
          <w:rFonts w:eastAsia="Arial Unicode MS"/>
          <w:snapToGrid w:val="0"/>
          <w:color w:val="000000"/>
          <w:sz w:val="26"/>
          <w:szCs w:val="26"/>
          <w:rtl/>
          <w:lang w:eastAsia="ja-JP"/>
        </w:rPr>
        <w:t xml:space="preserve"> </w:t>
      </w:r>
      <w:r w:rsidRPr="005C1019">
        <w:rPr>
          <w:rFonts w:eastAsia="Arial Unicode MS" w:hint="eastAsia"/>
          <w:snapToGrid w:val="0"/>
          <w:color w:val="000000"/>
          <w:sz w:val="26"/>
          <w:szCs w:val="26"/>
          <w:rtl/>
          <w:lang w:eastAsia="ja-JP"/>
        </w:rPr>
        <w:t>הקמת</w:t>
      </w:r>
      <w:r w:rsidRPr="005C1019">
        <w:rPr>
          <w:rFonts w:eastAsia="Arial Unicode MS"/>
          <w:snapToGrid w:val="0"/>
          <w:color w:val="000000"/>
          <w:sz w:val="26"/>
          <w:szCs w:val="26"/>
          <w:rtl/>
          <w:lang w:eastAsia="ja-JP"/>
        </w:rPr>
        <w:t xml:space="preserve"> </w:t>
      </w:r>
      <w:r w:rsidRPr="005C1019">
        <w:rPr>
          <w:rFonts w:eastAsia="Arial Unicode MS" w:hint="eastAsia"/>
          <w:snapToGrid w:val="0"/>
          <w:color w:val="000000"/>
          <w:sz w:val="26"/>
          <w:szCs w:val="26"/>
          <w:rtl/>
          <w:lang w:eastAsia="ja-JP"/>
        </w:rPr>
        <w:t>ממשלה</w:t>
      </w:r>
      <w:r w:rsidRPr="005C1019">
        <w:rPr>
          <w:rFonts w:eastAsia="Arial Unicode MS"/>
          <w:snapToGrid w:val="0"/>
          <w:color w:val="000000"/>
          <w:sz w:val="26"/>
          <w:szCs w:val="26"/>
          <w:rtl/>
          <w:lang w:eastAsia="ja-JP"/>
        </w:rPr>
        <w:t xml:space="preserve"> </w:t>
      </w:r>
      <w:r w:rsidRPr="005C1019">
        <w:rPr>
          <w:rFonts w:eastAsia="Arial Unicode MS" w:hint="eastAsia"/>
          <w:snapToGrid w:val="0"/>
          <w:color w:val="000000"/>
          <w:sz w:val="26"/>
          <w:szCs w:val="26"/>
          <w:rtl/>
          <w:lang w:eastAsia="ja-JP"/>
        </w:rPr>
        <w:t>חדשה</w:t>
      </w:r>
      <w:r w:rsidRPr="00F90E80">
        <w:rPr>
          <w:rFonts w:eastAsia="Arial Unicode MS"/>
          <w:snapToGrid w:val="0"/>
          <w:color w:val="000000"/>
          <w:sz w:val="26"/>
          <w:szCs w:val="26"/>
          <w:rtl/>
          <w:lang w:eastAsia="ja-JP"/>
        </w:rPr>
        <w:t xml:space="preserve">.   </w:t>
      </w:r>
    </w:p>
    <w:p w14:paraId="49D6B0E8" w14:textId="77777777" w:rsidR="00101EEA" w:rsidRPr="00F90E80" w:rsidRDefault="00101EEA" w:rsidP="00FB08E1">
      <w:pPr>
        <w:tabs>
          <w:tab w:val="left" w:pos="680"/>
          <w:tab w:val="left" w:pos="1020"/>
        </w:tabs>
        <w:autoSpaceDE w:val="0"/>
        <w:autoSpaceDN w:val="0"/>
        <w:adjustRightInd w:val="0"/>
        <w:snapToGrid w:val="0"/>
        <w:spacing w:before="240" w:after="240" w:line="240" w:lineRule="auto"/>
        <w:ind w:left="425"/>
        <w:contextualSpacing w:val="0"/>
        <w:textAlignment w:val="center"/>
        <w:rPr>
          <w:rFonts w:eastAsia="Arial Unicode MS"/>
          <w:snapToGrid w:val="0"/>
          <w:color w:val="000000"/>
          <w:sz w:val="26"/>
          <w:szCs w:val="26"/>
          <w:rtl/>
          <w:lang w:eastAsia="ja-JP"/>
        </w:rPr>
      </w:pPr>
      <w:r w:rsidRPr="00F90E80">
        <w:rPr>
          <w:rFonts w:eastAsia="Arial Unicode MS"/>
          <w:snapToGrid w:val="0"/>
          <w:color w:val="000000"/>
          <w:sz w:val="26"/>
          <w:szCs w:val="26"/>
          <w:rtl/>
          <w:lang w:eastAsia="ja-JP"/>
        </w:rPr>
        <w:t>פסקה (ג)</w:t>
      </w:r>
    </w:p>
    <w:p w14:paraId="4C4D7DC9" w14:textId="4EC0B4A5" w:rsidR="00101EEA" w:rsidRPr="00F90E80" w:rsidRDefault="00101EEA" w:rsidP="00FB08E1">
      <w:pPr>
        <w:tabs>
          <w:tab w:val="left" w:pos="680"/>
          <w:tab w:val="left" w:pos="1020"/>
        </w:tabs>
        <w:autoSpaceDE w:val="0"/>
        <w:autoSpaceDN w:val="0"/>
        <w:adjustRightInd w:val="0"/>
        <w:snapToGrid w:val="0"/>
        <w:spacing w:before="240" w:after="240" w:line="240" w:lineRule="auto"/>
        <w:ind w:left="425"/>
        <w:contextualSpacing w:val="0"/>
        <w:textAlignment w:val="center"/>
        <w:rPr>
          <w:rFonts w:eastAsia="Arial Unicode MS"/>
          <w:snapToGrid w:val="0"/>
          <w:color w:val="000000"/>
          <w:sz w:val="26"/>
          <w:szCs w:val="26"/>
          <w:rtl/>
          <w:lang w:eastAsia="ja-JP"/>
        </w:rPr>
      </w:pPr>
      <w:r w:rsidRPr="00F90E80">
        <w:rPr>
          <w:rFonts w:eastAsia="Arial Unicode MS"/>
          <w:snapToGrid w:val="0"/>
          <w:color w:val="000000"/>
          <w:sz w:val="26"/>
          <w:szCs w:val="26"/>
          <w:rtl/>
          <w:lang w:eastAsia="ja-JP"/>
        </w:rPr>
        <w:t>הפסקה מציעה לקבוע ל</w:t>
      </w:r>
      <w:r w:rsidRPr="00F90E80">
        <w:rPr>
          <w:rFonts w:eastAsia="Arial Unicode MS" w:hint="cs"/>
          <w:snapToGrid w:val="0"/>
          <w:color w:val="000000"/>
          <w:sz w:val="26"/>
          <w:szCs w:val="26"/>
          <w:rtl/>
          <w:lang w:eastAsia="ja-JP"/>
        </w:rPr>
        <w:t>מי</w:t>
      </w:r>
      <w:r w:rsidRPr="00F90E80">
        <w:rPr>
          <w:rFonts w:eastAsia="Arial Unicode MS"/>
          <w:snapToGrid w:val="0"/>
          <w:color w:val="000000"/>
          <w:sz w:val="26"/>
          <w:szCs w:val="26"/>
          <w:rtl/>
          <w:lang w:eastAsia="ja-JP"/>
        </w:rPr>
        <w:t xml:space="preserve"> יועברו תוצאות הבדיקה</w:t>
      </w:r>
      <w:r w:rsidRPr="00F90E80">
        <w:rPr>
          <w:rFonts w:eastAsia="Arial Unicode MS" w:hint="cs"/>
          <w:snapToGrid w:val="0"/>
          <w:color w:val="000000"/>
          <w:sz w:val="26"/>
          <w:szCs w:val="26"/>
          <w:rtl/>
          <w:lang w:eastAsia="ja-JP"/>
        </w:rPr>
        <w:t>. מוצע כי</w:t>
      </w:r>
      <w:r w:rsidRPr="00F90E80">
        <w:rPr>
          <w:rFonts w:eastAsia="Arial Unicode MS"/>
          <w:snapToGrid w:val="0"/>
          <w:color w:val="000000"/>
          <w:sz w:val="26"/>
          <w:szCs w:val="26"/>
          <w:rtl/>
          <w:lang w:eastAsia="ja-JP"/>
        </w:rPr>
        <w:t xml:space="preserve"> מלבד המשתתף הנבדק עצמו,</w:t>
      </w:r>
      <w:r w:rsidRPr="00F90E80">
        <w:rPr>
          <w:rFonts w:eastAsia="Arial Unicode MS" w:hint="cs"/>
          <w:snapToGrid w:val="0"/>
          <w:color w:val="000000"/>
          <w:sz w:val="26"/>
          <w:szCs w:val="26"/>
          <w:rtl/>
          <w:lang w:eastAsia="ja-JP"/>
        </w:rPr>
        <w:t xml:space="preserve"> יועברו התוצאות גם לצוות שרים שמורכב מראש הממשלה (ראש הצוות) ובהשתתפות שר הביטחון</w:t>
      </w:r>
      <w:r>
        <w:rPr>
          <w:rFonts w:eastAsia="Arial Unicode MS" w:hint="cs"/>
          <w:snapToGrid w:val="0"/>
          <w:color w:val="000000"/>
          <w:sz w:val="26"/>
          <w:szCs w:val="26"/>
          <w:rtl/>
          <w:lang w:eastAsia="ja-JP"/>
        </w:rPr>
        <w:t xml:space="preserve">, </w:t>
      </w:r>
      <w:r w:rsidRPr="00F90E80">
        <w:rPr>
          <w:rFonts w:eastAsia="Arial Unicode MS" w:hint="cs"/>
          <w:snapToGrid w:val="0"/>
          <w:color w:val="000000"/>
          <w:sz w:val="26"/>
          <w:szCs w:val="26"/>
          <w:rtl/>
          <w:lang w:eastAsia="ja-JP"/>
        </w:rPr>
        <w:t>שר המשפטים ו</w:t>
      </w:r>
      <w:r w:rsidR="00C178BB">
        <w:rPr>
          <w:rFonts w:eastAsia="Arial Unicode MS" w:hint="cs"/>
          <w:snapToGrid w:val="0"/>
          <w:color w:val="000000"/>
          <w:sz w:val="26"/>
          <w:szCs w:val="26"/>
          <w:rtl/>
          <w:lang w:eastAsia="ja-JP"/>
        </w:rPr>
        <w:t xml:space="preserve">כן </w:t>
      </w:r>
      <w:r w:rsidRPr="00F90E80">
        <w:rPr>
          <w:rFonts w:eastAsia="Arial Unicode MS" w:hint="cs"/>
          <w:snapToGrid w:val="0"/>
          <w:color w:val="000000"/>
          <w:sz w:val="26"/>
          <w:szCs w:val="26"/>
          <w:rtl/>
          <w:lang w:eastAsia="ja-JP"/>
        </w:rPr>
        <w:t xml:space="preserve">ליועצת המשפטית לממשלה. כמו כן, מוצע כי לצוות יצטרף, במידת הצורך, השר הממונה על משתתף בדיוני הקבינט שאינו חבר בצוות השרים.  </w:t>
      </w:r>
      <w:r w:rsidRPr="00F90E80">
        <w:rPr>
          <w:rFonts w:eastAsia="Arial Unicode MS"/>
          <w:snapToGrid w:val="0"/>
          <w:color w:val="000000"/>
          <w:sz w:val="26"/>
          <w:szCs w:val="26"/>
          <w:rtl/>
          <w:lang w:eastAsia="ja-JP"/>
        </w:rPr>
        <w:t xml:space="preserve"> </w:t>
      </w:r>
    </w:p>
    <w:p w14:paraId="53DF6920" w14:textId="77777777" w:rsidR="00101EEA" w:rsidRPr="00F90E80" w:rsidRDefault="00101EEA" w:rsidP="00FB08E1">
      <w:pPr>
        <w:tabs>
          <w:tab w:val="left" w:pos="680"/>
          <w:tab w:val="left" w:pos="1020"/>
        </w:tabs>
        <w:autoSpaceDE w:val="0"/>
        <w:autoSpaceDN w:val="0"/>
        <w:adjustRightInd w:val="0"/>
        <w:snapToGrid w:val="0"/>
        <w:spacing w:before="240" w:after="240" w:line="240" w:lineRule="auto"/>
        <w:ind w:left="425"/>
        <w:contextualSpacing w:val="0"/>
        <w:textAlignment w:val="center"/>
        <w:rPr>
          <w:rFonts w:eastAsia="Arial Unicode MS"/>
          <w:snapToGrid w:val="0"/>
          <w:color w:val="000000"/>
          <w:sz w:val="26"/>
          <w:szCs w:val="26"/>
          <w:rtl/>
          <w:lang w:eastAsia="ja-JP"/>
        </w:rPr>
      </w:pPr>
      <w:r w:rsidRPr="00F90E80">
        <w:rPr>
          <w:rFonts w:eastAsia="Arial Unicode MS" w:hint="cs"/>
          <w:snapToGrid w:val="0"/>
          <w:color w:val="000000"/>
          <w:sz w:val="26"/>
          <w:szCs w:val="26"/>
          <w:rtl/>
          <w:lang w:eastAsia="ja-JP"/>
        </w:rPr>
        <w:t>פסקה (ד)</w:t>
      </w:r>
    </w:p>
    <w:p w14:paraId="3CD0DA0D" w14:textId="4771441B" w:rsidR="00101EEA" w:rsidRPr="00F90E80" w:rsidRDefault="00101EEA" w:rsidP="00FB08E1">
      <w:pPr>
        <w:tabs>
          <w:tab w:val="left" w:pos="680"/>
          <w:tab w:val="left" w:pos="1020"/>
        </w:tabs>
        <w:autoSpaceDE w:val="0"/>
        <w:autoSpaceDN w:val="0"/>
        <w:adjustRightInd w:val="0"/>
        <w:snapToGrid w:val="0"/>
        <w:spacing w:before="240" w:after="240" w:line="240" w:lineRule="auto"/>
        <w:ind w:left="425"/>
        <w:contextualSpacing w:val="0"/>
        <w:textAlignment w:val="center"/>
        <w:rPr>
          <w:rFonts w:eastAsia="Arial Unicode MS"/>
          <w:snapToGrid w:val="0"/>
          <w:color w:val="000000"/>
          <w:sz w:val="26"/>
          <w:szCs w:val="26"/>
          <w:rtl/>
          <w:lang w:eastAsia="ja-JP"/>
        </w:rPr>
      </w:pPr>
      <w:r w:rsidRPr="00F90E80">
        <w:rPr>
          <w:rFonts w:eastAsia="Arial Unicode MS" w:hint="cs"/>
          <w:snapToGrid w:val="0"/>
          <w:color w:val="000000"/>
          <w:sz w:val="26"/>
          <w:szCs w:val="26"/>
          <w:rtl/>
          <w:lang w:eastAsia="ja-JP"/>
        </w:rPr>
        <w:t>בפסקה זו מוצעים ה</w:t>
      </w:r>
      <w:r w:rsidRPr="00F90E80">
        <w:rPr>
          <w:rFonts w:eastAsia="Arial Unicode MS"/>
          <w:snapToGrid w:val="0"/>
          <w:color w:val="000000"/>
          <w:sz w:val="26"/>
          <w:szCs w:val="26"/>
          <w:rtl/>
          <w:lang w:eastAsia="ja-JP"/>
        </w:rPr>
        <w:t>צעדים שיכולים לנקוט כנג</w:t>
      </w:r>
      <w:r w:rsidR="002D38F7">
        <w:rPr>
          <w:rFonts w:eastAsia="Arial Unicode MS"/>
          <w:snapToGrid w:val="0"/>
          <w:color w:val="000000"/>
          <w:sz w:val="26"/>
          <w:szCs w:val="26"/>
          <w:rtl/>
          <w:lang w:eastAsia="ja-JP"/>
        </w:rPr>
        <w:t xml:space="preserve">ד משתתף בדיוני הקבינט אשר </w:t>
      </w:r>
      <w:r w:rsidRPr="00F90E80">
        <w:rPr>
          <w:rFonts w:eastAsia="Arial Unicode MS"/>
          <w:snapToGrid w:val="0"/>
          <w:color w:val="000000"/>
          <w:sz w:val="26"/>
          <w:szCs w:val="26"/>
          <w:rtl/>
          <w:lang w:eastAsia="ja-JP"/>
        </w:rPr>
        <w:t>נמצא</w:t>
      </w:r>
      <w:r w:rsidR="002D38F7">
        <w:rPr>
          <w:rFonts w:eastAsia="Arial Unicode MS" w:hint="cs"/>
          <w:snapToGrid w:val="0"/>
          <w:color w:val="000000"/>
          <w:sz w:val="26"/>
          <w:szCs w:val="26"/>
          <w:rtl/>
          <w:lang w:eastAsia="ja-JP"/>
        </w:rPr>
        <w:t xml:space="preserve"> לגביו כי קיים חשש</w:t>
      </w:r>
      <w:r w:rsidRPr="00F90E80">
        <w:rPr>
          <w:rFonts w:eastAsia="Arial Unicode MS"/>
          <w:snapToGrid w:val="0"/>
          <w:color w:val="000000"/>
          <w:sz w:val="26"/>
          <w:szCs w:val="26"/>
          <w:rtl/>
          <w:lang w:eastAsia="ja-JP"/>
        </w:rPr>
        <w:t xml:space="preserve"> </w:t>
      </w:r>
      <w:r w:rsidRPr="00F90E80">
        <w:rPr>
          <w:rFonts w:eastAsia="Arial Unicode MS" w:hint="cs"/>
          <w:snapToGrid w:val="0"/>
          <w:color w:val="000000"/>
          <w:sz w:val="26"/>
          <w:szCs w:val="26"/>
          <w:rtl/>
          <w:lang w:eastAsia="ja-JP"/>
        </w:rPr>
        <w:t>שהעביר מידע שלא בסמכות</w:t>
      </w:r>
      <w:r w:rsidR="002D38F7">
        <w:rPr>
          <w:rFonts w:eastAsia="Arial Unicode MS" w:hint="cs"/>
          <w:snapToGrid w:val="0"/>
          <w:color w:val="000000"/>
          <w:sz w:val="26"/>
          <w:szCs w:val="26"/>
          <w:rtl/>
          <w:lang w:eastAsia="ja-JP"/>
        </w:rPr>
        <w:t xml:space="preserve"> מאז הקמת ממשלה חדשה</w:t>
      </w:r>
      <w:r w:rsidRPr="00F90E80">
        <w:rPr>
          <w:rFonts w:eastAsia="Arial Unicode MS"/>
          <w:snapToGrid w:val="0"/>
          <w:color w:val="000000"/>
          <w:sz w:val="26"/>
          <w:szCs w:val="26"/>
          <w:rtl/>
          <w:lang w:eastAsia="ja-JP"/>
        </w:rPr>
        <w:t xml:space="preserve">. </w:t>
      </w:r>
    </w:p>
    <w:p w14:paraId="3349EE01" w14:textId="245DB8E5" w:rsidR="00101EEA" w:rsidRPr="00F90E80" w:rsidRDefault="00101EEA" w:rsidP="00FB08E1">
      <w:pPr>
        <w:tabs>
          <w:tab w:val="left" w:pos="680"/>
          <w:tab w:val="left" w:pos="1020"/>
        </w:tabs>
        <w:autoSpaceDE w:val="0"/>
        <w:autoSpaceDN w:val="0"/>
        <w:adjustRightInd w:val="0"/>
        <w:snapToGrid w:val="0"/>
        <w:spacing w:before="240" w:after="240" w:line="240" w:lineRule="auto"/>
        <w:ind w:left="425"/>
        <w:contextualSpacing w:val="0"/>
        <w:textAlignment w:val="center"/>
        <w:rPr>
          <w:rFonts w:eastAsia="Arial Unicode MS"/>
          <w:snapToGrid w:val="0"/>
          <w:color w:val="000000"/>
          <w:sz w:val="26"/>
          <w:szCs w:val="26"/>
          <w:rtl/>
          <w:lang w:eastAsia="ja-JP"/>
        </w:rPr>
      </w:pPr>
      <w:r w:rsidRPr="00F90E80">
        <w:rPr>
          <w:rFonts w:eastAsia="Arial Unicode MS"/>
          <w:snapToGrid w:val="0"/>
          <w:color w:val="000000"/>
          <w:sz w:val="26"/>
          <w:szCs w:val="26"/>
          <w:rtl/>
          <w:lang w:eastAsia="ja-JP"/>
        </w:rPr>
        <w:t>יובהר כי ע</w:t>
      </w:r>
      <w:r w:rsidR="002D38F7">
        <w:rPr>
          <w:rFonts w:eastAsia="Arial Unicode MS"/>
          <w:snapToGrid w:val="0"/>
          <w:color w:val="000000"/>
          <w:sz w:val="26"/>
          <w:szCs w:val="26"/>
          <w:rtl/>
          <w:lang w:eastAsia="ja-JP"/>
        </w:rPr>
        <w:t xml:space="preserve">ל פי סעיף ההגדרות, תוצאות </w:t>
      </w:r>
      <w:r w:rsidRPr="00F90E80">
        <w:rPr>
          <w:rFonts w:eastAsia="Arial Unicode MS"/>
          <w:snapToGrid w:val="0"/>
          <w:color w:val="000000"/>
          <w:sz w:val="26"/>
          <w:szCs w:val="26"/>
          <w:rtl/>
          <w:lang w:eastAsia="ja-JP"/>
        </w:rPr>
        <w:t xml:space="preserve">הבדיקה כוללות רק קביעה אם משתתף בדיוני הקבינט </w:t>
      </w:r>
      <w:r w:rsidRPr="00F90E80">
        <w:rPr>
          <w:rFonts w:eastAsia="Arial Unicode MS" w:hint="cs"/>
          <w:snapToGrid w:val="0"/>
          <w:color w:val="000000"/>
          <w:sz w:val="26"/>
          <w:szCs w:val="26"/>
          <w:rtl/>
          <w:lang w:eastAsia="ja-JP"/>
        </w:rPr>
        <w:t>העביר מידע שלא בסמכות</w:t>
      </w:r>
      <w:r w:rsidRPr="00F90E80">
        <w:rPr>
          <w:rFonts w:eastAsia="Arial Unicode MS"/>
          <w:snapToGrid w:val="0"/>
          <w:color w:val="000000"/>
          <w:sz w:val="26"/>
          <w:szCs w:val="26"/>
          <w:rtl/>
          <w:lang w:eastAsia="ja-JP"/>
        </w:rPr>
        <w:t xml:space="preserve">, ללא כל מידע נוסף. </w:t>
      </w:r>
    </w:p>
    <w:p w14:paraId="363C6891" w14:textId="77777777" w:rsidR="00101EEA" w:rsidRPr="00F90E80" w:rsidRDefault="00101EEA" w:rsidP="00FB08E1">
      <w:pPr>
        <w:tabs>
          <w:tab w:val="left" w:pos="680"/>
          <w:tab w:val="left" w:pos="1020"/>
        </w:tabs>
        <w:autoSpaceDE w:val="0"/>
        <w:autoSpaceDN w:val="0"/>
        <w:adjustRightInd w:val="0"/>
        <w:snapToGrid w:val="0"/>
        <w:spacing w:before="240" w:after="240" w:line="240" w:lineRule="auto"/>
        <w:ind w:left="425"/>
        <w:contextualSpacing w:val="0"/>
        <w:textAlignment w:val="center"/>
        <w:rPr>
          <w:rFonts w:eastAsia="Arial Unicode MS"/>
          <w:snapToGrid w:val="0"/>
          <w:color w:val="000000"/>
          <w:sz w:val="26"/>
          <w:szCs w:val="26"/>
          <w:rtl/>
          <w:lang w:eastAsia="ja-JP"/>
        </w:rPr>
      </w:pPr>
      <w:r w:rsidRPr="00F90E80">
        <w:rPr>
          <w:rFonts w:eastAsia="Arial Unicode MS"/>
          <w:snapToGrid w:val="0"/>
          <w:color w:val="000000"/>
          <w:sz w:val="26"/>
          <w:szCs w:val="26"/>
          <w:rtl/>
          <w:lang w:eastAsia="ja-JP"/>
        </w:rPr>
        <w:lastRenderedPageBreak/>
        <w:t>על פי ההסדר המוצע בפסקה, יש לחלק בין שני סוגי המשתתפים בדיוני הקבינט</w:t>
      </w:r>
      <w:r w:rsidRPr="00F90E80">
        <w:rPr>
          <w:rFonts w:eastAsia="Arial Unicode MS" w:hint="cs"/>
          <w:snapToGrid w:val="0"/>
          <w:color w:val="000000"/>
          <w:sz w:val="26"/>
          <w:szCs w:val="26"/>
          <w:rtl/>
          <w:lang w:eastAsia="ja-JP"/>
        </w:rPr>
        <w:t>:</w:t>
      </w:r>
    </w:p>
    <w:p w14:paraId="4684521A" w14:textId="2D6001DE" w:rsidR="00101EEA" w:rsidRPr="00F90E80" w:rsidRDefault="00101EEA" w:rsidP="00FB08E1">
      <w:pPr>
        <w:tabs>
          <w:tab w:val="left" w:pos="680"/>
          <w:tab w:val="left" w:pos="1020"/>
        </w:tabs>
        <w:autoSpaceDE w:val="0"/>
        <w:autoSpaceDN w:val="0"/>
        <w:adjustRightInd w:val="0"/>
        <w:snapToGrid w:val="0"/>
        <w:spacing w:before="240" w:after="240" w:line="240" w:lineRule="auto"/>
        <w:ind w:left="425"/>
        <w:contextualSpacing w:val="0"/>
        <w:textAlignment w:val="center"/>
        <w:rPr>
          <w:rFonts w:eastAsia="Arial Unicode MS"/>
          <w:snapToGrid w:val="0"/>
          <w:color w:val="000000"/>
          <w:sz w:val="26"/>
          <w:szCs w:val="26"/>
          <w:rtl/>
          <w:lang w:eastAsia="ja-JP"/>
        </w:rPr>
      </w:pPr>
      <w:r w:rsidRPr="00F90E80">
        <w:rPr>
          <w:rFonts w:eastAsia="Arial Unicode MS"/>
          <w:snapToGrid w:val="0"/>
          <w:color w:val="000000"/>
          <w:sz w:val="26"/>
          <w:szCs w:val="26"/>
          <w:rtl/>
          <w:lang w:eastAsia="ja-JP"/>
        </w:rPr>
        <w:t xml:space="preserve">(1) משתתפים בדיוני הקבינט שהינם נבחרי ציבור: </w:t>
      </w:r>
      <w:r w:rsidRPr="005C1019">
        <w:rPr>
          <w:rFonts w:eastAsia="Arial Unicode MS" w:hint="eastAsia"/>
          <w:snapToGrid w:val="0"/>
          <w:color w:val="000000"/>
          <w:sz w:val="26"/>
          <w:szCs w:val="26"/>
          <w:rtl/>
          <w:lang w:eastAsia="ja-JP"/>
        </w:rPr>
        <w:t>ראש</w:t>
      </w:r>
      <w:r w:rsidRPr="005C1019">
        <w:rPr>
          <w:rFonts w:eastAsia="Arial Unicode MS"/>
          <w:snapToGrid w:val="0"/>
          <w:color w:val="000000"/>
          <w:sz w:val="26"/>
          <w:szCs w:val="26"/>
          <w:rtl/>
          <w:lang w:eastAsia="ja-JP"/>
        </w:rPr>
        <w:t xml:space="preserve"> </w:t>
      </w:r>
      <w:r w:rsidRPr="005C1019">
        <w:rPr>
          <w:rFonts w:eastAsia="Arial Unicode MS" w:hint="eastAsia"/>
          <w:snapToGrid w:val="0"/>
          <w:color w:val="000000"/>
          <w:sz w:val="26"/>
          <w:szCs w:val="26"/>
          <w:rtl/>
          <w:lang w:eastAsia="ja-JP"/>
        </w:rPr>
        <w:t>הממשלה</w:t>
      </w:r>
      <w:r w:rsidRPr="005C1019">
        <w:rPr>
          <w:rFonts w:eastAsia="Arial Unicode MS"/>
          <w:snapToGrid w:val="0"/>
          <w:color w:val="000000"/>
          <w:sz w:val="26"/>
          <w:szCs w:val="26"/>
          <w:rtl/>
          <w:lang w:eastAsia="ja-JP"/>
        </w:rPr>
        <w:t xml:space="preserve"> </w:t>
      </w:r>
      <w:r w:rsidRPr="005C1019">
        <w:rPr>
          <w:rFonts w:eastAsia="Arial Unicode MS" w:hint="eastAsia"/>
          <w:snapToGrid w:val="0"/>
          <w:color w:val="000000"/>
          <w:sz w:val="26"/>
          <w:szCs w:val="26"/>
          <w:rtl/>
          <w:lang w:eastAsia="ja-JP"/>
        </w:rPr>
        <w:t>יתייעץ</w:t>
      </w:r>
      <w:r w:rsidRPr="005C1019">
        <w:rPr>
          <w:rFonts w:eastAsia="Arial Unicode MS"/>
          <w:snapToGrid w:val="0"/>
          <w:color w:val="000000"/>
          <w:sz w:val="26"/>
          <w:szCs w:val="26"/>
          <w:rtl/>
          <w:lang w:eastAsia="ja-JP"/>
        </w:rPr>
        <w:t xml:space="preserve"> </w:t>
      </w:r>
      <w:r w:rsidRPr="005C1019">
        <w:rPr>
          <w:rFonts w:eastAsia="Arial Unicode MS" w:hint="eastAsia"/>
          <w:snapToGrid w:val="0"/>
          <w:color w:val="000000"/>
          <w:sz w:val="26"/>
          <w:szCs w:val="26"/>
          <w:rtl/>
          <w:lang w:eastAsia="ja-JP"/>
        </w:rPr>
        <w:t>עם</w:t>
      </w:r>
      <w:r w:rsidRPr="005C1019">
        <w:rPr>
          <w:rFonts w:eastAsia="Arial Unicode MS"/>
          <w:snapToGrid w:val="0"/>
          <w:color w:val="000000"/>
          <w:sz w:val="26"/>
          <w:szCs w:val="26"/>
          <w:rtl/>
          <w:lang w:eastAsia="ja-JP"/>
        </w:rPr>
        <w:t xml:space="preserve"> </w:t>
      </w:r>
      <w:r w:rsidRPr="005C1019">
        <w:rPr>
          <w:rFonts w:eastAsia="Arial Unicode MS" w:hint="eastAsia"/>
          <w:snapToGrid w:val="0"/>
          <w:color w:val="000000"/>
          <w:sz w:val="26"/>
          <w:szCs w:val="26"/>
          <w:rtl/>
          <w:lang w:eastAsia="ja-JP"/>
        </w:rPr>
        <w:t>צוות</w:t>
      </w:r>
      <w:r w:rsidRPr="005C1019">
        <w:rPr>
          <w:rFonts w:eastAsia="Arial Unicode MS"/>
          <w:snapToGrid w:val="0"/>
          <w:color w:val="000000"/>
          <w:sz w:val="26"/>
          <w:szCs w:val="26"/>
          <w:rtl/>
          <w:lang w:eastAsia="ja-JP"/>
        </w:rPr>
        <w:t xml:space="preserve"> </w:t>
      </w:r>
      <w:r w:rsidRPr="005C1019">
        <w:rPr>
          <w:rFonts w:eastAsia="Arial Unicode MS" w:hint="eastAsia"/>
          <w:snapToGrid w:val="0"/>
          <w:color w:val="000000"/>
          <w:sz w:val="26"/>
          <w:szCs w:val="26"/>
          <w:rtl/>
          <w:lang w:eastAsia="ja-JP"/>
        </w:rPr>
        <w:t>השרים</w:t>
      </w:r>
      <w:r w:rsidRPr="005C1019">
        <w:rPr>
          <w:rFonts w:eastAsia="Arial Unicode MS"/>
          <w:snapToGrid w:val="0"/>
          <w:color w:val="000000"/>
          <w:sz w:val="26"/>
          <w:szCs w:val="26"/>
          <w:rtl/>
          <w:lang w:eastAsia="ja-JP"/>
        </w:rPr>
        <w:t xml:space="preserve"> </w:t>
      </w:r>
      <w:r w:rsidRPr="005C1019">
        <w:rPr>
          <w:rFonts w:eastAsia="Arial Unicode MS" w:hint="eastAsia"/>
          <w:snapToGrid w:val="0"/>
          <w:color w:val="000000"/>
          <w:sz w:val="26"/>
          <w:szCs w:val="26"/>
          <w:rtl/>
          <w:lang w:eastAsia="ja-JP"/>
        </w:rPr>
        <w:t>אם</w:t>
      </w:r>
      <w:r w:rsidRPr="005C1019">
        <w:rPr>
          <w:rFonts w:eastAsia="Arial Unicode MS"/>
          <w:snapToGrid w:val="0"/>
          <w:color w:val="000000"/>
          <w:sz w:val="26"/>
          <w:szCs w:val="26"/>
          <w:rtl/>
          <w:lang w:eastAsia="ja-JP"/>
        </w:rPr>
        <w:t xml:space="preserve"> </w:t>
      </w:r>
      <w:r w:rsidRPr="005C1019">
        <w:rPr>
          <w:rFonts w:eastAsia="Arial Unicode MS" w:hint="eastAsia"/>
          <w:snapToGrid w:val="0"/>
          <w:color w:val="000000"/>
          <w:sz w:val="26"/>
          <w:szCs w:val="26"/>
          <w:rtl/>
          <w:lang w:eastAsia="ja-JP"/>
        </w:rPr>
        <w:t>לנקוט</w:t>
      </w:r>
      <w:r w:rsidRPr="005C1019">
        <w:rPr>
          <w:rFonts w:eastAsia="Arial Unicode MS"/>
          <w:snapToGrid w:val="0"/>
          <w:color w:val="000000"/>
          <w:sz w:val="26"/>
          <w:szCs w:val="26"/>
          <w:rtl/>
          <w:lang w:eastAsia="ja-JP"/>
        </w:rPr>
        <w:t xml:space="preserve"> </w:t>
      </w:r>
      <w:r w:rsidRPr="005C1019">
        <w:rPr>
          <w:rFonts w:eastAsia="Arial Unicode MS" w:hint="eastAsia"/>
          <w:snapToGrid w:val="0"/>
          <w:color w:val="000000"/>
          <w:sz w:val="26"/>
          <w:szCs w:val="26"/>
          <w:rtl/>
          <w:lang w:eastAsia="ja-JP"/>
        </w:rPr>
        <w:t>בצעדים</w:t>
      </w:r>
      <w:r w:rsidRPr="005C1019">
        <w:rPr>
          <w:rFonts w:eastAsia="Arial Unicode MS"/>
          <w:snapToGrid w:val="0"/>
          <w:color w:val="000000"/>
          <w:sz w:val="26"/>
          <w:szCs w:val="26"/>
          <w:rtl/>
          <w:lang w:eastAsia="ja-JP"/>
        </w:rPr>
        <w:t xml:space="preserve"> </w:t>
      </w:r>
      <w:r w:rsidRPr="005C1019">
        <w:rPr>
          <w:rFonts w:eastAsia="Arial Unicode MS" w:hint="eastAsia"/>
          <w:snapToGrid w:val="0"/>
          <w:color w:val="000000"/>
          <w:sz w:val="26"/>
          <w:szCs w:val="26"/>
          <w:rtl/>
          <w:lang w:eastAsia="ja-JP"/>
        </w:rPr>
        <w:t>כנגד</w:t>
      </w:r>
      <w:r w:rsidRPr="005C1019">
        <w:rPr>
          <w:rFonts w:eastAsia="Arial Unicode MS"/>
          <w:snapToGrid w:val="0"/>
          <w:color w:val="000000"/>
          <w:sz w:val="26"/>
          <w:szCs w:val="26"/>
          <w:rtl/>
          <w:lang w:eastAsia="ja-JP"/>
        </w:rPr>
        <w:t xml:space="preserve"> </w:t>
      </w:r>
      <w:r w:rsidRPr="005C1019">
        <w:rPr>
          <w:rFonts w:eastAsia="Arial Unicode MS" w:hint="eastAsia"/>
          <w:snapToGrid w:val="0"/>
          <w:color w:val="000000"/>
          <w:sz w:val="26"/>
          <w:szCs w:val="26"/>
          <w:rtl/>
          <w:lang w:eastAsia="ja-JP"/>
        </w:rPr>
        <w:t>המשתתף</w:t>
      </w:r>
      <w:r w:rsidRPr="005C1019">
        <w:rPr>
          <w:rFonts w:eastAsia="Arial Unicode MS"/>
          <w:snapToGrid w:val="0"/>
          <w:color w:val="000000"/>
          <w:sz w:val="26"/>
          <w:szCs w:val="26"/>
          <w:rtl/>
          <w:lang w:eastAsia="ja-JP"/>
        </w:rPr>
        <w:t xml:space="preserve"> </w:t>
      </w:r>
      <w:r w:rsidRPr="005C1019">
        <w:rPr>
          <w:rFonts w:eastAsia="Arial Unicode MS" w:hint="eastAsia"/>
          <w:snapToGrid w:val="0"/>
          <w:color w:val="000000"/>
          <w:sz w:val="26"/>
          <w:szCs w:val="26"/>
          <w:rtl/>
          <w:lang w:eastAsia="ja-JP"/>
        </w:rPr>
        <w:t>האמור</w:t>
      </w:r>
      <w:r w:rsidRPr="005C1019">
        <w:rPr>
          <w:rFonts w:eastAsia="Arial Unicode MS"/>
          <w:snapToGrid w:val="0"/>
          <w:color w:val="000000"/>
          <w:sz w:val="26"/>
          <w:szCs w:val="26"/>
          <w:rtl/>
          <w:lang w:eastAsia="ja-JP"/>
        </w:rPr>
        <w:t xml:space="preserve">, </w:t>
      </w:r>
      <w:r w:rsidRPr="005C1019">
        <w:rPr>
          <w:rFonts w:eastAsia="Arial Unicode MS" w:hint="eastAsia"/>
          <w:snapToGrid w:val="0"/>
          <w:color w:val="000000"/>
          <w:sz w:val="26"/>
          <w:szCs w:val="26"/>
          <w:rtl/>
          <w:lang w:eastAsia="ja-JP"/>
        </w:rPr>
        <w:t>לרבות</w:t>
      </w:r>
      <w:r w:rsidRPr="005C1019">
        <w:rPr>
          <w:rFonts w:eastAsia="Arial Unicode MS"/>
          <w:snapToGrid w:val="0"/>
          <w:color w:val="000000"/>
          <w:sz w:val="26"/>
          <w:szCs w:val="26"/>
          <w:rtl/>
          <w:lang w:eastAsia="ja-JP"/>
        </w:rPr>
        <w:t xml:space="preserve"> </w:t>
      </w:r>
      <w:r w:rsidRPr="005C1019">
        <w:rPr>
          <w:rFonts w:eastAsia="Arial Unicode MS" w:hint="eastAsia"/>
          <w:snapToGrid w:val="0"/>
          <w:color w:val="000000"/>
          <w:sz w:val="26"/>
          <w:szCs w:val="26"/>
          <w:rtl/>
          <w:lang w:eastAsia="ja-JP"/>
        </w:rPr>
        <w:t>האפשרות</w:t>
      </w:r>
      <w:r w:rsidRPr="005C1019">
        <w:rPr>
          <w:rFonts w:eastAsia="Arial Unicode MS"/>
          <w:snapToGrid w:val="0"/>
          <w:color w:val="000000"/>
          <w:sz w:val="26"/>
          <w:szCs w:val="26"/>
          <w:rtl/>
          <w:lang w:eastAsia="ja-JP"/>
        </w:rPr>
        <w:t xml:space="preserve"> </w:t>
      </w:r>
      <w:r w:rsidRPr="005C1019">
        <w:rPr>
          <w:rFonts w:eastAsia="Arial Unicode MS" w:hint="eastAsia"/>
          <w:snapToGrid w:val="0"/>
          <w:color w:val="000000"/>
          <w:sz w:val="26"/>
          <w:szCs w:val="26"/>
          <w:rtl/>
          <w:lang w:eastAsia="ja-JP"/>
        </w:rPr>
        <w:t>להעבירו</w:t>
      </w:r>
      <w:r w:rsidRPr="005C1019">
        <w:rPr>
          <w:rFonts w:eastAsia="Arial Unicode MS"/>
          <w:snapToGrid w:val="0"/>
          <w:color w:val="000000"/>
          <w:sz w:val="26"/>
          <w:szCs w:val="26"/>
          <w:rtl/>
          <w:lang w:eastAsia="ja-JP"/>
        </w:rPr>
        <w:t xml:space="preserve"> </w:t>
      </w:r>
      <w:r w:rsidRPr="005C1019">
        <w:rPr>
          <w:rFonts w:eastAsia="Arial Unicode MS" w:hint="eastAsia"/>
          <w:snapToGrid w:val="0"/>
          <w:color w:val="000000"/>
          <w:sz w:val="26"/>
          <w:szCs w:val="26"/>
          <w:rtl/>
          <w:lang w:eastAsia="ja-JP"/>
        </w:rPr>
        <w:t>מתפקידו</w:t>
      </w:r>
      <w:r w:rsidRPr="00F90E80">
        <w:rPr>
          <w:rFonts w:eastAsia="Arial Unicode MS"/>
          <w:snapToGrid w:val="0"/>
          <w:color w:val="000000"/>
          <w:sz w:val="26"/>
          <w:szCs w:val="26"/>
          <w:rtl/>
          <w:lang w:eastAsia="ja-JP"/>
        </w:rPr>
        <w:t>.</w:t>
      </w:r>
      <w:r w:rsidRPr="00F90E80">
        <w:rPr>
          <w:rFonts w:eastAsia="Arial Unicode MS" w:hint="cs"/>
          <w:snapToGrid w:val="0"/>
          <w:color w:val="000000"/>
          <w:sz w:val="26"/>
          <w:szCs w:val="26"/>
          <w:rtl/>
          <w:lang w:eastAsia="ja-JP"/>
        </w:rPr>
        <w:t xml:space="preserve"> יובהר כי </w:t>
      </w:r>
      <w:r w:rsidRPr="00F90E80">
        <w:rPr>
          <w:rFonts w:eastAsia="Arial Unicode MS"/>
          <w:snapToGrid w:val="0"/>
          <w:color w:val="000000"/>
          <w:sz w:val="26"/>
          <w:szCs w:val="26"/>
          <w:rtl/>
          <w:lang w:eastAsia="ja-JP"/>
        </w:rPr>
        <w:t>אין באמור להקנות לראש הממשלה</w:t>
      </w:r>
      <w:r w:rsidRPr="00F90E80">
        <w:rPr>
          <w:rFonts w:eastAsia="Arial Unicode MS" w:hint="cs"/>
          <w:snapToGrid w:val="0"/>
          <w:color w:val="000000"/>
          <w:sz w:val="26"/>
          <w:szCs w:val="26"/>
          <w:rtl/>
          <w:lang w:eastAsia="ja-JP"/>
        </w:rPr>
        <w:t xml:space="preserve"> או לכל גורם אחר</w:t>
      </w:r>
      <w:r w:rsidRPr="00F90E80">
        <w:rPr>
          <w:rFonts w:eastAsia="Arial Unicode MS"/>
          <w:snapToGrid w:val="0"/>
          <w:color w:val="000000"/>
          <w:sz w:val="26"/>
          <w:szCs w:val="26"/>
          <w:rtl/>
          <w:lang w:eastAsia="ja-JP"/>
        </w:rPr>
        <w:t xml:space="preserve"> סמכויות שאינן מצויות ביד</w:t>
      </w:r>
      <w:r w:rsidRPr="00F90E80">
        <w:rPr>
          <w:rFonts w:eastAsia="Arial Unicode MS" w:hint="cs"/>
          <w:snapToGrid w:val="0"/>
          <w:color w:val="000000"/>
          <w:sz w:val="26"/>
          <w:szCs w:val="26"/>
          <w:rtl/>
          <w:lang w:eastAsia="ja-JP"/>
        </w:rPr>
        <w:t>יהם</w:t>
      </w:r>
      <w:r w:rsidRPr="00F90E80">
        <w:rPr>
          <w:rFonts w:eastAsia="Arial Unicode MS"/>
          <w:snapToGrid w:val="0"/>
          <w:color w:val="000000"/>
          <w:sz w:val="26"/>
          <w:szCs w:val="26"/>
          <w:rtl/>
          <w:lang w:eastAsia="ja-JP"/>
        </w:rPr>
        <w:t xml:space="preserve"> כיום על-פי כל דין. </w:t>
      </w:r>
      <w:r w:rsidRPr="005C1019">
        <w:rPr>
          <w:rFonts w:eastAsia="Arial Unicode MS"/>
          <w:snapToGrid w:val="0"/>
          <w:color w:val="000000"/>
          <w:sz w:val="26"/>
          <w:szCs w:val="26"/>
          <w:rtl/>
          <w:lang w:eastAsia="ja-JP"/>
        </w:rPr>
        <w:t xml:space="preserve">עלה החשש </w:t>
      </w:r>
      <w:r w:rsidRPr="005C1019">
        <w:rPr>
          <w:rFonts w:eastAsia="Arial Unicode MS" w:hint="eastAsia"/>
          <w:snapToGrid w:val="0"/>
          <w:color w:val="000000"/>
          <w:sz w:val="26"/>
          <w:szCs w:val="26"/>
          <w:rtl/>
          <w:lang w:eastAsia="ja-JP"/>
        </w:rPr>
        <w:t>שאחד</w:t>
      </w:r>
      <w:r w:rsidRPr="005C1019">
        <w:rPr>
          <w:rFonts w:eastAsia="Arial Unicode MS"/>
          <w:snapToGrid w:val="0"/>
          <w:color w:val="000000"/>
          <w:sz w:val="26"/>
          <w:szCs w:val="26"/>
          <w:rtl/>
          <w:lang w:eastAsia="ja-JP"/>
        </w:rPr>
        <w:t xml:space="preserve"> מצוות השרים שאינו ראש הממשלה העביר מידע שלא בסמכות – לא ישתתף השר בהתייעצות שיקיים ראש הממשלה בעניינו לפי סעיף קטן זה.</w:t>
      </w:r>
      <w:r>
        <w:rPr>
          <w:rFonts w:eastAsia="Arial Unicode MS" w:hint="cs"/>
          <w:snapToGrid w:val="0"/>
          <w:color w:val="000000"/>
          <w:sz w:val="26"/>
          <w:szCs w:val="26"/>
          <w:rtl/>
          <w:lang w:eastAsia="ja-JP"/>
        </w:rPr>
        <w:t xml:space="preserve"> </w:t>
      </w:r>
      <w:r w:rsidRPr="00F90E80">
        <w:rPr>
          <w:rFonts w:eastAsia="Arial Unicode MS"/>
          <w:snapToGrid w:val="0"/>
          <w:color w:val="000000"/>
          <w:sz w:val="26"/>
          <w:szCs w:val="26"/>
          <w:rtl/>
          <w:lang w:eastAsia="ja-JP"/>
        </w:rPr>
        <w:t xml:space="preserve">עלה החשש שראש הממשלה </w:t>
      </w:r>
      <w:r w:rsidRPr="00F90E80">
        <w:rPr>
          <w:rFonts w:eastAsia="Arial Unicode MS" w:hint="cs"/>
          <w:snapToGrid w:val="0"/>
          <w:color w:val="000000"/>
          <w:sz w:val="26"/>
          <w:szCs w:val="26"/>
          <w:rtl/>
          <w:lang w:eastAsia="ja-JP"/>
        </w:rPr>
        <w:t>העביר</w:t>
      </w:r>
      <w:r w:rsidRPr="00F90E80">
        <w:rPr>
          <w:rFonts w:eastAsia="Arial Unicode MS"/>
          <w:snapToGrid w:val="0"/>
          <w:color w:val="000000"/>
          <w:sz w:val="26"/>
          <w:szCs w:val="26"/>
          <w:rtl/>
          <w:lang w:eastAsia="ja-JP"/>
        </w:rPr>
        <w:t xml:space="preserve"> מידע שלא בסמכות, יתייעצו </w:t>
      </w:r>
      <w:r w:rsidR="002D38F7">
        <w:rPr>
          <w:rFonts w:eastAsia="Arial Unicode MS" w:hint="cs"/>
          <w:snapToGrid w:val="0"/>
          <w:color w:val="000000"/>
          <w:sz w:val="26"/>
          <w:szCs w:val="26"/>
          <w:rtl/>
          <w:lang w:eastAsia="ja-JP"/>
        </w:rPr>
        <w:t xml:space="preserve">בעניין </w:t>
      </w:r>
      <w:r w:rsidRPr="00F90E80">
        <w:rPr>
          <w:rFonts w:eastAsia="Arial Unicode MS"/>
          <w:snapToGrid w:val="0"/>
          <w:color w:val="000000"/>
          <w:sz w:val="26"/>
          <w:szCs w:val="26"/>
          <w:rtl/>
          <w:lang w:eastAsia="ja-JP"/>
        </w:rPr>
        <w:t>שר הביטחון ושר המשפטים עם שר נוסף</w:t>
      </w:r>
      <w:r w:rsidRPr="00F90E80">
        <w:rPr>
          <w:rFonts w:eastAsia="Arial Unicode MS" w:hint="cs"/>
          <w:snapToGrid w:val="0"/>
          <w:color w:val="000000"/>
          <w:sz w:val="26"/>
          <w:szCs w:val="26"/>
          <w:rtl/>
          <w:lang w:eastAsia="ja-JP"/>
        </w:rPr>
        <w:t>,</w:t>
      </w:r>
      <w:r w:rsidRPr="00F90E80">
        <w:rPr>
          <w:rFonts w:eastAsia="Arial Unicode MS"/>
          <w:snapToGrid w:val="0"/>
          <w:color w:val="000000"/>
          <w:sz w:val="26"/>
          <w:szCs w:val="26"/>
          <w:rtl/>
          <w:lang w:eastAsia="ja-JP"/>
        </w:rPr>
        <w:t xml:space="preserve"> </w:t>
      </w:r>
      <w:r w:rsidR="002D38F7">
        <w:rPr>
          <w:rFonts w:eastAsia="Arial Unicode MS" w:hint="cs"/>
          <w:snapToGrid w:val="0"/>
          <w:color w:val="000000"/>
          <w:sz w:val="26"/>
          <w:szCs w:val="26"/>
          <w:rtl/>
          <w:lang w:eastAsia="ja-JP"/>
        </w:rPr>
        <w:t>שיוסכם ביניהם</w:t>
      </w:r>
      <w:r w:rsidRPr="00F90E80">
        <w:rPr>
          <w:rFonts w:eastAsia="Arial Unicode MS" w:hint="cs"/>
          <w:snapToGrid w:val="0"/>
          <w:color w:val="000000"/>
          <w:sz w:val="26"/>
          <w:szCs w:val="26"/>
          <w:rtl/>
          <w:lang w:eastAsia="ja-JP"/>
        </w:rPr>
        <w:t xml:space="preserve">. </w:t>
      </w:r>
    </w:p>
    <w:p w14:paraId="5D4E779A" w14:textId="225BFD6B" w:rsidR="00101EEA" w:rsidRPr="00F90E80" w:rsidRDefault="00101EEA" w:rsidP="00FB08E1">
      <w:pPr>
        <w:tabs>
          <w:tab w:val="left" w:pos="680"/>
          <w:tab w:val="left" w:pos="1020"/>
        </w:tabs>
        <w:autoSpaceDE w:val="0"/>
        <w:autoSpaceDN w:val="0"/>
        <w:adjustRightInd w:val="0"/>
        <w:snapToGrid w:val="0"/>
        <w:spacing w:before="240" w:after="240" w:line="240" w:lineRule="auto"/>
        <w:ind w:left="425"/>
        <w:contextualSpacing w:val="0"/>
        <w:textAlignment w:val="center"/>
        <w:rPr>
          <w:rFonts w:eastAsia="Arial Unicode MS"/>
          <w:snapToGrid w:val="0"/>
          <w:color w:val="000000"/>
          <w:sz w:val="26"/>
          <w:szCs w:val="26"/>
          <w:lang w:eastAsia="ja-JP"/>
        </w:rPr>
      </w:pPr>
      <w:r w:rsidRPr="00F90E80">
        <w:rPr>
          <w:rFonts w:eastAsia="Arial Unicode MS"/>
          <w:snapToGrid w:val="0"/>
          <w:color w:val="000000"/>
          <w:sz w:val="26"/>
          <w:szCs w:val="26"/>
          <w:rtl/>
          <w:lang w:eastAsia="ja-JP"/>
        </w:rPr>
        <w:t xml:space="preserve">(2) </w:t>
      </w:r>
      <w:r w:rsidRPr="00F90E80">
        <w:rPr>
          <w:rFonts w:eastAsia="Arial Unicode MS" w:hint="cs"/>
          <w:snapToGrid w:val="0"/>
          <w:color w:val="000000"/>
          <w:sz w:val="26"/>
          <w:szCs w:val="26"/>
          <w:rtl/>
          <w:lang w:eastAsia="ja-JP"/>
        </w:rPr>
        <w:t xml:space="preserve">משתתפים בדיוני הקבינט שאינם </w:t>
      </w:r>
      <w:r w:rsidRPr="00F90E80">
        <w:rPr>
          <w:rFonts w:eastAsia="Arial Unicode MS"/>
          <w:snapToGrid w:val="0"/>
          <w:color w:val="000000"/>
          <w:sz w:val="26"/>
          <w:szCs w:val="26"/>
          <w:rtl/>
          <w:lang w:eastAsia="ja-JP"/>
        </w:rPr>
        <w:t>נבחר ציבור</w:t>
      </w:r>
      <w:r w:rsidRPr="00F90E80">
        <w:rPr>
          <w:rFonts w:eastAsia="Arial Unicode MS" w:hint="cs"/>
          <w:snapToGrid w:val="0"/>
          <w:color w:val="000000"/>
          <w:sz w:val="26"/>
          <w:szCs w:val="26"/>
          <w:rtl/>
          <w:lang w:eastAsia="ja-JP"/>
        </w:rPr>
        <w:t>:</w:t>
      </w:r>
      <w:r w:rsidRPr="00F90E80">
        <w:rPr>
          <w:rFonts w:eastAsia="Arial Unicode MS"/>
          <w:snapToGrid w:val="0"/>
          <w:color w:val="000000"/>
          <w:sz w:val="26"/>
          <w:szCs w:val="26"/>
          <w:rtl/>
          <w:lang w:eastAsia="ja-JP"/>
        </w:rPr>
        <w:t xml:space="preserve"> </w:t>
      </w:r>
      <w:r w:rsidRPr="005C1019">
        <w:rPr>
          <w:rFonts w:eastAsia="Arial Unicode MS" w:hint="eastAsia"/>
          <w:snapToGrid w:val="0"/>
          <w:color w:val="000000"/>
          <w:sz w:val="26"/>
          <w:szCs w:val="26"/>
          <w:rtl/>
          <w:lang w:eastAsia="ja-JP"/>
        </w:rPr>
        <w:t>ראש</w:t>
      </w:r>
      <w:r w:rsidRPr="005C1019">
        <w:rPr>
          <w:rFonts w:eastAsia="Arial Unicode MS"/>
          <w:snapToGrid w:val="0"/>
          <w:color w:val="000000"/>
          <w:sz w:val="26"/>
          <w:szCs w:val="26"/>
          <w:rtl/>
          <w:lang w:eastAsia="ja-JP"/>
        </w:rPr>
        <w:t xml:space="preserve"> הממשלה יתייעץ עם צוות </w:t>
      </w:r>
      <w:r w:rsidRPr="005C1019">
        <w:rPr>
          <w:rFonts w:eastAsia="Arial Unicode MS" w:hint="eastAsia"/>
          <w:snapToGrid w:val="0"/>
          <w:color w:val="000000"/>
          <w:sz w:val="26"/>
          <w:szCs w:val="26"/>
          <w:rtl/>
          <w:lang w:eastAsia="ja-JP"/>
        </w:rPr>
        <w:t>השרים</w:t>
      </w:r>
      <w:r w:rsidRPr="005C1019">
        <w:rPr>
          <w:rFonts w:eastAsia="Arial Unicode MS"/>
          <w:snapToGrid w:val="0"/>
          <w:color w:val="000000"/>
          <w:sz w:val="26"/>
          <w:szCs w:val="26"/>
          <w:rtl/>
          <w:lang w:eastAsia="ja-JP"/>
        </w:rPr>
        <w:t xml:space="preserve"> </w:t>
      </w:r>
      <w:r w:rsidRPr="005C1019">
        <w:rPr>
          <w:rFonts w:eastAsia="Arial Unicode MS" w:hint="eastAsia"/>
          <w:snapToGrid w:val="0"/>
          <w:color w:val="000000"/>
          <w:sz w:val="26"/>
          <w:szCs w:val="26"/>
          <w:rtl/>
          <w:lang w:eastAsia="ja-JP"/>
        </w:rPr>
        <w:t>אם</w:t>
      </w:r>
      <w:r w:rsidRPr="005C1019">
        <w:rPr>
          <w:rFonts w:eastAsia="Arial Unicode MS"/>
          <w:snapToGrid w:val="0"/>
          <w:color w:val="000000"/>
          <w:sz w:val="26"/>
          <w:szCs w:val="26"/>
          <w:rtl/>
          <w:lang w:eastAsia="ja-JP"/>
        </w:rPr>
        <w:t xml:space="preserve"> </w:t>
      </w:r>
      <w:r w:rsidRPr="005C1019">
        <w:rPr>
          <w:rFonts w:eastAsia="Arial Unicode MS" w:hint="eastAsia"/>
          <w:snapToGrid w:val="0"/>
          <w:color w:val="000000"/>
          <w:sz w:val="26"/>
          <w:szCs w:val="26"/>
          <w:rtl/>
          <w:lang w:eastAsia="ja-JP"/>
        </w:rPr>
        <w:t>לפעול</w:t>
      </w:r>
      <w:r w:rsidRPr="005C1019">
        <w:rPr>
          <w:rFonts w:eastAsia="Arial Unicode MS"/>
          <w:snapToGrid w:val="0"/>
          <w:color w:val="000000"/>
          <w:sz w:val="26"/>
          <w:szCs w:val="26"/>
          <w:rtl/>
          <w:lang w:eastAsia="ja-JP"/>
        </w:rPr>
        <w:t xml:space="preserve">  </w:t>
      </w:r>
      <w:r w:rsidRPr="005C1019">
        <w:rPr>
          <w:rFonts w:eastAsia="Arial Unicode MS" w:hint="eastAsia"/>
          <w:snapToGrid w:val="0"/>
          <w:color w:val="000000"/>
          <w:sz w:val="26"/>
          <w:szCs w:val="26"/>
          <w:rtl/>
          <w:lang w:eastAsia="ja-JP"/>
        </w:rPr>
        <w:t>הפסקת</w:t>
      </w:r>
      <w:r w:rsidRPr="005C1019">
        <w:rPr>
          <w:rFonts w:eastAsia="Arial Unicode MS"/>
          <w:snapToGrid w:val="0"/>
          <w:color w:val="000000"/>
          <w:sz w:val="26"/>
          <w:szCs w:val="26"/>
          <w:rtl/>
          <w:lang w:eastAsia="ja-JP"/>
        </w:rPr>
        <w:t xml:space="preserve"> </w:t>
      </w:r>
      <w:r w:rsidRPr="005C1019">
        <w:rPr>
          <w:rFonts w:eastAsia="Arial Unicode MS" w:hint="eastAsia"/>
          <w:snapToGrid w:val="0"/>
          <w:color w:val="000000"/>
          <w:sz w:val="26"/>
          <w:szCs w:val="26"/>
          <w:rtl/>
          <w:lang w:eastAsia="ja-JP"/>
        </w:rPr>
        <w:t>הזמנת</w:t>
      </w:r>
      <w:r w:rsidRPr="005C1019">
        <w:rPr>
          <w:rFonts w:eastAsia="Arial Unicode MS"/>
          <w:snapToGrid w:val="0"/>
          <w:color w:val="000000"/>
          <w:sz w:val="26"/>
          <w:szCs w:val="26"/>
          <w:rtl/>
          <w:lang w:eastAsia="ja-JP"/>
        </w:rPr>
        <w:t xml:space="preserve"> </w:t>
      </w:r>
      <w:r w:rsidRPr="005C1019">
        <w:rPr>
          <w:rFonts w:eastAsia="Arial Unicode MS" w:hint="eastAsia"/>
          <w:snapToGrid w:val="0"/>
          <w:color w:val="000000"/>
          <w:sz w:val="26"/>
          <w:szCs w:val="26"/>
          <w:rtl/>
          <w:lang w:eastAsia="ja-JP"/>
        </w:rPr>
        <w:t>המשתתף</w:t>
      </w:r>
      <w:r w:rsidRPr="005C1019">
        <w:rPr>
          <w:rFonts w:eastAsia="Arial Unicode MS"/>
          <w:snapToGrid w:val="0"/>
          <w:color w:val="000000"/>
          <w:sz w:val="26"/>
          <w:szCs w:val="26"/>
          <w:rtl/>
          <w:lang w:eastAsia="ja-JP"/>
        </w:rPr>
        <w:t xml:space="preserve"> </w:t>
      </w:r>
      <w:r w:rsidRPr="005C1019">
        <w:rPr>
          <w:rFonts w:eastAsia="Arial Unicode MS" w:hint="eastAsia"/>
          <w:snapToGrid w:val="0"/>
          <w:color w:val="000000"/>
          <w:sz w:val="26"/>
          <w:szCs w:val="26"/>
          <w:rtl/>
          <w:lang w:eastAsia="ja-JP"/>
        </w:rPr>
        <w:t>לדיוני</w:t>
      </w:r>
      <w:r w:rsidRPr="005C1019">
        <w:rPr>
          <w:rFonts w:eastAsia="Arial Unicode MS"/>
          <w:snapToGrid w:val="0"/>
          <w:color w:val="000000"/>
          <w:sz w:val="26"/>
          <w:szCs w:val="26"/>
          <w:rtl/>
          <w:lang w:eastAsia="ja-JP"/>
        </w:rPr>
        <w:t xml:space="preserve"> </w:t>
      </w:r>
      <w:r w:rsidRPr="005C1019">
        <w:rPr>
          <w:rFonts w:eastAsia="Arial Unicode MS" w:hint="eastAsia"/>
          <w:snapToGrid w:val="0"/>
          <w:color w:val="000000"/>
          <w:sz w:val="26"/>
          <w:szCs w:val="26"/>
          <w:rtl/>
          <w:lang w:eastAsia="ja-JP"/>
        </w:rPr>
        <w:t>הקבינט</w:t>
      </w:r>
      <w:r w:rsidRPr="005C1019">
        <w:rPr>
          <w:rFonts w:eastAsia="Arial Unicode MS"/>
          <w:snapToGrid w:val="0"/>
          <w:color w:val="000000"/>
          <w:sz w:val="26"/>
          <w:szCs w:val="26"/>
          <w:lang w:eastAsia="ja-JP"/>
        </w:rPr>
        <w:t>;</w:t>
      </w:r>
      <w:r w:rsidR="00FD4426">
        <w:rPr>
          <w:rFonts w:eastAsia="Arial Unicode MS" w:hint="cs"/>
          <w:snapToGrid w:val="0"/>
          <w:color w:val="000000"/>
          <w:sz w:val="26"/>
          <w:szCs w:val="26"/>
          <w:rtl/>
          <w:lang w:eastAsia="ja-JP"/>
        </w:rPr>
        <w:t xml:space="preserve"> </w:t>
      </w:r>
      <w:r w:rsidRPr="00F90E80">
        <w:rPr>
          <w:rFonts w:eastAsia="Arial Unicode MS" w:hint="cs"/>
          <w:snapToGrid w:val="0"/>
          <w:color w:val="000000"/>
          <w:sz w:val="26"/>
          <w:szCs w:val="26"/>
          <w:rtl/>
          <w:lang w:eastAsia="ja-JP"/>
        </w:rPr>
        <w:t>הגוף הציבורי אליו משויך המשתתף ישקול לנקוט צעדים בעניין, לרבות האפשרות להפסקת תפקידו בגוף הציבורי</w:t>
      </w:r>
      <w:r w:rsidRPr="00F90E80">
        <w:rPr>
          <w:rFonts w:eastAsia="Arial Unicode MS"/>
          <w:snapToGrid w:val="0"/>
          <w:color w:val="000000"/>
          <w:sz w:val="26"/>
          <w:szCs w:val="26"/>
          <w:rtl/>
          <w:lang w:eastAsia="ja-JP"/>
        </w:rPr>
        <w:t xml:space="preserve">. </w:t>
      </w:r>
    </w:p>
    <w:p w14:paraId="264F25B7" w14:textId="77777777" w:rsidR="00101EEA" w:rsidRPr="00F90E80" w:rsidRDefault="00101EEA" w:rsidP="00FB08E1">
      <w:pPr>
        <w:tabs>
          <w:tab w:val="left" w:pos="680"/>
          <w:tab w:val="left" w:pos="1020"/>
        </w:tabs>
        <w:autoSpaceDE w:val="0"/>
        <w:autoSpaceDN w:val="0"/>
        <w:adjustRightInd w:val="0"/>
        <w:snapToGrid w:val="0"/>
        <w:spacing w:before="240" w:after="240" w:line="240" w:lineRule="auto"/>
        <w:ind w:left="425"/>
        <w:contextualSpacing w:val="0"/>
        <w:textAlignment w:val="center"/>
        <w:rPr>
          <w:rFonts w:eastAsia="Arial Unicode MS"/>
          <w:snapToGrid w:val="0"/>
          <w:color w:val="000000"/>
          <w:sz w:val="26"/>
          <w:szCs w:val="26"/>
          <w:rtl/>
          <w:lang w:eastAsia="ja-JP"/>
        </w:rPr>
      </w:pPr>
      <w:r w:rsidRPr="00F90E80">
        <w:rPr>
          <w:rFonts w:eastAsia="Arial Unicode MS"/>
          <w:snapToGrid w:val="0"/>
          <w:color w:val="000000"/>
          <w:sz w:val="26"/>
          <w:szCs w:val="26"/>
          <w:rtl/>
          <w:lang w:eastAsia="ja-JP"/>
        </w:rPr>
        <w:t>פסקה (</w:t>
      </w:r>
      <w:r w:rsidRPr="00F90E80">
        <w:rPr>
          <w:rFonts w:eastAsia="Arial Unicode MS" w:hint="cs"/>
          <w:snapToGrid w:val="0"/>
          <w:color w:val="000000"/>
          <w:sz w:val="26"/>
          <w:szCs w:val="26"/>
          <w:rtl/>
          <w:lang w:eastAsia="ja-JP"/>
        </w:rPr>
        <w:t>ה</w:t>
      </w:r>
      <w:r w:rsidRPr="00F90E80">
        <w:rPr>
          <w:rFonts w:eastAsia="Arial Unicode MS"/>
          <w:snapToGrid w:val="0"/>
          <w:color w:val="000000"/>
          <w:sz w:val="26"/>
          <w:szCs w:val="26"/>
          <w:rtl/>
          <w:lang w:eastAsia="ja-JP"/>
        </w:rPr>
        <w:t>)</w:t>
      </w:r>
    </w:p>
    <w:p w14:paraId="45669DFE" w14:textId="195A31B2" w:rsidR="00101EEA" w:rsidRPr="00F90E80" w:rsidRDefault="00101EEA" w:rsidP="00FD4426">
      <w:pPr>
        <w:tabs>
          <w:tab w:val="left" w:pos="680"/>
          <w:tab w:val="left" w:pos="1020"/>
        </w:tabs>
        <w:autoSpaceDE w:val="0"/>
        <w:autoSpaceDN w:val="0"/>
        <w:adjustRightInd w:val="0"/>
        <w:snapToGrid w:val="0"/>
        <w:spacing w:before="240" w:after="240" w:line="240" w:lineRule="auto"/>
        <w:ind w:left="425"/>
        <w:contextualSpacing w:val="0"/>
        <w:textAlignment w:val="center"/>
        <w:rPr>
          <w:rFonts w:eastAsia="Arial Unicode MS"/>
          <w:snapToGrid w:val="0"/>
          <w:color w:val="000000"/>
          <w:sz w:val="26"/>
          <w:szCs w:val="26"/>
          <w:rtl/>
          <w:lang w:eastAsia="ja-JP"/>
        </w:rPr>
      </w:pPr>
      <w:r w:rsidRPr="00F90E80">
        <w:rPr>
          <w:rFonts w:eastAsia="Arial Unicode MS"/>
          <w:snapToGrid w:val="0"/>
          <w:color w:val="000000"/>
          <w:sz w:val="26"/>
          <w:szCs w:val="26"/>
          <w:rtl/>
          <w:lang w:eastAsia="ja-JP"/>
        </w:rPr>
        <w:t>הפסקה מציעה להסדיר הליך השגה למשתתף בדיוני הקבינט שרואה עצמו ש</w:t>
      </w:r>
      <w:r w:rsidRPr="00F90E80">
        <w:rPr>
          <w:rFonts w:eastAsia="Arial Unicode MS" w:hint="cs"/>
          <w:snapToGrid w:val="0"/>
          <w:color w:val="000000"/>
          <w:sz w:val="26"/>
          <w:szCs w:val="26"/>
          <w:rtl/>
          <w:lang w:eastAsia="ja-JP"/>
        </w:rPr>
        <w:t>נ</w:t>
      </w:r>
      <w:r w:rsidRPr="00F90E80">
        <w:rPr>
          <w:rFonts w:eastAsia="Arial Unicode MS"/>
          <w:snapToGrid w:val="0"/>
          <w:color w:val="000000"/>
          <w:sz w:val="26"/>
          <w:szCs w:val="26"/>
          <w:rtl/>
          <w:lang w:eastAsia="ja-JP"/>
        </w:rPr>
        <w:t>פגע מתוצאות הבדיקה</w:t>
      </w:r>
      <w:r w:rsidRPr="00F90E80">
        <w:rPr>
          <w:rFonts w:eastAsia="Arial Unicode MS" w:hint="cs"/>
          <w:snapToGrid w:val="0"/>
          <w:color w:val="000000"/>
          <w:sz w:val="26"/>
          <w:szCs w:val="26"/>
          <w:rtl/>
          <w:lang w:eastAsia="ja-JP"/>
        </w:rPr>
        <w:t xml:space="preserve"> העתית</w:t>
      </w:r>
      <w:r w:rsidRPr="00F90E80">
        <w:rPr>
          <w:rFonts w:eastAsia="Arial Unicode MS"/>
          <w:snapToGrid w:val="0"/>
          <w:color w:val="000000"/>
          <w:sz w:val="26"/>
          <w:szCs w:val="26"/>
          <w:rtl/>
          <w:lang w:eastAsia="ja-JP"/>
        </w:rPr>
        <w:t xml:space="preserve">. הפסקה מציעה להחיל הסדר </w:t>
      </w:r>
      <w:r w:rsidRPr="00F90E80">
        <w:rPr>
          <w:rFonts w:eastAsia="Arial Unicode MS" w:hint="cs"/>
          <w:snapToGrid w:val="0"/>
          <w:color w:val="000000"/>
          <w:sz w:val="26"/>
          <w:szCs w:val="26"/>
          <w:rtl/>
          <w:lang w:eastAsia="ja-JP"/>
        </w:rPr>
        <w:t>הדומה במידה מסוימת</w:t>
      </w:r>
      <w:r w:rsidRPr="00F90E80">
        <w:rPr>
          <w:rFonts w:eastAsia="Arial Unicode MS"/>
          <w:snapToGrid w:val="0"/>
          <w:color w:val="000000"/>
          <w:sz w:val="26"/>
          <w:szCs w:val="26"/>
          <w:rtl/>
          <w:lang w:eastAsia="ja-JP"/>
        </w:rPr>
        <w:t xml:space="preserve"> להסדר שקבוע בחוק השב"כ ביחס לנבדק בבדיקת התאמה ביטחונית המעוניין להגיש השגה. ההסדר קובע שמשתתף בדיוני הקבינט</w:t>
      </w:r>
      <w:r w:rsidRPr="00F90E80">
        <w:rPr>
          <w:rFonts w:eastAsia="Arial Unicode MS" w:hint="cs"/>
          <w:snapToGrid w:val="0"/>
          <w:color w:val="000000"/>
          <w:sz w:val="26"/>
          <w:szCs w:val="26"/>
          <w:rtl/>
          <w:lang w:eastAsia="ja-JP"/>
        </w:rPr>
        <w:t xml:space="preserve"> </w:t>
      </w:r>
      <w:r w:rsidR="00FD4426">
        <w:rPr>
          <w:rFonts w:eastAsia="Arial Unicode MS"/>
          <w:snapToGrid w:val="0"/>
          <w:color w:val="000000"/>
          <w:sz w:val="26"/>
          <w:szCs w:val="26"/>
          <w:rtl/>
          <w:lang w:eastAsia="ja-JP"/>
        </w:rPr>
        <w:t>הרואה עצמו נפגע מ</w:t>
      </w:r>
      <w:r w:rsidR="00FD4426">
        <w:rPr>
          <w:rFonts w:eastAsia="Arial Unicode MS" w:hint="cs"/>
          <w:snapToGrid w:val="0"/>
          <w:color w:val="000000"/>
          <w:sz w:val="26"/>
          <w:szCs w:val="26"/>
          <w:rtl/>
          <w:lang w:eastAsia="ja-JP"/>
        </w:rPr>
        <w:t>הודעת שב"כ לפיה קיים חשש כי</w:t>
      </w:r>
      <w:r w:rsidRPr="00F90E80">
        <w:rPr>
          <w:rFonts w:eastAsia="Arial Unicode MS"/>
          <w:snapToGrid w:val="0"/>
          <w:color w:val="000000"/>
          <w:sz w:val="26"/>
          <w:szCs w:val="26"/>
          <w:rtl/>
          <w:lang w:eastAsia="ja-JP"/>
        </w:rPr>
        <w:t xml:space="preserve"> ביצע הדלפה מדיוני הקבינט, זכאי להשיג על ההחלטה לפני ועדה של שלושה, שיושב הראש שלה יהיה שופט עליון בדימוס </w:t>
      </w:r>
      <w:r w:rsidRPr="00F90E80">
        <w:rPr>
          <w:rFonts w:eastAsia="Arial Unicode MS" w:hint="cs"/>
          <w:snapToGrid w:val="0"/>
          <w:color w:val="000000"/>
          <w:sz w:val="26"/>
          <w:szCs w:val="26"/>
          <w:rtl/>
          <w:lang w:eastAsia="ja-JP"/>
        </w:rPr>
        <w:t>או נשיא בית</w:t>
      </w:r>
      <w:r w:rsidRPr="00F90E80">
        <w:rPr>
          <w:rFonts w:eastAsia="Arial Unicode MS"/>
          <w:snapToGrid w:val="0"/>
          <w:color w:val="000000"/>
          <w:sz w:val="26"/>
          <w:szCs w:val="26"/>
          <w:rtl/>
          <w:lang w:eastAsia="ja-JP"/>
        </w:rPr>
        <w:t xml:space="preserve"> </w:t>
      </w:r>
      <w:r w:rsidRPr="00F90E80">
        <w:rPr>
          <w:rFonts w:eastAsia="Arial Unicode MS" w:hint="cs"/>
          <w:snapToGrid w:val="0"/>
          <w:color w:val="000000"/>
          <w:sz w:val="26"/>
          <w:szCs w:val="26"/>
          <w:rtl/>
          <w:lang w:eastAsia="ja-JP"/>
        </w:rPr>
        <w:t>משפט</w:t>
      </w:r>
      <w:r w:rsidRPr="00F90E80">
        <w:rPr>
          <w:rFonts w:eastAsia="Arial Unicode MS"/>
          <w:snapToGrid w:val="0"/>
          <w:color w:val="000000"/>
          <w:sz w:val="26"/>
          <w:szCs w:val="26"/>
          <w:rtl/>
          <w:lang w:eastAsia="ja-JP"/>
        </w:rPr>
        <w:t xml:space="preserve"> מחוזי בדימוס, אשר תמונה על ידי </w:t>
      </w:r>
      <w:r w:rsidRPr="00F90E80">
        <w:rPr>
          <w:rFonts w:eastAsia="Arial Unicode MS" w:hint="cs"/>
          <w:snapToGrid w:val="0"/>
          <w:color w:val="000000"/>
          <w:sz w:val="26"/>
          <w:szCs w:val="26"/>
          <w:rtl/>
          <w:lang w:eastAsia="ja-JP"/>
        </w:rPr>
        <w:t>הקבינט המדיני-ביטחוני בהמלצת</w:t>
      </w:r>
      <w:r w:rsidR="00FD4426">
        <w:rPr>
          <w:rFonts w:eastAsia="Arial Unicode MS"/>
          <w:snapToGrid w:val="0"/>
          <w:color w:val="000000"/>
          <w:sz w:val="26"/>
          <w:szCs w:val="26"/>
          <w:rtl/>
          <w:lang w:eastAsia="ja-JP"/>
        </w:rPr>
        <w:t xml:space="preserve"> שר המשפטים</w:t>
      </w:r>
      <w:r w:rsidRPr="00F90E80">
        <w:rPr>
          <w:rFonts w:eastAsia="Arial Unicode MS"/>
          <w:snapToGrid w:val="0"/>
          <w:color w:val="000000"/>
          <w:sz w:val="26"/>
          <w:szCs w:val="26"/>
          <w:rtl/>
          <w:lang w:eastAsia="ja-JP"/>
        </w:rPr>
        <w:t>.</w:t>
      </w:r>
    </w:p>
    <w:p w14:paraId="0CC8022D" w14:textId="77777777" w:rsidR="00101EEA" w:rsidRPr="00F90E80" w:rsidRDefault="00101EEA" w:rsidP="00FB08E1">
      <w:pPr>
        <w:tabs>
          <w:tab w:val="left" w:pos="680"/>
          <w:tab w:val="left" w:pos="1020"/>
        </w:tabs>
        <w:autoSpaceDE w:val="0"/>
        <w:autoSpaceDN w:val="0"/>
        <w:adjustRightInd w:val="0"/>
        <w:snapToGrid w:val="0"/>
        <w:spacing w:before="240" w:after="240" w:line="240" w:lineRule="auto"/>
        <w:ind w:left="425"/>
        <w:contextualSpacing w:val="0"/>
        <w:textAlignment w:val="center"/>
        <w:rPr>
          <w:rFonts w:eastAsia="Arial Unicode MS"/>
          <w:snapToGrid w:val="0"/>
          <w:color w:val="000000"/>
          <w:sz w:val="26"/>
          <w:szCs w:val="26"/>
          <w:rtl/>
          <w:lang w:eastAsia="ja-JP"/>
        </w:rPr>
      </w:pPr>
      <w:r w:rsidRPr="00F90E80">
        <w:rPr>
          <w:rFonts w:eastAsia="Arial Unicode MS"/>
          <w:snapToGrid w:val="0"/>
          <w:color w:val="000000"/>
          <w:sz w:val="26"/>
          <w:szCs w:val="26"/>
          <w:rtl/>
          <w:lang w:eastAsia="ja-JP"/>
        </w:rPr>
        <w:t>פסקה (</w:t>
      </w:r>
      <w:r w:rsidRPr="00F90E80">
        <w:rPr>
          <w:rFonts w:eastAsia="Arial Unicode MS" w:hint="cs"/>
          <w:snapToGrid w:val="0"/>
          <w:color w:val="000000"/>
          <w:sz w:val="26"/>
          <w:szCs w:val="26"/>
          <w:rtl/>
          <w:lang w:eastAsia="ja-JP"/>
        </w:rPr>
        <w:t>ו</w:t>
      </w:r>
      <w:r w:rsidRPr="00F90E80">
        <w:rPr>
          <w:rFonts w:eastAsia="Arial Unicode MS"/>
          <w:snapToGrid w:val="0"/>
          <w:color w:val="000000"/>
          <w:sz w:val="26"/>
          <w:szCs w:val="26"/>
          <w:rtl/>
          <w:lang w:eastAsia="ja-JP"/>
        </w:rPr>
        <w:t>)</w:t>
      </w:r>
    </w:p>
    <w:p w14:paraId="70083736" w14:textId="64276C55" w:rsidR="00101EEA" w:rsidRDefault="00101EEA" w:rsidP="00FD4426">
      <w:pPr>
        <w:tabs>
          <w:tab w:val="left" w:pos="680"/>
          <w:tab w:val="left" w:pos="1020"/>
        </w:tabs>
        <w:autoSpaceDE w:val="0"/>
        <w:autoSpaceDN w:val="0"/>
        <w:adjustRightInd w:val="0"/>
        <w:snapToGrid w:val="0"/>
        <w:spacing w:before="240" w:after="240" w:line="240" w:lineRule="auto"/>
        <w:ind w:left="425"/>
        <w:contextualSpacing w:val="0"/>
        <w:textAlignment w:val="center"/>
        <w:rPr>
          <w:rFonts w:eastAsia="Arial Unicode MS"/>
          <w:snapToGrid w:val="0"/>
          <w:color w:val="000000"/>
          <w:sz w:val="26"/>
          <w:szCs w:val="26"/>
          <w:rtl/>
          <w:lang w:eastAsia="ja-JP"/>
        </w:rPr>
      </w:pPr>
      <w:r w:rsidRPr="00B71219">
        <w:rPr>
          <w:rFonts w:eastAsia="Arial Unicode MS" w:hint="cs"/>
          <w:snapToGrid w:val="0"/>
          <w:color w:val="000000"/>
          <w:sz w:val="26"/>
          <w:szCs w:val="26"/>
          <w:rtl/>
          <w:lang w:eastAsia="ja-JP"/>
        </w:rPr>
        <w:t xml:space="preserve">מוצע בפסקה זו כי </w:t>
      </w:r>
      <w:r w:rsidRPr="00B71219">
        <w:rPr>
          <w:rFonts w:eastAsia="Arial Unicode MS"/>
          <w:snapToGrid w:val="0"/>
          <w:color w:val="000000"/>
          <w:sz w:val="26"/>
          <w:szCs w:val="26"/>
          <w:rtl/>
          <w:lang w:eastAsia="ja-JP"/>
        </w:rPr>
        <w:t xml:space="preserve">ראש הממשלה </w:t>
      </w:r>
      <w:r w:rsidRPr="00B71219">
        <w:rPr>
          <w:rFonts w:eastAsia="Arial Unicode MS" w:hint="cs"/>
          <w:snapToGrid w:val="0"/>
          <w:color w:val="000000"/>
          <w:sz w:val="26"/>
          <w:szCs w:val="26"/>
          <w:rtl/>
          <w:lang w:eastAsia="ja-JP"/>
        </w:rPr>
        <w:t xml:space="preserve">יקבע, </w:t>
      </w:r>
      <w:r w:rsidRPr="00B71219">
        <w:rPr>
          <w:rFonts w:eastAsia="Arial Unicode MS"/>
          <w:snapToGrid w:val="0"/>
          <w:color w:val="000000"/>
          <w:sz w:val="26"/>
          <w:szCs w:val="26"/>
          <w:rtl/>
          <w:lang w:eastAsia="ja-JP"/>
        </w:rPr>
        <w:t>באישור ועדת השרים לענייני ביטחון לאומי ו</w:t>
      </w:r>
      <w:r w:rsidRPr="00B71219">
        <w:rPr>
          <w:rFonts w:eastAsia="Arial Unicode MS" w:hint="cs"/>
          <w:snapToGrid w:val="0"/>
          <w:color w:val="000000"/>
          <w:sz w:val="26"/>
          <w:szCs w:val="26"/>
          <w:rtl/>
          <w:lang w:eastAsia="ja-JP"/>
        </w:rPr>
        <w:t xml:space="preserve">באישור </w:t>
      </w:r>
      <w:r w:rsidRPr="00B71219">
        <w:rPr>
          <w:rFonts w:eastAsia="Arial Unicode MS"/>
          <w:snapToGrid w:val="0"/>
          <w:color w:val="000000"/>
          <w:sz w:val="26"/>
          <w:szCs w:val="26"/>
          <w:rtl/>
          <w:lang w:eastAsia="ja-JP"/>
        </w:rPr>
        <w:t xml:space="preserve">ועדת חוץ וביטחון של הכנסת, </w:t>
      </w:r>
      <w:r w:rsidRPr="00B71219">
        <w:rPr>
          <w:rFonts w:eastAsia="Arial Unicode MS" w:hint="eastAsia"/>
          <w:snapToGrid w:val="0"/>
          <w:color w:val="000000"/>
          <w:sz w:val="26"/>
          <w:szCs w:val="26"/>
          <w:rtl/>
          <w:lang w:eastAsia="ja-JP"/>
        </w:rPr>
        <w:t>תקנות</w:t>
      </w:r>
      <w:r w:rsidRPr="00B71219">
        <w:rPr>
          <w:rFonts w:eastAsia="Arial Unicode MS"/>
          <w:snapToGrid w:val="0"/>
          <w:color w:val="000000"/>
          <w:sz w:val="26"/>
          <w:szCs w:val="26"/>
          <w:rtl/>
          <w:lang w:eastAsia="ja-JP"/>
        </w:rPr>
        <w:t xml:space="preserve"> לעניין </w:t>
      </w:r>
      <w:r w:rsidRPr="00B71219">
        <w:rPr>
          <w:rFonts w:eastAsia="Arial Unicode MS" w:hint="eastAsia"/>
          <w:snapToGrid w:val="0"/>
          <w:color w:val="000000"/>
          <w:sz w:val="26"/>
          <w:szCs w:val="26"/>
          <w:rtl/>
          <w:lang w:eastAsia="ja-JP"/>
        </w:rPr>
        <w:t>אופן</w:t>
      </w:r>
      <w:r w:rsidRPr="00B71219">
        <w:rPr>
          <w:rFonts w:eastAsia="Arial Unicode MS"/>
          <w:snapToGrid w:val="0"/>
          <w:color w:val="000000"/>
          <w:sz w:val="26"/>
          <w:szCs w:val="26"/>
          <w:rtl/>
          <w:lang w:eastAsia="ja-JP"/>
        </w:rPr>
        <w:t xml:space="preserve"> ביצוע בדיקה עתית, </w:t>
      </w:r>
      <w:r w:rsidRPr="00B71219">
        <w:rPr>
          <w:rFonts w:eastAsia="Arial Unicode MS" w:hint="eastAsia"/>
          <w:snapToGrid w:val="0"/>
          <w:color w:val="000000"/>
          <w:sz w:val="26"/>
          <w:szCs w:val="26"/>
          <w:rtl/>
          <w:lang w:eastAsia="ja-JP"/>
        </w:rPr>
        <w:t>ובכלל</w:t>
      </w:r>
      <w:r w:rsidRPr="00B71219">
        <w:rPr>
          <w:rFonts w:eastAsia="Arial Unicode MS"/>
          <w:snapToGrid w:val="0"/>
          <w:color w:val="000000"/>
          <w:sz w:val="26"/>
          <w:szCs w:val="26"/>
          <w:rtl/>
          <w:lang w:eastAsia="ja-JP"/>
        </w:rPr>
        <w:t xml:space="preserve"> זה: דרכי ביצוע הבדיקה, שמירת המידע שנאסף במהלך הבדיקה על ידי השירות וכן אופן מינוי חברי הוועדה, דרכי הפנייה לוועדה, וסדרי הדיון בה. </w:t>
      </w:r>
      <w:r w:rsidR="00FD4426">
        <w:rPr>
          <w:rFonts w:eastAsia="Arial Unicode MS" w:hint="cs"/>
          <w:snapToGrid w:val="0"/>
          <w:color w:val="000000"/>
          <w:sz w:val="26"/>
          <w:szCs w:val="26"/>
          <w:rtl/>
          <w:lang w:eastAsia="ja-JP"/>
        </w:rPr>
        <w:t>על אף האמור</w:t>
      </w:r>
      <w:r w:rsidRPr="005E13F1">
        <w:rPr>
          <w:rFonts w:eastAsia="Arial Unicode MS"/>
          <w:snapToGrid w:val="0"/>
          <w:color w:val="000000"/>
          <w:sz w:val="26"/>
          <w:szCs w:val="26"/>
          <w:rtl/>
          <w:lang w:eastAsia="ja-JP"/>
        </w:rPr>
        <w:t>,</w:t>
      </w:r>
      <w:r w:rsidR="00FD4426">
        <w:rPr>
          <w:rFonts w:eastAsia="Arial Unicode MS" w:hint="cs"/>
          <w:snapToGrid w:val="0"/>
          <w:color w:val="000000"/>
          <w:sz w:val="26"/>
          <w:szCs w:val="26"/>
          <w:rtl/>
          <w:lang w:eastAsia="ja-JP"/>
        </w:rPr>
        <w:t xml:space="preserve"> היבטים הנוגעים לאופן ביצוע בדיקת הפוליגרף יוסדרו בכללים חסויים אשר גילויים או פרסומם אסור.</w:t>
      </w:r>
      <w:r w:rsidRPr="005E13F1">
        <w:rPr>
          <w:rFonts w:eastAsia="Arial Unicode MS"/>
          <w:snapToGrid w:val="0"/>
          <w:color w:val="000000"/>
          <w:sz w:val="26"/>
          <w:szCs w:val="26"/>
          <w:rtl/>
          <w:lang w:eastAsia="ja-JP"/>
        </w:rPr>
        <w:t xml:space="preserve"> </w:t>
      </w:r>
      <w:r w:rsidRPr="00B71219">
        <w:rPr>
          <w:rFonts w:eastAsia="Arial Unicode MS" w:hint="eastAsia"/>
          <w:snapToGrid w:val="0"/>
          <w:color w:val="000000"/>
          <w:sz w:val="26"/>
          <w:szCs w:val="26"/>
          <w:rtl/>
          <w:lang w:eastAsia="ja-JP"/>
        </w:rPr>
        <w:t>יובהר</w:t>
      </w:r>
      <w:r w:rsidRPr="00B71219">
        <w:rPr>
          <w:rFonts w:eastAsia="Arial Unicode MS"/>
          <w:snapToGrid w:val="0"/>
          <w:color w:val="000000"/>
          <w:sz w:val="26"/>
          <w:szCs w:val="26"/>
          <w:rtl/>
          <w:lang w:eastAsia="ja-JP"/>
        </w:rPr>
        <w:t xml:space="preserve"> כי גם בחוק השב"כ, הכללים בעניין ביצוע בדיקה להתאמה ביטחונית נקבעים על-ידי ראש הממשלה, באישור ועדת השרים לענייני ביטחון לאומי וועדת חוץ וביטחון של הכנסת. </w:t>
      </w:r>
    </w:p>
    <w:p w14:paraId="139C7914" w14:textId="4A2E4737" w:rsidR="0023078B" w:rsidRDefault="0023078B" w:rsidP="00FD4426">
      <w:pPr>
        <w:tabs>
          <w:tab w:val="left" w:pos="680"/>
          <w:tab w:val="left" w:pos="1020"/>
        </w:tabs>
        <w:autoSpaceDE w:val="0"/>
        <w:autoSpaceDN w:val="0"/>
        <w:adjustRightInd w:val="0"/>
        <w:snapToGrid w:val="0"/>
        <w:spacing w:before="240" w:after="240" w:line="240" w:lineRule="auto"/>
        <w:ind w:left="425"/>
        <w:contextualSpacing w:val="0"/>
        <w:textAlignment w:val="center"/>
        <w:rPr>
          <w:rFonts w:eastAsia="Arial Unicode MS"/>
          <w:snapToGrid w:val="0"/>
          <w:color w:val="000000"/>
          <w:sz w:val="26"/>
          <w:szCs w:val="26"/>
          <w:rtl/>
          <w:lang w:eastAsia="ja-JP"/>
        </w:rPr>
      </w:pPr>
      <w:r>
        <w:rPr>
          <w:rFonts w:eastAsia="Arial Unicode MS" w:hint="cs"/>
          <w:snapToGrid w:val="0"/>
          <w:color w:val="000000"/>
          <w:sz w:val="26"/>
          <w:szCs w:val="26"/>
          <w:rtl/>
          <w:lang w:eastAsia="ja-JP"/>
        </w:rPr>
        <w:t>פסקה (ז)</w:t>
      </w:r>
    </w:p>
    <w:p w14:paraId="6C6EE4D7" w14:textId="6C0F152E" w:rsidR="0023078B" w:rsidRPr="00B71219" w:rsidRDefault="0023078B" w:rsidP="00FD4426">
      <w:pPr>
        <w:tabs>
          <w:tab w:val="left" w:pos="680"/>
          <w:tab w:val="left" w:pos="1020"/>
        </w:tabs>
        <w:autoSpaceDE w:val="0"/>
        <w:autoSpaceDN w:val="0"/>
        <w:adjustRightInd w:val="0"/>
        <w:snapToGrid w:val="0"/>
        <w:spacing w:before="240" w:after="240" w:line="240" w:lineRule="auto"/>
        <w:ind w:left="425"/>
        <w:contextualSpacing w:val="0"/>
        <w:textAlignment w:val="center"/>
        <w:rPr>
          <w:rFonts w:eastAsia="Arial Unicode MS"/>
          <w:snapToGrid w:val="0"/>
          <w:color w:val="000000"/>
          <w:sz w:val="26"/>
          <w:szCs w:val="26"/>
          <w:rtl/>
          <w:lang w:eastAsia="ja-JP"/>
        </w:rPr>
      </w:pPr>
      <w:r>
        <w:rPr>
          <w:rFonts w:eastAsia="Arial Unicode MS" w:hint="cs"/>
          <w:snapToGrid w:val="0"/>
          <w:color w:val="000000"/>
          <w:sz w:val="26"/>
          <w:szCs w:val="26"/>
          <w:rtl/>
          <w:lang w:eastAsia="ja-JP"/>
        </w:rPr>
        <w:t xml:space="preserve">מוצע כי ההוראות החלות בסעיף זה יחול על משתתפי דיוני הקבינט שכיהנו בתפקיד ערב כניסת החוק לתוקף. בהתאם לכך, מועד הבדיקה העתית הראשון יהא לאחר שנה מהקמת הממשלה שכיהנה ערב כניסת החוק לתוקף, במועד המוקדם האפשרי. </w:t>
      </w:r>
    </w:p>
    <w:p w14:paraId="4E659639" w14:textId="77777777" w:rsidR="00F90E80" w:rsidRDefault="00F90E80" w:rsidP="00B72B56">
      <w:pPr>
        <w:contextualSpacing w:val="0"/>
        <w:rPr>
          <w:rtl/>
        </w:rPr>
      </w:pPr>
    </w:p>
    <w:p w14:paraId="2A40FA00" w14:textId="77777777" w:rsidR="00F90E80" w:rsidRDefault="00F90E80" w:rsidP="00B72B56">
      <w:pPr>
        <w:contextualSpacing w:val="0"/>
        <w:rPr>
          <w:rtl/>
        </w:rPr>
      </w:pPr>
    </w:p>
    <w:p w14:paraId="19C39E0E" w14:textId="77777777" w:rsidR="00F90E80" w:rsidRDefault="00F90E80" w:rsidP="00B72B56">
      <w:pPr>
        <w:contextualSpacing w:val="0"/>
        <w:rPr>
          <w:rtl/>
        </w:rPr>
      </w:pPr>
    </w:p>
    <w:p w14:paraId="00934094" w14:textId="77777777" w:rsidR="00F90E80" w:rsidRDefault="00F90E80" w:rsidP="00B72B56">
      <w:pPr>
        <w:contextualSpacing w:val="0"/>
        <w:rPr>
          <w:rtl/>
        </w:rPr>
      </w:pPr>
    </w:p>
    <w:p w14:paraId="2C2117CD" w14:textId="77777777" w:rsidR="00F90E80" w:rsidRDefault="00F90E80" w:rsidP="00B72B56">
      <w:pPr>
        <w:contextualSpacing w:val="0"/>
        <w:rPr>
          <w:rtl/>
        </w:rPr>
      </w:pPr>
    </w:p>
    <w:p w14:paraId="0C9AE97F" w14:textId="77777777" w:rsidR="00F90E80" w:rsidRDefault="00F90E80" w:rsidP="00B72B56">
      <w:pPr>
        <w:contextualSpacing w:val="0"/>
        <w:rPr>
          <w:rtl/>
        </w:rPr>
      </w:pPr>
    </w:p>
    <w:p w14:paraId="2DFC59D5" w14:textId="77777777" w:rsidR="00F90E80" w:rsidRDefault="00F90E80" w:rsidP="00B72B56">
      <w:pPr>
        <w:contextualSpacing w:val="0"/>
        <w:rPr>
          <w:rtl/>
        </w:rPr>
      </w:pPr>
    </w:p>
    <w:p w14:paraId="450F1469" w14:textId="77777777" w:rsidR="00F90E80" w:rsidRDefault="00F90E80" w:rsidP="00B72B56">
      <w:pPr>
        <w:contextualSpacing w:val="0"/>
        <w:rPr>
          <w:rtl/>
        </w:rPr>
      </w:pPr>
    </w:p>
    <w:p w14:paraId="6E8EE209" w14:textId="77777777" w:rsidR="00F90E80" w:rsidRDefault="00F90E80" w:rsidP="00B72B56">
      <w:pPr>
        <w:contextualSpacing w:val="0"/>
        <w:rPr>
          <w:rtl/>
        </w:rPr>
      </w:pPr>
    </w:p>
    <w:p w14:paraId="7A826C5A" w14:textId="77777777" w:rsidR="00F90E80" w:rsidRDefault="00F90E80" w:rsidP="00B72B56">
      <w:pPr>
        <w:contextualSpacing w:val="0"/>
      </w:pPr>
    </w:p>
    <w:sectPr w:rsidR="00F90E80" w:rsidSect="00674DFE">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0F988" w14:textId="77777777" w:rsidR="0074090C" w:rsidRDefault="0074090C" w:rsidP="00674DFE">
      <w:pPr>
        <w:spacing w:line="240" w:lineRule="auto"/>
      </w:pPr>
      <w:r>
        <w:separator/>
      </w:r>
    </w:p>
  </w:endnote>
  <w:endnote w:type="continuationSeparator" w:id="0">
    <w:p w14:paraId="768A8CDE" w14:textId="77777777" w:rsidR="0074090C" w:rsidRDefault="0074090C" w:rsidP="00674D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1"/>
    <w:family w:val="swiss"/>
    <w:notTrueType/>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AAEE9" w14:textId="77777777" w:rsidR="0074090C" w:rsidRDefault="0074090C" w:rsidP="00674DFE">
      <w:pPr>
        <w:spacing w:line="240" w:lineRule="auto"/>
      </w:pPr>
      <w:r>
        <w:separator/>
      </w:r>
    </w:p>
  </w:footnote>
  <w:footnote w:type="continuationSeparator" w:id="0">
    <w:p w14:paraId="2CCE3CDC" w14:textId="77777777" w:rsidR="0074090C" w:rsidRDefault="0074090C" w:rsidP="00674DFE">
      <w:pPr>
        <w:spacing w:line="240" w:lineRule="auto"/>
      </w:pPr>
      <w:r>
        <w:continuationSeparator/>
      </w:r>
    </w:p>
  </w:footnote>
  <w:footnote w:id="1">
    <w:p w14:paraId="4CE160E5" w14:textId="77777777" w:rsidR="00F90E80" w:rsidRPr="00844114" w:rsidRDefault="00F90E80" w:rsidP="00F90E80">
      <w:pPr>
        <w:pStyle w:val="a5"/>
        <w:rPr>
          <w:highlight w:val="cyan"/>
          <w:rtl/>
        </w:rPr>
      </w:pPr>
      <w:r>
        <w:rPr>
          <w:rStyle w:val="a7"/>
        </w:rPr>
        <w:footnoteRef/>
      </w:r>
      <w:r>
        <w:rPr>
          <w:rtl/>
        </w:rPr>
        <w:t xml:space="preserve"> </w:t>
      </w:r>
      <w:r>
        <w:rPr>
          <w:rFonts w:hint="cs"/>
          <w:rtl/>
        </w:rPr>
        <w:t xml:space="preserve">ס"ח התשס"א, עמ' </w:t>
      </w:r>
      <w:r w:rsidRPr="009B7CF8">
        <w:rPr>
          <w:rFonts w:hint="cs"/>
          <w:rtl/>
        </w:rPr>
        <w:t xml:space="preserve">168; ס"ח התשע"ה, עמ' 252.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630B8"/>
    <w:multiLevelType w:val="hybridMultilevel"/>
    <w:tmpl w:val="92FEAEAC"/>
    <w:lvl w:ilvl="0" w:tplc="9E80098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AD034D"/>
    <w:multiLevelType w:val="hybridMultilevel"/>
    <w:tmpl w:val="46800526"/>
    <w:lvl w:ilvl="0" w:tplc="F1469924">
      <w:start w:val="1"/>
      <w:numFmt w:val="hebrew1"/>
      <w:lvlText w:val="%1."/>
      <w:lvlJc w:val="left"/>
      <w:pPr>
        <w:ind w:left="360" w:hanging="36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FE814C5"/>
    <w:multiLevelType w:val="hybridMultilevel"/>
    <w:tmpl w:val="7D0E0BA6"/>
    <w:lvl w:ilvl="0" w:tplc="48E25B0E">
      <w:start w:val="7"/>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A5B37"/>
    <w:multiLevelType w:val="hybridMultilevel"/>
    <w:tmpl w:val="1AF46B66"/>
    <w:lvl w:ilvl="0" w:tplc="15B88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D6EEB"/>
    <w:multiLevelType w:val="hybridMultilevel"/>
    <w:tmpl w:val="A0C8C7E8"/>
    <w:lvl w:ilvl="0" w:tplc="CD48FB9E">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7" w15:restartNumberingAfterBreak="0">
    <w:nsid w:val="4C784B1E"/>
    <w:multiLevelType w:val="hybridMultilevel"/>
    <w:tmpl w:val="4DECA9FA"/>
    <w:lvl w:ilvl="0" w:tplc="9B84BF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5C672697"/>
    <w:multiLevelType w:val="hybridMultilevel"/>
    <w:tmpl w:val="C9925B26"/>
    <w:lvl w:ilvl="0" w:tplc="F428655A">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1132C0"/>
    <w:multiLevelType w:val="hybridMultilevel"/>
    <w:tmpl w:val="313064E6"/>
    <w:lvl w:ilvl="0" w:tplc="575E02FE">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1E368A"/>
    <w:multiLevelType w:val="hybridMultilevel"/>
    <w:tmpl w:val="629C878E"/>
    <w:lvl w:ilvl="0" w:tplc="4976AA9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9B393C"/>
    <w:multiLevelType w:val="hybridMultilevel"/>
    <w:tmpl w:val="1C0692F0"/>
    <w:lvl w:ilvl="0" w:tplc="E368B0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6F2896"/>
    <w:multiLevelType w:val="hybridMultilevel"/>
    <w:tmpl w:val="2F949AE2"/>
    <w:lvl w:ilvl="0" w:tplc="28C45CD8">
      <w:start w:val="1"/>
      <w:numFmt w:val="decimal"/>
      <w:lvlText w:val="%1."/>
      <w:lvlJc w:val="left"/>
      <w:pPr>
        <w:ind w:left="720" w:hanging="360"/>
      </w:pPr>
      <w:rPr>
        <w:b/>
        <w:bCs/>
        <w:sz w:val="28"/>
        <w:szCs w:val="28"/>
      </w:rPr>
    </w:lvl>
    <w:lvl w:ilvl="1" w:tplc="04090001">
      <w:start w:val="1"/>
      <w:numFmt w:val="bullet"/>
      <w:lvlText w:val=""/>
      <w:lvlJc w:val="left"/>
      <w:pPr>
        <w:ind w:left="1440" w:hanging="360"/>
      </w:pPr>
      <w:rPr>
        <w:rFonts w:ascii="Symbol" w:hAnsi="Symbol" w:hint="default"/>
        <w:b w:val="0"/>
        <w:bCs w:val="0"/>
      </w:rPr>
    </w:lvl>
    <w:lvl w:ilvl="2" w:tplc="133C49BA">
      <w:start w:val="1"/>
      <w:numFmt w:val="decimal"/>
      <w:lvlText w:val="%3."/>
      <w:lvlJc w:val="left"/>
      <w:pPr>
        <w:ind w:left="2160" w:hanging="180"/>
      </w:pPr>
      <w:rPr>
        <w:sz w:val="28"/>
        <w:szCs w:val="28"/>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4855C57"/>
    <w:multiLevelType w:val="hybridMultilevel"/>
    <w:tmpl w:val="5BAEB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6"/>
  </w:num>
  <w:num w:numId="5">
    <w:abstractNumId w:val="12"/>
  </w:num>
  <w:num w:numId="6">
    <w:abstractNumId w:val="27"/>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8"/>
    <w:lvlOverride w:ilvl="0">
      <w:startOverride w:val="1"/>
    </w:lvlOverride>
  </w:num>
  <w:num w:numId="18">
    <w:abstractNumId w:val="11"/>
  </w:num>
  <w:num w:numId="19">
    <w:abstractNumId w:val="19"/>
  </w:num>
  <w:num w:numId="20">
    <w:abstractNumId w:val="24"/>
  </w:num>
  <w:num w:numId="21">
    <w:abstractNumId w:val="20"/>
  </w:num>
  <w:num w:numId="22">
    <w:abstractNumId w:val="22"/>
  </w:num>
  <w:num w:numId="23">
    <w:abstractNumId w:val="14"/>
  </w:num>
  <w:num w:numId="24">
    <w:abstractNumId w:val="21"/>
  </w:num>
  <w:num w:numId="25">
    <w:abstractNumId w:val="25"/>
  </w:num>
  <w:num w:numId="26">
    <w:abstractNumId w:val="13"/>
  </w:num>
  <w:num w:numId="27">
    <w:abstractNumId w:val="17"/>
  </w:num>
  <w:num w:numId="28">
    <w:abstractNumId w:val="23"/>
  </w:num>
  <w:num w:numId="29">
    <w:abstractNumId w:val="10"/>
  </w:num>
  <w:num w:numId="30">
    <w:abstractNumId w:val="1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DFE"/>
    <w:rsid w:val="00020A58"/>
    <w:rsid w:val="000529FA"/>
    <w:rsid w:val="000A0716"/>
    <w:rsid w:val="000B64A6"/>
    <w:rsid w:val="000C0137"/>
    <w:rsid w:val="000D28C2"/>
    <w:rsid w:val="000E7F26"/>
    <w:rsid w:val="00101EEA"/>
    <w:rsid w:val="00121030"/>
    <w:rsid w:val="00161FCE"/>
    <w:rsid w:val="001C5867"/>
    <w:rsid w:val="001D524B"/>
    <w:rsid w:val="001D5908"/>
    <w:rsid w:val="001F3525"/>
    <w:rsid w:val="002063E4"/>
    <w:rsid w:val="00222199"/>
    <w:rsid w:val="0023078B"/>
    <w:rsid w:val="00232E65"/>
    <w:rsid w:val="002650DE"/>
    <w:rsid w:val="00266662"/>
    <w:rsid w:val="00274ACC"/>
    <w:rsid w:val="002A7FE9"/>
    <w:rsid w:val="002B1F61"/>
    <w:rsid w:val="002C0F61"/>
    <w:rsid w:val="002D38F7"/>
    <w:rsid w:val="00311645"/>
    <w:rsid w:val="0032281E"/>
    <w:rsid w:val="003A33A6"/>
    <w:rsid w:val="003E7E9F"/>
    <w:rsid w:val="003F4FED"/>
    <w:rsid w:val="00422E0D"/>
    <w:rsid w:val="00426980"/>
    <w:rsid w:val="00444862"/>
    <w:rsid w:val="00460A4F"/>
    <w:rsid w:val="004713DC"/>
    <w:rsid w:val="00476CBA"/>
    <w:rsid w:val="004939E0"/>
    <w:rsid w:val="004B4875"/>
    <w:rsid w:val="004C5C65"/>
    <w:rsid w:val="004E146D"/>
    <w:rsid w:val="004F0BCE"/>
    <w:rsid w:val="005154D4"/>
    <w:rsid w:val="00530FC6"/>
    <w:rsid w:val="00534BE4"/>
    <w:rsid w:val="00553730"/>
    <w:rsid w:val="005612A7"/>
    <w:rsid w:val="005D572E"/>
    <w:rsid w:val="00611840"/>
    <w:rsid w:val="00652E27"/>
    <w:rsid w:val="006701CC"/>
    <w:rsid w:val="00674DFE"/>
    <w:rsid w:val="00695D6E"/>
    <w:rsid w:val="006A64C2"/>
    <w:rsid w:val="006B0635"/>
    <w:rsid w:val="006C392B"/>
    <w:rsid w:val="0071170A"/>
    <w:rsid w:val="0074090C"/>
    <w:rsid w:val="00750EE6"/>
    <w:rsid w:val="0078378D"/>
    <w:rsid w:val="007C739E"/>
    <w:rsid w:val="007C755B"/>
    <w:rsid w:val="00834B8F"/>
    <w:rsid w:val="00844A6D"/>
    <w:rsid w:val="008B5FBB"/>
    <w:rsid w:val="008C06C1"/>
    <w:rsid w:val="00922343"/>
    <w:rsid w:val="009929E7"/>
    <w:rsid w:val="009A06C8"/>
    <w:rsid w:val="009A73D3"/>
    <w:rsid w:val="00A47085"/>
    <w:rsid w:val="00A66209"/>
    <w:rsid w:val="00B04E04"/>
    <w:rsid w:val="00B1686E"/>
    <w:rsid w:val="00B63BF2"/>
    <w:rsid w:val="00B72B56"/>
    <w:rsid w:val="00B756BB"/>
    <w:rsid w:val="00B821F3"/>
    <w:rsid w:val="00BB5FC1"/>
    <w:rsid w:val="00BC06C2"/>
    <w:rsid w:val="00C178BB"/>
    <w:rsid w:val="00C34692"/>
    <w:rsid w:val="00C8225B"/>
    <w:rsid w:val="00CB3FB0"/>
    <w:rsid w:val="00CD4EFF"/>
    <w:rsid w:val="00D5732B"/>
    <w:rsid w:val="00D634F9"/>
    <w:rsid w:val="00D80A81"/>
    <w:rsid w:val="00DA0A90"/>
    <w:rsid w:val="00DA28A2"/>
    <w:rsid w:val="00DA6718"/>
    <w:rsid w:val="00DB177A"/>
    <w:rsid w:val="00DC3EF0"/>
    <w:rsid w:val="00DE6458"/>
    <w:rsid w:val="00E14889"/>
    <w:rsid w:val="00E41A1F"/>
    <w:rsid w:val="00E66A3C"/>
    <w:rsid w:val="00E814D3"/>
    <w:rsid w:val="00EE486F"/>
    <w:rsid w:val="00EE5085"/>
    <w:rsid w:val="00F106F2"/>
    <w:rsid w:val="00F31111"/>
    <w:rsid w:val="00F90E80"/>
    <w:rsid w:val="00F96057"/>
    <w:rsid w:val="00FB08E1"/>
    <w:rsid w:val="00FD4426"/>
    <w:rsid w:val="00FD4D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8025E"/>
  <w15:chartTrackingRefBased/>
  <w15:docId w15:val="{BB890EB7-AFAA-49D6-BAC4-FBA7C9AB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DFE"/>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674DFE"/>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674DFE"/>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674DFE"/>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674DFE"/>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674DFE"/>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674DFE"/>
    <w:rPr>
      <w:rFonts w:asciiTheme="majorHAnsi" w:eastAsiaTheme="majorEastAsia" w:hAnsiTheme="majorHAnsi" w:cs="David"/>
      <w:bCs/>
      <w:sz w:val="32"/>
      <w:szCs w:val="36"/>
    </w:rPr>
  </w:style>
  <w:style w:type="character" w:customStyle="1" w:styleId="40">
    <w:name w:val="כותרת 4 תו"/>
    <w:basedOn w:val="a0"/>
    <w:link w:val="4"/>
    <w:uiPriority w:val="9"/>
    <w:rsid w:val="00674DFE"/>
    <w:rPr>
      <w:rFonts w:ascii="David" w:hAnsi="David" w:cs="David"/>
      <w:b/>
      <w:bCs/>
      <w:color w:val="000000" w:themeColor="text1"/>
      <w:sz w:val="24"/>
      <w:szCs w:val="28"/>
    </w:rPr>
  </w:style>
  <w:style w:type="paragraph" w:customStyle="1" w:styleId="TableText">
    <w:name w:val="Table Text"/>
    <w:basedOn w:val="a"/>
    <w:rsid w:val="00674DFE"/>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674DFE"/>
    <w:pPr>
      <w:outlineLvl w:val="2"/>
    </w:pPr>
  </w:style>
  <w:style w:type="paragraph" w:customStyle="1" w:styleId="TableBlock">
    <w:name w:val="Table Block"/>
    <w:basedOn w:val="TableText"/>
    <w:rsid w:val="00674DFE"/>
    <w:pPr>
      <w:jc w:val="both"/>
    </w:pPr>
  </w:style>
  <w:style w:type="paragraph" w:customStyle="1" w:styleId="TableHead">
    <w:name w:val="Table Head"/>
    <w:basedOn w:val="TableText"/>
    <w:rsid w:val="00674DFE"/>
    <w:pPr>
      <w:jc w:val="center"/>
      <w:outlineLvl w:val="1"/>
    </w:pPr>
    <w:rPr>
      <w:b/>
      <w:bCs/>
    </w:rPr>
  </w:style>
  <w:style w:type="paragraph" w:customStyle="1" w:styleId="HeadMitparsemetBaze">
    <w:name w:val="Head MitparsemetBaze"/>
    <w:basedOn w:val="a"/>
    <w:rsid w:val="00674DFE"/>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674DFE"/>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674DFE"/>
    <w:pPr>
      <w:tabs>
        <w:tab w:val="left" w:pos="680"/>
        <w:tab w:val="left" w:pos="1020"/>
      </w:tabs>
      <w:ind w:firstLine="0"/>
    </w:pPr>
  </w:style>
  <w:style w:type="paragraph" w:customStyle="1" w:styleId="HeadDivreiHesber">
    <w:name w:val="Head DivreiHesber"/>
    <w:basedOn w:val="a"/>
    <w:rsid w:val="00674DFE"/>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674DFE"/>
    <w:rPr>
      <w:rFonts w:asciiTheme="majorHAnsi" w:eastAsiaTheme="majorEastAsia" w:hAnsiTheme="majorHAnsi" w:cs="David"/>
      <w:bCs/>
      <w:sz w:val="26"/>
      <w:szCs w:val="36"/>
      <w:u w:val="single"/>
    </w:rPr>
  </w:style>
  <w:style w:type="character" w:customStyle="1" w:styleId="30">
    <w:name w:val="כותרת 3 תו"/>
    <w:basedOn w:val="a0"/>
    <w:link w:val="3"/>
    <w:rsid w:val="00674DFE"/>
    <w:rPr>
      <w:rFonts w:asciiTheme="majorHAnsi" w:eastAsiaTheme="majorEastAsia" w:hAnsiTheme="majorHAnsi" w:cs="David"/>
      <w:sz w:val="24"/>
      <w:szCs w:val="28"/>
      <w:u w:val="double"/>
    </w:rPr>
  </w:style>
  <w:style w:type="character" w:customStyle="1" w:styleId="50">
    <w:name w:val="כותרת 5 תו"/>
    <w:basedOn w:val="a0"/>
    <w:link w:val="5"/>
    <w:uiPriority w:val="9"/>
    <w:rsid w:val="00674DFE"/>
    <w:rPr>
      <w:rFonts w:ascii="David" w:hAnsi="David" w:cs="David"/>
      <w:color w:val="000000" w:themeColor="text1"/>
      <w:sz w:val="24"/>
      <w:szCs w:val="24"/>
    </w:rPr>
  </w:style>
  <w:style w:type="paragraph" w:customStyle="1" w:styleId="HeadHatzaotHok4Futer">
    <w:name w:val="Head HatzaotHok4Futer"/>
    <w:basedOn w:val="HeadHatzaotHok"/>
    <w:rsid w:val="00674DFE"/>
    <w:pPr>
      <w:spacing w:before="120" w:after="120"/>
    </w:pPr>
    <w:rPr>
      <w:color w:val="FF0000"/>
      <w:w w:val="80"/>
    </w:rPr>
  </w:style>
  <w:style w:type="paragraph" w:styleId="a3">
    <w:name w:val="endnote text"/>
    <w:basedOn w:val="a"/>
    <w:link w:val="a4"/>
    <w:semiHidden/>
    <w:rsid w:val="00674DFE"/>
    <w:pPr>
      <w:ind w:left="227" w:hanging="227"/>
    </w:pPr>
    <w:rPr>
      <w:sz w:val="14"/>
      <w:szCs w:val="22"/>
    </w:rPr>
  </w:style>
  <w:style w:type="character" w:customStyle="1" w:styleId="a4">
    <w:name w:val="טקסט הערת סיום תו"/>
    <w:basedOn w:val="a0"/>
    <w:link w:val="a3"/>
    <w:semiHidden/>
    <w:rsid w:val="00674DFE"/>
    <w:rPr>
      <w:rFonts w:ascii="David" w:hAnsi="David" w:cs="David"/>
      <w:sz w:val="14"/>
    </w:rPr>
  </w:style>
  <w:style w:type="paragraph" w:customStyle="1" w:styleId="TableInnerSideHeading">
    <w:name w:val="Table InnerSideHeading"/>
    <w:basedOn w:val="TableSideHeading"/>
    <w:rsid w:val="00674DFE"/>
    <w:pPr>
      <w:outlineLvl w:val="9"/>
    </w:pPr>
  </w:style>
  <w:style w:type="paragraph" w:customStyle="1" w:styleId="Hesber">
    <w:name w:val="Hesber"/>
    <w:basedOn w:val="a"/>
    <w:rsid w:val="00674DFE"/>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674DFE"/>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674DFE"/>
    <w:rPr>
      <w:rFonts w:ascii="Arial" w:eastAsia="Arial Unicode MS" w:hAnsi="Arial" w:cs="David"/>
      <w:snapToGrid w:val="0"/>
      <w:sz w:val="14"/>
      <w:szCs w:val="20"/>
    </w:rPr>
  </w:style>
  <w:style w:type="character" w:styleId="a7">
    <w:name w:val="footnote reference"/>
    <w:aliases w:val="Footnote Reference"/>
    <w:basedOn w:val="a0"/>
    <w:semiHidden/>
    <w:rsid w:val="00674DFE"/>
    <w:rPr>
      <w:vertAlign w:val="superscript"/>
    </w:rPr>
  </w:style>
  <w:style w:type="paragraph" w:customStyle="1" w:styleId="HesberHeading">
    <w:name w:val="Hesber Heading"/>
    <w:basedOn w:val="Hesber"/>
    <w:rsid w:val="00674DFE"/>
    <w:pPr>
      <w:tabs>
        <w:tab w:val="left" w:pos="624"/>
        <w:tab w:val="left" w:pos="1247"/>
      </w:tabs>
    </w:pPr>
    <w:rPr>
      <w:b/>
      <w:bCs/>
    </w:rPr>
  </w:style>
  <w:style w:type="paragraph" w:customStyle="1" w:styleId="HesberWriters">
    <w:name w:val="Hesber Writers"/>
    <w:basedOn w:val="Hesber"/>
    <w:rsid w:val="00674DFE"/>
    <w:pPr>
      <w:spacing w:before="120" w:after="120"/>
      <w:ind w:left="1418"/>
      <w:jc w:val="right"/>
    </w:pPr>
    <w:rPr>
      <w:b/>
      <w:bCs/>
    </w:rPr>
  </w:style>
  <w:style w:type="character" w:styleId="a8">
    <w:name w:val="endnote reference"/>
    <w:basedOn w:val="a0"/>
    <w:semiHidden/>
    <w:rsid w:val="00674DFE"/>
    <w:rPr>
      <w:vertAlign w:val="superscript"/>
    </w:rPr>
  </w:style>
  <w:style w:type="paragraph" w:customStyle="1" w:styleId="TableBlockOutdent">
    <w:name w:val="Table BlockOutdent"/>
    <w:basedOn w:val="TableBlock"/>
    <w:rsid w:val="00674DFE"/>
    <w:pPr>
      <w:ind w:left="624" w:hanging="624"/>
    </w:pPr>
  </w:style>
  <w:style w:type="paragraph" w:styleId="a9">
    <w:name w:val="header"/>
    <w:basedOn w:val="a"/>
    <w:link w:val="aa"/>
    <w:rsid w:val="00674DFE"/>
    <w:pPr>
      <w:tabs>
        <w:tab w:val="center" w:pos="4153"/>
        <w:tab w:val="right" w:pos="8306"/>
      </w:tabs>
    </w:pPr>
  </w:style>
  <w:style w:type="character" w:customStyle="1" w:styleId="aa">
    <w:name w:val="כותרת עליונה תו"/>
    <w:basedOn w:val="a0"/>
    <w:link w:val="a9"/>
    <w:rsid w:val="00674DFE"/>
    <w:rPr>
      <w:rFonts w:ascii="David" w:hAnsi="David" w:cs="David"/>
      <w:sz w:val="24"/>
      <w:szCs w:val="24"/>
    </w:rPr>
  </w:style>
  <w:style w:type="paragraph" w:styleId="ab">
    <w:name w:val="footer"/>
    <w:basedOn w:val="a"/>
    <w:link w:val="ac"/>
    <w:rsid w:val="00674DFE"/>
    <w:pPr>
      <w:tabs>
        <w:tab w:val="center" w:pos="4153"/>
        <w:tab w:val="right" w:pos="8306"/>
      </w:tabs>
    </w:pPr>
  </w:style>
  <w:style w:type="character" w:customStyle="1" w:styleId="ac">
    <w:name w:val="כותרת תחתונה תו"/>
    <w:basedOn w:val="a0"/>
    <w:link w:val="ab"/>
    <w:rsid w:val="00674DFE"/>
    <w:rPr>
      <w:rFonts w:ascii="David" w:hAnsi="David" w:cs="David"/>
      <w:sz w:val="24"/>
      <w:szCs w:val="24"/>
    </w:rPr>
  </w:style>
  <w:style w:type="character" w:styleId="ad">
    <w:name w:val="page number"/>
    <w:basedOn w:val="a0"/>
    <w:rsid w:val="00674DFE"/>
  </w:style>
  <w:style w:type="paragraph" w:customStyle="1" w:styleId="Cover1-Reshumot">
    <w:name w:val="Cover 1-Reshumot"/>
    <w:basedOn w:val="a"/>
    <w:rsid w:val="00674DFE"/>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674DFE"/>
    <w:rPr>
      <w:sz w:val="36"/>
      <w:szCs w:val="52"/>
    </w:rPr>
  </w:style>
  <w:style w:type="paragraph" w:customStyle="1" w:styleId="Cover3-Haknesset">
    <w:name w:val="Cover 3-Haknesset"/>
    <w:basedOn w:val="Cover1-Reshumot"/>
    <w:rsid w:val="00674DFE"/>
    <w:rPr>
      <w:b/>
      <w:bCs/>
      <w:spacing w:val="60"/>
    </w:rPr>
  </w:style>
  <w:style w:type="paragraph" w:customStyle="1" w:styleId="Cover4-Date">
    <w:name w:val="Cover 4-Date"/>
    <w:basedOn w:val="a"/>
    <w:rsid w:val="00674DFE"/>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674DFE"/>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674DFE"/>
    <w:pPr>
      <w:widowControl/>
      <w:spacing w:before="120" w:after="120"/>
      <w:outlineLvl w:val="9"/>
    </w:pPr>
    <w:rPr>
      <w:rtl/>
      <w:cs/>
    </w:rPr>
  </w:style>
  <w:style w:type="paragraph" w:styleId="TOC1">
    <w:name w:val="toc 1"/>
    <w:basedOn w:val="a"/>
    <w:next w:val="a"/>
    <w:autoRedefine/>
    <w:uiPriority w:val="39"/>
    <w:unhideWhenUsed/>
    <w:rsid w:val="00674DFE"/>
    <w:pPr>
      <w:tabs>
        <w:tab w:val="right" w:leader="dot" w:pos="9629"/>
      </w:tabs>
      <w:spacing w:after="100"/>
    </w:pPr>
    <w:rPr>
      <w:bCs/>
      <w:szCs w:val="22"/>
    </w:rPr>
  </w:style>
  <w:style w:type="paragraph" w:styleId="TOC2">
    <w:name w:val="toc 2"/>
    <w:basedOn w:val="a"/>
    <w:next w:val="a"/>
    <w:uiPriority w:val="39"/>
    <w:unhideWhenUsed/>
    <w:rsid w:val="00674DFE"/>
    <w:pPr>
      <w:tabs>
        <w:tab w:val="right" w:leader="dot" w:pos="9628"/>
      </w:tabs>
      <w:spacing w:after="100"/>
    </w:pPr>
    <w:rPr>
      <w:szCs w:val="22"/>
    </w:rPr>
  </w:style>
  <w:style w:type="character" w:styleId="Hyperlink">
    <w:name w:val="Hyperlink"/>
    <w:basedOn w:val="a0"/>
    <w:uiPriority w:val="99"/>
    <w:unhideWhenUsed/>
    <w:rsid w:val="00674DFE"/>
    <w:rPr>
      <w:color w:val="0563C1" w:themeColor="hyperlink"/>
      <w:u w:val="single"/>
    </w:rPr>
  </w:style>
  <w:style w:type="paragraph" w:styleId="TOC3">
    <w:name w:val="toc 3"/>
    <w:basedOn w:val="a"/>
    <w:next w:val="a"/>
    <w:uiPriority w:val="39"/>
    <w:unhideWhenUsed/>
    <w:rsid w:val="00674DFE"/>
    <w:pPr>
      <w:numPr>
        <w:numId w:val="19"/>
      </w:numPr>
      <w:tabs>
        <w:tab w:val="right" w:leader="dot" w:pos="9629"/>
      </w:tabs>
      <w:spacing w:after="100"/>
      <w:ind w:left="811" w:hanging="357"/>
    </w:pPr>
    <w:rPr>
      <w:szCs w:val="22"/>
    </w:rPr>
  </w:style>
  <w:style w:type="paragraph" w:styleId="TOC4">
    <w:name w:val="toc 4"/>
    <w:basedOn w:val="a"/>
    <w:next w:val="a"/>
    <w:autoRedefine/>
    <w:unhideWhenUsed/>
    <w:qFormat/>
    <w:rsid w:val="00674DFE"/>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674DFE"/>
    <w:pPr>
      <w:tabs>
        <w:tab w:val="right" w:leader="dot" w:pos="9628"/>
      </w:tabs>
      <w:spacing w:after="100"/>
      <w:ind w:left="567"/>
    </w:pPr>
    <w:rPr>
      <w:szCs w:val="22"/>
    </w:rPr>
  </w:style>
  <w:style w:type="paragraph" w:styleId="TOC6">
    <w:name w:val="toc 6"/>
    <w:basedOn w:val="a"/>
    <w:next w:val="a"/>
    <w:autoRedefine/>
    <w:semiHidden/>
    <w:unhideWhenUsed/>
    <w:rsid w:val="00674DFE"/>
    <w:pPr>
      <w:spacing w:after="100"/>
      <w:ind w:left="850"/>
    </w:pPr>
  </w:style>
  <w:style w:type="paragraph" w:styleId="TOC7">
    <w:name w:val="toc 7"/>
    <w:basedOn w:val="a"/>
    <w:next w:val="a"/>
    <w:autoRedefine/>
    <w:semiHidden/>
    <w:unhideWhenUsed/>
    <w:rsid w:val="00674DFE"/>
    <w:pPr>
      <w:spacing w:after="100"/>
      <w:ind w:left="1020"/>
    </w:pPr>
  </w:style>
  <w:style w:type="paragraph" w:styleId="TOC8">
    <w:name w:val="toc 8"/>
    <w:basedOn w:val="a"/>
    <w:next w:val="a"/>
    <w:autoRedefine/>
    <w:semiHidden/>
    <w:unhideWhenUsed/>
    <w:rsid w:val="00674DFE"/>
    <w:pPr>
      <w:spacing w:after="100"/>
      <w:ind w:left="1190"/>
    </w:pPr>
  </w:style>
  <w:style w:type="paragraph" w:styleId="TOC9">
    <w:name w:val="toc 9"/>
    <w:basedOn w:val="a"/>
    <w:next w:val="a"/>
    <w:autoRedefine/>
    <w:semiHidden/>
    <w:unhideWhenUsed/>
    <w:rsid w:val="00674DFE"/>
    <w:pPr>
      <w:spacing w:after="100"/>
      <w:ind w:left="1360"/>
    </w:pPr>
  </w:style>
  <w:style w:type="paragraph" w:customStyle="1" w:styleId="TableHead2">
    <w:name w:val="Table Head2"/>
    <w:basedOn w:val="TableHead"/>
    <w:qFormat/>
    <w:rsid w:val="00674DFE"/>
    <w:pPr>
      <w:outlineLvl w:val="9"/>
    </w:pPr>
  </w:style>
  <w:style w:type="paragraph" w:customStyle="1" w:styleId="TableSideHeading2">
    <w:name w:val="Table SideHeading2"/>
    <w:basedOn w:val="TableSideHeading"/>
    <w:autoRedefine/>
    <w:qFormat/>
    <w:rsid w:val="00674DFE"/>
    <w:pPr>
      <w:keepLines w:val="0"/>
      <w:outlineLvl w:val="9"/>
    </w:pPr>
  </w:style>
  <w:style w:type="paragraph" w:customStyle="1" w:styleId="0">
    <w:name w:val="סגנון שורה ראשונה:  0  ס''מ"/>
    <w:basedOn w:val="2"/>
    <w:rsid w:val="00674DFE"/>
    <w:rPr>
      <w:rFonts w:eastAsia="Times New Roman"/>
    </w:rPr>
  </w:style>
  <w:style w:type="paragraph" w:styleId="af">
    <w:name w:val="List Paragraph"/>
    <w:basedOn w:val="a"/>
    <w:uiPriority w:val="34"/>
    <w:qFormat/>
    <w:rsid w:val="00674DFE"/>
    <w:pPr>
      <w:widowControl/>
      <w:spacing w:line="259" w:lineRule="auto"/>
    </w:pPr>
    <w:rPr>
      <w:rFonts w:asciiTheme="minorHAnsi" w:hAnsiTheme="minorHAnsi"/>
      <w:sz w:val="22"/>
    </w:rPr>
  </w:style>
  <w:style w:type="table" w:styleId="af0">
    <w:name w:val="Table Grid"/>
    <w:basedOn w:val="a1"/>
    <w:rsid w:val="00674DFE"/>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674DFE"/>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674DFE"/>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674DFE"/>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674DFE"/>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paragraph" w:styleId="af2">
    <w:name w:val="Balloon Text"/>
    <w:basedOn w:val="a"/>
    <w:link w:val="af3"/>
    <w:uiPriority w:val="99"/>
    <w:semiHidden/>
    <w:unhideWhenUsed/>
    <w:rsid w:val="002C0F61"/>
    <w:pPr>
      <w:spacing w:line="240" w:lineRule="auto"/>
    </w:pPr>
    <w:rPr>
      <w:rFonts w:ascii="Tahoma" w:hAnsi="Tahoma" w:cs="Tahoma"/>
      <w:sz w:val="18"/>
      <w:szCs w:val="18"/>
    </w:rPr>
  </w:style>
  <w:style w:type="character" w:customStyle="1" w:styleId="af3">
    <w:name w:val="טקסט בלונים תו"/>
    <w:basedOn w:val="a0"/>
    <w:link w:val="af2"/>
    <w:uiPriority w:val="99"/>
    <w:semiHidden/>
    <w:rsid w:val="002C0F61"/>
    <w:rPr>
      <w:rFonts w:ascii="Tahoma" w:hAnsi="Tahoma" w:cs="Tahoma"/>
      <w:sz w:val="18"/>
      <w:szCs w:val="18"/>
    </w:rPr>
  </w:style>
  <w:style w:type="character" w:styleId="af4">
    <w:name w:val="annotation reference"/>
    <w:basedOn w:val="a0"/>
    <w:uiPriority w:val="99"/>
    <w:semiHidden/>
    <w:unhideWhenUsed/>
    <w:rsid w:val="00611840"/>
    <w:rPr>
      <w:sz w:val="16"/>
      <w:szCs w:val="16"/>
    </w:rPr>
  </w:style>
  <w:style w:type="paragraph" w:styleId="af5">
    <w:name w:val="annotation text"/>
    <w:basedOn w:val="a"/>
    <w:link w:val="af6"/>
    <w:uiPriority w:val="99"/>
    <w:semiHidden/>
    <w:unhideWhenUsed/>
    <w:rsid w:val="00611840"/>
    <w:pPr>
      <w:spacing w:line="240" w:lineRule="auto"/>
    </w:pPr>
    <w:rPr>
      <w:sz w:val="20"/>
      <w:szCs w:val="20"/>
    </w:rPr>
  </w:style>
  <w:style w:type="character" w:customStyle="1" w:styleId="af6">
    <w:name w:val="טקסט הערה תו"/>
    <w:basedOn w:val="a0"/>
    <w:link w:val="af5"/>
    <w:uiPriority w:val="99"/>
    <w:semiHidden/>
    <w:rsid w:val="00611840"/>
    <w:rPr>
      <w:rFonts w:ascii="David" w:hAnsi="David" w:cs="David"/>
      <w:sz w:val="20"/>
      <w:szCs w:val="20"/>
    </w:rPr>
  </w:style>
  <w:style w:type="paragraph" w:styleId="af7">
    <w:name w:val="annotation subject"/>
    <w:basedOn w:val="af5"/>
    <w:next w:val="af5"/>
    <w:link w:val="af8"/>
    <w:uiPriority w:val="99"/>
    <w:semiHidden/>
    <w:unhideWhenUsed/>
    <w:rsid w:val="00611840"/>
    <w:rPr>
      <w:b/>
      <w:bCs/>
    </w:rPr>
  </w:style>
  <w:style w:type="character" w:customStyle="1" w:styleId="af8">
    <w:name w:val="נושא הערה תו"/>
    <w:basedOn w:val="af6"/>
    <w:link w:val="af7"/>
    <w:uiPriority w:val="99"/>
    <w:semiHidden/>
    <w:rsid w:val="00611840"/>
    <w:rPr>
      <w:rFonts w:ascii="David" w:hAnsi="David" w:cs="David"/>
      <w:b/>
      <w:bCs/>
      <w:sz w:val="20"/>
      <w:szCs w:val="20"/>
    </w:rPr>
  </w:style>
  <w:style w:type="character" w:customStyle="1" w:styleId="default">
    <w:name w:val="default"/>
    <w:rsid w:val="002063E4"/>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4748</Words>
  <Characters>23740</Characters>
  <Application>Microsoft Office Word</Application>
  <DocSecurity>0</DocSecurity>
  <Lines>197</Lines>
  <Paragraphs>56</Paragraphs>
  <ScaleCrop>false</ScaleCrop>
  <HeadingPairs>
    <vt:vector size="2" baseType="variant">
      <vt:variant>
        <vt:lpstr>שם</vt:lpstr>
      </vt:variant>
      <vt:variant>
        <vt:i4>1</vt:i4>
      </vt:variant>
    </vt:vector>
  </HeadingPairs>
  <TitlesOfParts>
    <vt:vector size="1" baseType="lpstr">
      <vt:lpstr/>
    </vt:vector>
  </TitlesOfParts>
  <Company>PMO</Company>
  <LinksUpToDate>false</LinksUpToDate>
  <CharactersWithSpaces>28432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רותם פינקלשטיין</dc:creator>
  <cp:keywords/>
  <dc:description/>
  <cp:lastModifiedBy>אדם וולפסון</cp:lastModifiedBy>
  <cp:revision>11</cp:revision>
  <cp:lastPrinted>2023-11-23T18:44:00Z</cp:lastPrinted>
  <dcterms:created xsi:type="dcterms:W3CDTF">2023-11-23T19:45:00Z</dcterms:created>
  <dcterms:modified xsi:type="dcterms:W3CDTF">2023-11-23T20:07:00Z</dcterms:modified>
</cp:coreProperties>
</file>