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23" w:rsidRDefault="00C815DD" w:rsidP="00832AD7">
      <w:pPr>
        <w:spacing w:after="0" w:line="240" w:lineRule="auto"/>
        <w:jc w:val="right"/>
        <w:rPr>
          <w:rFonts w:ascii="Times New Roman" w:eastAsia="Times New Roman" w:hAnsi="Times New Roman" w:cs="David"/>
          <w:sz w:val="16"/>
          <w:szCs w:val="16"/>
          <w:rtl/>
        </w:rPr>
      </w:pPr>
      <w:r>
        <w:rPr>
          <w:rFonts w:ascii="Times New Roman" w:eastAsia="Times New Roman" w:hAnsi="Times New Roman" w:cs="David" w:hint="cs"/>
          <w:sz w:val="16"/>
          <w:szCs w:val="16"/>
          <w:rtl/>
        </w:rPr>
        <w:t>19 בפברואר 2024</w:t>
      </w:r>
    </w:p>
    <w:p w:rsidR="00C815DD" w:rsidRPr="00832AD7" w:rsidRDefault="00C815DD" w:rsidP="00832AD7">
      <w:pPr>
        <w:spacing w:after="0" w:line="240" w:lineRule="auto"/>
        <w:jc w:val="right"/>
        <w:rPr>
          <w:rFonts w:ascii="Times New Roman" w:eastAsia="Times New Roman" w:hAnsi="Times New Roman" w:cs="David"/>
          <w:sz w:val="16"/>
          <w:szCs w:val="16"/>
        </w:rPr>
      </w:pPr>
      <w:r>
        <w:rPr>
          <w:rFonts w:ascii="Times New Roman" w:eastAsia="Times New Roman" w:hAnsi="Times New Roman" w:cs="David" w:hint="eastAsia"/>
          <w:sz w:val="16"/>
          <w:szCs w:val="16"/>
          <w:rtl/>
        </w:rPr>
        <w:t>‏י</w:t>
      </w:r>
      <w:r>
        <w:rPr>
          <w:rFonts w:ascii="Times New Roman" w:eastAsia="Times New Roman" w:hAnsi="Times New Roman" w:cs="David"/>
          <w:sz w:val="16"/>
          <w:szCs w:val="16"/>
          <w:rtl/>
        </w:rPr>
        <w:t>' אדר א תשפ"ד</w:t>
      </w:r>
    </w:p>
    <w:p w:rsidR="00083EF2" w:rsidRPr="00083EF2" w:rsidRDefault="00541C9E" w:rsidP="00C815DD">
      <w:pPr>
        <w:spacing w:after="120" w:line="360" w:lineRule="auto"/>
        <w:contextualSpacing/>
        <w:jc w:val="center"/>
        <w:rPr>
          <w:rFonts w:ascii="FrankRuehl" w:hAnsi="FrankRuehl" w:cs="FrankRuehl"/>
          <w:b/>
          <w:bCs/>
          <w:color w:val="002060"/>
          <w:sz w:val="30"/>
          <w:szCs w:val="30"/>
          <w:u w:val="single"/>
          <w:rtl/>
        </w:rPr>
      </w:pPr>
      <w:r w:rsidRPr="00083EF2">
        <w:rPr>
          <w:rFonts w:ascii="FrankRuehl" w:hAnsi="FrankRuehl" w:cs="FrankRuehl"/>
          <w:b/>
          <w:bCs/>
          <w:color w:val="002060"/>
          <w:sz w:val="30"/>
          <w:szCs w:val="30"/>
          <w:u w:val="single"/>
          <w:rtl/>
        </w:rPr>
        <w:t xml:space="preserve">תקציר </w:t>
      </w:r>
      <w:r w:rsidR="00C815DD">
        <w:rPr>
          <w:rFonts w:ascii="FrankRuehl" w:hAnsi="FrankRuehl" w:cs="FrankRuehl" w:hint="cs"/>
          <w:b/>
          <w:bCs/>
          <w:color w:val="002060"/>
          <w:sz w:val="30"/>
          <w:szCs w:val="30"/>
          <w:u w:val="single"/>
          <w:rtl/>
        </w:rPr>
        <w:t xml:space="preserve">גז"ד </w:t>
      </w:r>
      <w:r w:rsidR="00C815DD">
        <w:rPr>
          <w:rFonts w:ascii="FrankRuehl" w:hAnsi="FrankRuehl" w:cs="FrankRuehl"/>
          <w:b/>
          <w:bCs/>
          <w:color w:val="002060"/>
          <w:sz w:val="30"/>
          <w:szCs w:val="30"/>
          <w:u w:val="single"/>
          <w:rtl/>
        </w:rPr>
        <w:t>בתיק ת</w:t>
      </w:r>
      <w:r w:rsidR="00083EF2" w:rsidRPr="00083EF2">
        <w:rPr>
          <w:rFonts w:ascii="FrankRuehl" w:hAnsi="FrankRuehl" w:cs="FrankRuehl"/>
          <w:b/>
          <w:bCs/>
          <w:color w:val="002060"/>
          <w:sz w:val="30"/>
          <w:szCs w:val="30"/>
          <w:u w:val="single"/>
          <w:rtl/>
        </w:rPr>
        <w:t>פ</w:t>
      </w:r>
      <w:r w:rsidR="00C815DD">
        <w:rPr>
          <w:rFonts w:ascii="FrankRuehl" w:hAnsi="FrankRuehl" w:cs="FrankRuehl" w:hint="cs"/>
          <w:b/>
          <w:bCs/>
          <w:color w:val="002060"/>
          <w:sz w:val="30"/>
          <w:szCs w:val="30"/>
          <w:u w:val="single"/>
          <w:rtl/>
        </w:rPr>
        <w:t>"ח</w:t>
      </w:r>
      <w:r w:rsidR="00083EF2" w:rsidRPr="00083EF2">
        <w:rPr>
          <w:rFonts w:ascii="FrankRuehl" w:hAnsi="FrankRuehl" w:cs="FrankRuehl"/>
          <w:b/>
          <w:bCs/>
          <w:color w:val="002060"/>
          <w:sz w:val="30"/>
          <w:szCs w:val="30"/>
          <w:u w:val="single"/>
          <w:rtl/>
        </w:rPr>
        <w:t xml:space="preserve"> </w:t>
      </w:r>
      <w:r w:rsidR="00C815DD">
        <w:rPr>
          <w:rFonts w:ascii="FrankRuehl" w:hAnsi="FrankRuehl" w:cs="FrankRuehl" w:hint="cs"/>
          <w:b/>
          <w:bCs/>
          <w:color w:val="002060"/>
          <w:sz w:val="30"/>
          <w:szCs w:val="30"/>
          <w:u w:val="single"/>
          <w:rtl/>
        </w:rPr>
        <w:t>3661-09-20</w:t>
      </w:r>
      <w:r w:rsidR="00083EF2" w:rsidRPr="00083EF2">
        <w:rPr>
          <w:rFonts w:ascii="FrankRuehl" w:hAnsi="FrankRuehl" w:cs="FrankRuehl"/>
          <w:b/>
          <w:bCs/>
          <w:color w:val="002060"/>
          <w:sz w:val="30"/>
          <w:szCs w:val="30"/>
          <w:u w:val="single"/>
          <w:rtl/>
        </w:rPr>
        <w:t xml:space="preserve"> </w:t>
      </w:r>
      <w:r w:rsidR="00083EF2" w:rsidRPr="00083EF2">
        <w:rPr>
          <w:rFonts w:ascii="FrankRuehl" w:hAnsi="FrankRuehl" w:cs="FrankRuehl" w:hint="cs"/>
          <w:b/>
          <w:bCs/>
          <w:color w:val="002060"/>
          <w:sz w:val="30"/>
          <w:szCs w:val="30"/>
          <w:u w:val="single"/>
          <w:rtl/>
        </w:rPr>
        <w:t xml:space="preserve">מדינת ישראל נ' </w:t>
      </w:r>
      <w:r w:rsidR="00C815DD">
        <w:rPr>
          <w:rFonts w:ascii="FrankRuehl" w:hAnsi="FrankRuehl" w:cs="FrankRuehl" w:hint="cs"/>
          <w:b/>
          <w:bCs/>
          <w:color w:val="002060"/>
          <w:sz w:val="30"/>
          <w:szCs w:val="30"/>
          <w:u w:val="single"/>
          <w:rtl/>
        </w:rPr>
        <w:t xml:space="preserve">מאירוב ואח' </w:t>
      </w:r>
      <w:r w:rsidR="00BF34C3">
        <w:rPr>
          <w:rFonts w:ascii="FrankRuehl" w:hAnsi="FrankRuehl" w:cs="FrankRuehl" w:hint="cs"/>
          <w:b/>
          <w:bCs/>
          <w:color w:val="002060"/>
          <w:sz w:val="30"/>
          <w:szCs w:val="30"/>
          <w:u w:val="single"/>
          <w:rtl/>
        </w:rPr>
        <w:t>(נאשמים 1-2)</w:t>
      </w:r>
      <w:r w:rsidR="00C815DD">
        <w:rPr>
          <w:rFonts w:ascii="FrankRuehl" w:hAnsi="FrankRuehl" w:cs="FrankRuehl" w:hint="cs"/>
          <w:b/>
          <w:bCs/>
          <w:color w:val="002060"/>
          <w:sz w:val="30"/>
          <w:szCs w:val="30"/>
          <w:u w:val="single"/>
          <w:rtl/>
        </w:rPr>
        <w:t xml:space="preserve">  </w:t>
      </w:r>
    </w:p>
    <w:p w:rsidR="00541C9E" w:rsidRPr="000071E5" w:rsidRDefault="00C815DD" w:rsidP="00083EF2">
      <w:pPr>
        <w:spacing w:after="120" w:line="360" w:lineRule="auto"/>
        <w:contextualSpacing/>
        <w:jc w:val="center"/>
        <w:rPr>
          <w:rFonts w:ascii="FrankRuehl" w:hAnsi="FrankRuehl" w:cs="FrankRuehl"/>
          <w:b/>
          <w:bCs/>
          <w:color w:val="002060"/>
          <w:sz w:val="32"/>
          <w:szCs w:val="32"/>
          <w:rtl/>
        </w:rPr>
      </w:pPr>
      <w:r>
        <w:rPr>
          <w:rFonts w:ascii="FrankRuehl" w:hAnsi="FrankRuehl" w:cs="FrankRuehl" w:hint="cs"/>
          <w:b/>
          <w:bCs/>
          <w:color w:val="002060"/>
          <w:sz w:val="30"/>
          <w:szCs w:val="30"/>
          <w:u w:val="single"/>
          <w:rtl/>
        </w:rPr>
        <w:t>אב"ד סגנית הנשיאה השופטת יעל רז לוי, השופטת גילת שלו והשופט אהרון משניות</w:t>
      </w:r>
      <w:r w:rsidR="00541C9E" w:rsidRPr="000071E5">
        <w:rPr>
          <w:rFonts w:ascii="FrankRuehl" w:hAnsi="FrankRuehl" w:cs="FrankRuehl" w:hint="cs"/>
          <w:b/>
          <w:bCs/>
          <w:color w:val="002060"/>
          <w:sz w:val="32"/>
          <w:szCs w:val="32"/>
          <w:rtl/>
        </w:rPr>
        <w:t xml:space="preserve"> </w:t>
      </w:r>
    </w:p>
    <w:p w:rsidR="00826461" w:rsidRDefault="00826461" w:rsidP="00826461">
      <w:pPr>
        <w:spacing w:line="360" w:lineRule="auto"/>
        <w:jc w:val="both"/>
        <w:rPr>
          <w:rFonts w:ascii="David" w:hAnsi="David" w:cs="David"/>
          <w:sz w:val="24"/>
          <w:szCs w:val="24"/>
          <w:rtl/>
        </w:rPr>
      </w:pPr>
    </w:p>
    <w:p w:rsidR="00826461" w:rsidRDefault="00826461" w:rsidP="00826461">
      <w:pPr>
        <w:spacing w:line="360" w:lineRule="auto"/>
        <w:jc w:val="both"/>
        <w:rPr>
          <w:rFonts w:ascii="David" w:hAnsi="David" w:cs="David"/>
          <w:sz w:val="24"/>
          <w:szCs w:val="24"/>
          <w:rtl/>
        </w:rPr>
      </w:pPr>
      <w:bookmarkStart w:id="0" w:name="_GoBack"/>
      <w:bookmarkEnd w:id="0"/>
      <w:r>
        <w:rPr>
          <w:rFonts w:ascii="David" w:hAnsi="David" w:cs="David" w:hint="cs"/>
          <w:sz w:val="24"/>
          <w:szCs w:val="24"/>
          <w:rtl/>
        </w:rPr>
        <w:t>בית המשפט המחוזי גזר היום את דינם של הנאשמים 1-2, בגירים כבני 26 ו-27 בעת ביצוע המעשים, אשר הורשעו ב</w:t>
      </w:r>
      <w:r w:rsidRPr="0062207A">
        <w:rPr>
          <w:rFonts w:ascii="David" w:hAnsi="David" w:cs="David"/>
          <w:sz w:val="24"/>
          <w:szCs w:val="24"/>
          <w:rtl/>
        </w:rPr>
        <w:t>עבירות מ</w:t>
      </w:r>
      <w:r>
        <w:rPr>
          <w:rFonts w:ascii="David" w:hAnsi="David" w:cs="David"/>
          <w:sz w:val="24"/>
          <w:szCs w:val="24"/>
          <w:rtl/>
        </w:rPr>
        <w:t>ין</w:t>
      </w:r>
      <w:r>
        <w:rPr>
          <w:rFonts w:ascii="David" w:hAnsi="David" w:cs="David" w:hint="cs"/>
          <w:sz w:val="24"/>
          <w:szCs w:val="24"/>
          <w:rtl/>
        </w:rPr>
        <w:t xml:space="preserve"> חמורות כלפי המתלוננת, קטינה בת 16, שבוצעו במלון "הים האדום" באילת ביום 12.8.20 בפרשה שכונתה "האונס באילת".</w:t>
      </w:r>
    </w:p>
    <w:p w:rsidR="00826461" w:rsidRDefault="00826461" w:rsidP="00826461">
      <w:pPr>
        <w:widowControl w:val="0"/>
        <w:spacing w:before="240" w:after="240"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בית המשפט גזר על הנאשם 2, אשר חלקו היה המשמעותי ביותר ואשר הורשע במספר הרב ביותר של עבירות - מספר </w:t>
      </w:r>
      <w:r w:rsidRPr="001705DF">
        <w:rPr>
          <w:rFonts w:ascii="David" w:eastAsia="Times New Roman" w:hAnsi="David" w:cs="David" w:hint="cs"/>
          <w:sz w:val="24"/>
          <w:szCs w:val="24"/>
          <w:rtl/>
        </w:rPr>
        <w:t xml:space="preserve">עבירות </w:t>
      </w:r>
      <w:r w:rsidRPr="001705DF">
        <w:rPr>
          <w:rFonts w:ascii="David" w:eastAsia="Times New Roman" w:hAnsi="David" w:cs="David"/>
          <w:sz w:val="24"/>
          <w:szCs w:val="24"/>
          <w:rtl/>
        </w:rPr>
        <w:t>אינוס בנסיבות מחמירות</w:t>
      </w:r>
      <w:r>
        <w:rPr>
          <w:rFonts w:ascii="David" w:eastAsia="Times New Roman" w:hAnsi="David" w:cs="David" w:hint="cs"/>
          <w:sz w:val="24"/>
          <w:szCs w:val="24"/>
          <w:rtl/>
        </w:rPr>
        <w:t xml:space="preserve"> של המתלוננת</w:t>
      </w:r>
      <w:r w:rsidRPr="001705DF">
        <w:rPr>
          <w:rFonts w:ascii="David" w:eastAsia="Times New Roman" w:hAnsi="David" w:cs="David" w:hint="cs"/>
          <w:sz w:val="24"/>
          <w:szCs w:val="24"/>
          <w:rtl/>
        </w:rPr>
        <w:t xml:space="preserve">; שתי עבירות של </w:t>
      </w:r>
      <w:r w:rsidRPr="001705DF">
        <w:rPr>
          <w:rFonts w:ascii="David" w:eastAsia="Times New Roman" w:hAnsi="David" w:cs="David"/>
          <w:sz w:val="24"/>
          <w:szCs w:val="24"/>
          <w:rtl/>
        </w:rPr>
        <w:t>סיוע לאינוס</w:t>
      </w:r>
      <w:r>
        <w:rPr>
          <w:rFonts w:ascii="David" w:eastAsia="Times New Roman" w:hAnsi="David" w:cs="David" w:hint="cs"/>
          <w:sz w:val="24"/>
          <w:szCs w:val="24"/>
          <w:rtl/>
        </w:rPr>
        <w:t>ה</w:t>
      </w:r>
      <w:r w:rsidRPr="001705DF">
        <w:rPr>
          <w:rFonts w:ascii="David" w:eastAsia="Times New Roman" w:hAnsi="David" w:cs="David"/>
          <w:sz w:val="24"/>
          <w:szCs w:val="24"/>
          <w:rtl/>
        </w:rPr>
        <w:t xml:space="preserve"> בנסיבות מחמירות</w:t>
      </w:r>
      <w:r w:rsidRPr="001705DF">
        <w:rPr>
          <w:rFonts w:ascii="David" w:eastAsia="Times New Roman" w:hAnsi="David" w:cs="David" w:hint="cs"/>
          <w:sz w:val="24"/>
          <w:szCs w:val="24"/>
          <w:rtl/>
        </w:rPr>
        <w:t xml:space="preserve">; עבירות </w:t>
      </w:r>
      <w:r>
        <w:rPr>
          <w:rFonts w:ascii="David" w:eastAsia="Times New Roman" w:hAnsi="David" w:cs="David" w:hint="cs"/>
          <w:sz w:val="24"/>
          <w:szCs w:val="24"/>
          <w:rtl/>
        </w:rPr>
        <w:t xml:space="preserve">רבות </w:t>
      </w:r>
      <w:r w:rsidRPr="001705DF">
        <w:rPr>
          <w:rFonts w:ascii="David" w:eastAsia="Times New Roman" w:hAnsi="David" w:cs="David" w:hint="cs"/>
          <w:sz w:val="24"/>
          <w:szCs w:val="24"/>
          <w:rtl/>
        </w:rPr>
        <w:t xml:space="preserve">של </w:t>
      </w:r>
      <w:r w:rsidRPr="001705DF">
        <w:rPr>
          <w:rFonts w:ascii="David" w:eastAsia="Times New Roman" w:hAnsi="David" w:cs="David"/>
          <w:sz w:val="24"/>
          <w:szCs w:val="24"/>
          <w:rtl/>
        </w:rPr>
        <w:t xml:space="preserve">מעשים מגונים </w:t>
      </w:r>
      <w:r w:rsidRPr="001705DF">
        <w:rPr>
          <w:rFonts w:ascii="David" w:eastAsia="Times New Roman" w:hAnsi="David" w:cs="David" w:hint="cs"/>
          <w:sz w:val="24"/>
          <w:szCs w:val="24"/>
          <w:rtl/>
        </w:rPr>
        <w:t xml:space="preserve">ושתי עבירות </w:t>
      </w:r>
      <w:r>
        <w:rPr>
          <w:rFonts w:ascii="David" w:eastAsia="Times New Roman" w:hAnsi="David" w:cs="David" w:hint="cs"/>
          <w:sz w:val="24"/>
          <w:szCs w:val="24"/>
          <w:rtl/>
        </w:rPr>
        <w:t xml:space="preserve">של </w:t>
      </w:r>
      <w:r w:rsidRPr="001705DF">
        <w:rPr>
          <w:rFonts w:ascii="David" w:eastAsia="Times New Roman" w:hAnsi="David" w:cs="David"/>
          <w:sz w:val="24"/>
          <w:szCs w:val="24"/>
          <w:rtl/>
        </w:rPr>
        <w:t>פגיעה בפרטיות</w:t>
      </w:r>
      <w:r>
        <w:rPr>
          <w:rFonts w:ascii="David" w:eastAsia="Times New Roman" w:hAnsi="David" w:cs="David" w:hint="cs"/>
          <w:sz w:val="24"/>
          <w:szCs w:val="24"/>
          <w:rtl/>
        </w:rPr>
        <w:t>, הנוגעות לסרטון מיני שצילם בחדר, עונש מאסר בפועל של 22 שנים, פיצוי למתלוננת בסך 200,00 ₪ ועונשים נלווים</w:t>
      </w:r>
      <w:r w:rsidRPr="001705DF">
        <w:rPr>
          <w:rFonts w:ascii="David" w:eastAsia="Times New Roman" w:hAnsi="David" w:cs="David" w:hint="cs"/>
          <w:sz w:val="24"/>
          <w:szCs w:val="24"/>
          <w:rtl/>
        </w:rPr>
        <w:t xml:space="preserve">. </w:t>
      </w:r>
    </w:p>
    <w:p w:rsidR="00826461" w:rsidRPr="001705DF" w:rsidRDefault="00826461" w:rsidP="00826461">
      <w:pPr>
        <w:widowControl w:val="0"/>
        <w:spacing w:before="240" w:after="240"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בית המשפט גזר על </w:t>
      </w:r>
      <w:r w:rsidRPr="00B96B32">
        <w:rPr>
          <w:rFonts w:ascii="David" w:eastAsia="Times New Roman" w:hAnsi="David" w:cs="David"/>
          <w:sz w:val="24"/>
          <w:szCs w:val="24"/>
          <w:rtl/>
        </w:rPr>
        <w:t xml:space="preserve">הנאשם </w:t>
      </w:r>
      <w:r>
        <w:rPr>
          <w:rFonts w:ascii="David" w:eastAsia="Times New Roman" w:hAnsi="David" w:cs="David" w:hint="cs"/>
          <w:sz w:val="24"/>
          <w:szCs w:val="24"/>
          <w:rtl/>
        </w:rPr>
        <w:t xml:space="preserve">1, אשר חלקו היה פחות מזה של נאשם 2 והוא </w:t>
      </w:r>
      <w:r w:rsidRPr="00B96B32">
        <w:rPr>
          <w:rFonts w:ascii="David" w:eastAsia="Times New Roman" w:hAnsi="David" w:cs="David"/>
          <w:sz w:val="24"/>
          <w:szCs w:val="24"/>
          <w:rtl/>
        </w:rPr>
        <w:t xml:space="preserve">הורשע </w:t>
      </w:r>
      <w:r>
        <w:rPr>
          <w:rFonts w:ascii="David" w:eastAsia="Times New Roman" w:hAnsi="David" w:cs="David" w:hint="cs"/>
          <w:sz w:val="24"/>
          <w:szCs w:val="24"/>
          <w:rtl/>
        </w:rPr>
        <w:t>ב</w:t>
      </w:r>
      <w:r w:rsidRPr="009F32D2">
        <w:rPr>
          <w:rFonts w:ascii="David" w:eastAsia="Times New Roman" w:hAnsi="David" w:cs="David"/>
          <w:sz w:val="24"/>
          <w:szCs w:val="24"/>
          <w:rtl/>
        </w:rPr>
        <w:t>שתי עבירות</w:t>
      </w:r>
      <w:r>
        <w:rPr>
          <w:rFonts w:ascii="David" w:eastAsia="Times New Roman" w:hAnsi="David" w:cs="David" w:hint="cs"/>
          <w:sz w:val="24"/>
          <w:szCs w:val="24"/>
          <w:rtl/>
        </w:rPr>
        <w:t xml:space="preserve"> של </w:t>
      </w:r>
      <w:r w:rsidRPr="001705DF">
        <w:rPr>
          <w:rFonts w:ascii="David" w:eastAsia="Times New Roman" w:hAnsi="David" w:cs="David" w:hint="cs"/>
          <w:sz w:val="24"/>
          <w:szCs w:val="24"/>
          <w:rtl/>
        </w:rPr>
        <w:t>אינוס בנסיבות מחמירות</w:t>
      </w:r>
      <w:r>
        <w:rPr>
          <w:rFonts w:ascii="David" w:eastAsia="Times New Roman" w:hAnsi="David" w:cs="David" w:hint="cs"/>
          <w:sz w:val="24"/>
          <w:szCs w:val="24"/>
          <w:rtl/>
        </w:rPr>
        <w:t xml:space="preserve"> של המתלוננת </w:t>
      </w:r>
      <w:r>
        <w:rPr>
          <w:rFonts w:ascii="David" w:eastAsia="Times New Roman" w:hAnsi="David" w:cs="David"/>
          <w:sz w:val="24"/>
          <w:szCs w:val="24"/>
          <w:rtl/>
        </w:rPr>
        <w:t>–</w:t>
      </w:r>
      <w:r>
        <w:rPr>
          <w:rFonts w:ascii="David" w:eastAsia="Times New Roman" w:hAnsi="David" w:cs="David" w:hint="cs"/>
          <w:sz w:val="24"/>
          <w:szCs w:val="24"/>
          <w:rtl/>
        </w:rPr>
        <w:t xml:space="preserve"> עונש מאסר של 14 שנים, פיצוי למתלוננת בסך 100,000 ₪ ועונשים נלווים.</w:t>
      </w:r>
    </w:p>
    <w:p w:rsidR="00826461" w:rsidRPr="002F5FB0" w:rsidRDefault="00826461" w:rsidP="00826461">
      <w:pPr>
        <w:spacing w:line="360" w:lineRule="auto"/>
        <w:jc w:val="both"/>
        <w:rPr>
          <w:rFonts w:ascii="Times New Roman" w:eastAsia="Times New Roman" w:hAnsi="Times New Roman" w:cs="David"/>
          <w:b/>
          <w:bCs/>
          <w:sz w:val="24"/>
          <w:szCs w:val="24"/>
          <w:rtl/>
        </w:rPr>
      </w:pPr>
      <w:r>
        <w:rPr>
          <w:rFonts w:ascii="Times New Roman" w:eastAsia="Times New Roman" w:hAnsi="Times New Roman" w:cs="David" w:hint="cs"/>
          <w:sz w:val="24"/>
          <w:szCs w:val="24"/>
          <w:rtl/>
        </w:rPr>
        <w:t xml:space="preserve">בית המשפט ציין בגזר הדין:  </w:t>
      </w:r>
      <w:r>
        <w:rPr>
          <w:rFonts w:ascii="Times New Roman" w:eastAsia="Times New Roman" w:hAnsi="Times New Roman" w:cs="David" w:hint="cs"/>
          <w:b/>
          <w:bCs/>
          <w:sz w:val="24"/>
          <w:szCs w:val="24"/>
          <w:rtl/>
        </w:rPr>
        <w:t>"</w:t>
      </w:r>
      <w:r w:rsidRPr="002F5FB0">
        <w:rPr>
          <w:rFonts w:ascii="Times New Roman" w:eastAsia="Times New Roman" w:hAnsi="Times New Roman" w:cs="David" w:hint="cs"/>
          <w:b/>
          <w:bCs/>
          <w:sz w:val="24"/>
          <w:szCs w:val="24"/>
          <w:rtl/>
        </w:rPr>
        <w:t xml:space="preserve">זהו סיפור על נערה צעירה, שמחה </w:t>
      </w:r>
      <w:proofErr w:type="spellStart"/>
      <w:r w:rsidRPr="002F5FB0">
        <w:rPr>
          <w:rFonts w:ascii="Times New Roman" w:eastAsia="Times New Roman" w:hAnsi="Times New Roman" w:cs="David" w:hint="cs"/>
          <w:b/>
          <w:bCs/>
          <w:sz w:val="24"/>
          <w:szCs w:val="24"/>
          <w:rtl/>
        </w:rPr>
        <w:t>ותאבת</w:t>
      </w:r>
      <w:proofErr w:type="spellEnd"/>
      <w:r w:rsidRPr="002F5FB0">
        <w:rPr>
          <w:rFonts w:ascii="Times New Roman" w:eastAsia="Times New Roman" w:hAnsi="Times New Roman" w:cs="David" w:hint="cs"/>
          <w:b/>
          <w:bCs/>
          <w:sz w:val="24"/>
          <w:szCs w:val="24"/>
          <w:rtl/>
        </w:rPr>
        <w:t xml:space="preserve"> חיים, שבעת שבילתה עם חבריה בחופשת קיץ באילת</w:t>
      </w:r>
      <w:r>
        <w:rPr>
          <w:rFonts w:ascii="Times New Roman" w:eastAsia="Times New Roman" w:hAnsi="Times New Roman" w:cs="David" w:hint="cs"/>
          <w:b/>
          <w:bCs/>
          <w:sz w:val="24"/>
          <w:szCs w:val="24"/>
          <w:rtl/>
        </w:rPr>
        <w:t>,</w:t>
      </w:r>
      <w:r w:rsidRPr="002F5FB0">
        <w:rPr>
          <w:rFonts w:ascii="Times New Roman" w:eastAsia="Times New Roman" w:hAnsi="Times New Roman" w:cs="David" w:hint="cs"/>
          <w:b/>
          <w:bCs/>
          <w:sz w:val="24"/>
          <w:szCs w:val="24"/>
          <w:rtl/>
        </w:rPr>
        <w:t xml:space="preserve"> שתתה משקאות אלכוהוליים רבים</w:t>
      </w:r>
      <w:r>
        <w:rPr>
          <w:rFonts w:ascii="Times New Roman" w:eastAsia="Times New Roman" w:hAnsi="Times New Roman" w:cs="David" w:hint="cs"/>
          <w:b/>
          <w:bCs/>
          <w:sz w:val="24"/>
          <w:szCs w:val="24"/>
          <w:rtl/>
        </w:rPr>
        <w:t>...</w:t>
      </w:r>
      <w:r w:rsidRPr="002F5FB0">
        <w:rPr>
          <w:rFonts w:ascii="Times New Roman" w:eastAsia="Times New Roman" w:hAnsi="Times New Roman" w:cs="David" w:hint="cs"/>
          <w:b/>
          <w:bCs/>
          <w:sz w:val="24"/>
          <w:szCs w:val="24"/>
          <w:rtl/>
        </w:rPr>
        <w:t xml:space="preserve"> עד כדי ערפול חושים. איתרע מזלה </w:t>
      </w:r>
      <w:r>
        <w:rPr>
          <w:rFonts w:ascii="Times New Roman" w:eastAsia="Times New Roman" w:hAnsi="Times New Roman" w:cs="David" w:hint="cs"/>
          <w:b/>
          <w:bCs/>
          <w:sz w:val="24"/>
          <w:szCs w:val="24"/>
          <w:rtl/>
        </w:rPr>
        <w:t xml:space="preserve">של המתלוננת אשר </w:t>
      </w:r>
      <w:r w:rsidRPr="002F5FB0">
        <w:rPr>
          <w:rFonts w:ascii="Times New Roman" w:eastAsia="Times New Roman" w:hAnsi="Times New Roman" w:cs="David" w:hint="cs"/>
          <w:b/>
          <w:bCs/>
          <w:sz w:val="24"/>
          <w:szCs w:val="24"/>
          <w:rtl/>
        </w:rPr>
        <w:t>בעת שחשה לא בטוב בשל שתיית האלכוהול ויצאה מהחדר במלון כדי להשיב את נפשה כשהיא מלווה בחברתה א', פגש בה הנאשם 2 ששיחר לטרף</w:t>
      </w:r>
      <w:r>
        <w:rPr>
          <w:rFonts w:ascii="Times New Roman" w:eastAsia="Times New Roman" w:hAnsi="Times New Roman" w:cs="David" w:hint="cs"/>
          <w:b/>
          <w:bCs/>
          <w:sz w:val="24"/>
          <w:szCs w:val="24"/>
          <w:rtl/>
        </w:rPr>
        <w:t>,</w:t>
      </w:r>
      <w:r w:rsidRPr="002F5FB0">
        <w:rPr>
          <w:rFonts w:ascii="Times New Roman" w:eastAsia="Times New Roman" w:hAnsi="Times New Roman" w:cs="David" w:hint="cs"/>
          <w:b/>
          <w:bCs/>
          <w:sz w:val="24"/>
          <w:szCs w:val="24"/>
          <w:rtl/>
        </w:rPr>
        <w:t xml:space="preserve"> ו</w:t>
      </w:r>
      <w:r>
        <w:rPr>
          <w:rFonts w:ascii="Times New Roman" w:eastAsia="Times New Roman" w:hAnsi="Times New Roman" w:cs="David" w:hint="cs"/>
          <w:b/>
          <w:bCs/>
          <w:sz w:val="24"/>
          <w:szCs w:val="24"/>
          <w:rtl/>
        </w:rPr>
        <w:t xml:space="preserve">אף </w:t>
      </w:r>
      <w:r w:rsidRPr="002F5FB0">
        <w:rPr>
          <w:rFonts w:ascii="Times New Roman" w:eastAsia="Times New Roman" w:hAnsi="Times New Roman" w:cs="David" w:hint="cs"/>
          <w:b/>
          <w:bCs/>
          <w:sz w:val="24"/>
          <w:szCs w:val="24"/>
          <w:rtl/>
        </w:rPr>
        <w:t xml:space="preserve">הביע בה עניין עוד כשפגש בה </w:t>
      </w:r>
      <w:r>
        <w:rPr>
          <w:rFonts w:ascii="Times New Roman" w:eastAsia="Times New Roman" w:hAnsi="Times New Roman" w:cs="David" w:hint="cs"/>
          <w:b/>
          <w:bCs/>
          <w:sz w:val="24"/>
          <w:szCs w:val="24"/>
          <w:rtl/>
        </w:rPr>
        <w:t xml:space="preserve">קודם לכן </w:t>
      </w:r>
      <w:r w:rsidRPr="002F5FB0">
        <w:rPr>
          <w:rFonts w:ascii="Times New Roman" w:eastAsia="Times New Roman" w:hAnsi="Times New Roman" w:cs="David" w:hint="cs"/>
          <w:b/>
          <w:bCs/>
          <w:sz w:val="24"/>
          <w:szCs w:val="24"/>
          <w:rtl/>
        </w:rPr>
        <w:t xml:space="preserve">בבריכת המלון. </w:t>
      </w:r>
    </w:p>
    <w:p w:rsidR="00826461" w:rsidRDefault="00826461" w:rsidP="00826461">
      <w:pPr>
        <w:spacing w:line="360" w:lineRule="auto"/>
        <w:jc w:val="both"/>
        <w:rPr>
          <w:rFonts w:ascii="David" w:eastAsia="Calibri" w:hAnsi="David" w:cs="David"/>
          <w:b/>
          <w:bCs/>
          <w:sz w:val="24"/>
          <w:szCs w:val="24"/>
          <w:rtl/>
        </w:rPr>
      </w:pPr>
      <w:r w:rsidRPr="002F5FB0">
        <w:rPr>
          <w:rFonts w:ascii="Times New Roman" w:eastAsia="Times New Roman" w:hAnsi="Times New Roman" w:cs="David" w:hint="cs"/>
          <w:b/>
          <w:bCs/>
          <w:sz w:val="24"/>
          <w:szCs w:val="24"/>
          <w:rtl/>
        </w:rPr>
        <w:t xml:space="preserve">מכאן, בתפנית חדה ומסויטת בעלילה, הפך בילוי עם חברים לאירוע קשה </w:t>
      </w:r>
      <w:r>
        <w:rPr>
          <w:rFonts w:ascii="Times New Roman" w:eastAsia="Times New Roman" w:hAnsi="Times New Roman" w:cs="David" w:hint="cs"/>
          <w:b/>
          <w:bCs/>
          <w:sz w:val="24"/>
          <w:szCs w:val="24"/>
          <w:rtl/>
        </w:rPr>
        <w:t>ופוגעני, ש</w:t>
      </w:r>
      <w:r w:rsidRPr="002F5FB0">
        <w:rPr>
          <w:rFonts w:ascii="Times New Roman" w:eastAsia="Times New Roman" w:hAnsi="Times New Roman" w:cs="David" w:hint="cs"/>
          <w:b/>
          <w:bCs/>
          <w:sz w:val="24"/>
          <w:szCs w:val="24"/>
          <w:rtl/>
        </w:rPr>
        <w:t xml:space="preserve">בו </w:t>
      </w:r>
      <w:r w:rsidRPr="00971E89">
        <w:rPr>
          <w:rFonts w:ascii="Times New Roman" w:eastAsia="Times New Roman" w:hAnsi="Times New Roman" w:cs="David"/>
          <w:b/>
          <w:bCs/>
          <w:sz w:val="24"/>
          <w:szCs w:val="24"/>
          <w:rtl/>
        </w:rPr>
        <w:t>במשך שעה עברה המתלוננת מסכת של פגיעות מיניות על ידי מספר רב של משתתפים, תו</w:t>
      </w:r>
      <w:r>
        <w:rPr>
          <w:rFonts w:ascii="Times New Roman" w:eastAsia="Times New Roman" w:hAnsi="Times New Roman" w:cs="David" w:hint="cs"/>
          <w:b/>
          <w:bCs/>
          <w:sz w:val="24"/>
          <w:szCs w:val="24"/>
          <w:rtl/>
        </w:rPr>
        <w:t>ך</w:t>
      </w:r>
      <w:r w:rsidRPr="00971E89">
        <w:rPr>
          <w:rFonts w:ascii="Times New Roman" w:eastAsia="Times New Roman" w:hAnsi="Times New Roman" w:cs="David"/>
          <w:b/>
          <w:bCs/>
          <w:sz w:val="24"/>
          <w:szCs w:val="24"/>
          <w:rtl/>
        </w:rPr>
        <w:t xml:space="preserve"> הפרה בוטה ורמיסה של פרטיותה, כבודה והאוטונומיה שלה על גופה.</w:t>
      </w:r>
      <w:r>
        <w:rPr>
          <w:rFonts w:ascii="Times New Roman" w:eastAsia="Times New Roman" w:hAnsi="Times New Roman" w:cs="David" w:hint="cs"/>
          <w:b/>
          <w:bCs/>
          <w:sz w:val="24"/>
          <w:szCs w:val="24"/>
          <w:rtl/>
        </w:rPr>
        <w:t>"</w:t>
      </w:r>
      <w:r w:rsidRPr="00971E89">
        <w:rPr>
          <w:rFonts w:ascii="Times New Roman" w:eastAsia="Times New Roman" w:hAnsi="Times New Roman" w:cs="David"/>
          <w:b/>
          <w:bCs/>
          <w:sz w:val="24"/>
          <w:szCs w:val="24"/>
          <w:rtl/>
        </w:rPr>
        <w:t xml:space="preserve"> </w:t>
      </w:r>
    </w:p>
    <w:p w:rsidR="00826461" w:rsidRDefault="00826461" w:rsidP="00826461">
      <w:pPr>
        <w:widowControl w:val="0"/>
        <w:spacing w:before="240" w:after="240" w:line="360" w:lineRule="auto"/>
        <w:jc w:val="both"/>
        <w:rPr>
          <w:rFonts w:ascii="Times New Roman" w:eastAsia="Times New Roman" w:hAnsi="Times New Roman" w:cs="David"/>
          <w:sz w:val="24"/>
          <w:szCs w:val="24"/>
          <w:rtl/>
        </w:rPr>
      </w:pPr>
      <w:r w:rsidRPr="0098253B">
        <w:rPr>
          <w:rFonts w:ascii="Times New Roman" w:eastAsia="Times New Roman" w:hAnsi="Times New Roman" w:cs="David" w:hint="cs"/>
          <w:sz w:val="24"/>
          <w:szCs w:val="24"/>
          <w:u w:val="single"/>
          <w:rtl/>
        </w:rPr>
        <w:t xml:space="preserve">באשר למעשיו </w:t>
      </w:r>
      <w:r>
        <w:rPr>
          <w:rFonts w:ascii="Times New Roman" w:eastAsia="Times New Roman" w:hAnsi="Times New Roman" w:cs="David" w:hint="cs"/>
          <w:sz w:val="24"/>
          <w:szCs w:val="24"/>
          <w:u w:val="single"/>
          <w:rtl/>
        </w:rPr>
        <w:t xml:space="preserve">וחלקו </w:t>
      </w:r>
      <w:r w:rsidRPr="0098253B">
        <w:rPr>
          <w:rFonts w:ascii="Times New Roman" w:eastAsia="Times New Roman" w:hAnsi="Times New Roman" w:cs="David" w:hint="cs"/>
          <w:sz w:val="24"/>
          <w:szCs w:val="24"/>
          <w:u w:val="single"/>
          <w:rtl/>
        </w:rPr>
        <w:t>של נאשם 2</w:t>
      </w:r>
      <w:r>
        <w:rPr>
          <w:rFonts w:ascii="Times New Roman" w:eastAsia="Times New Roman" w:hAnsi="Times New Roman" w:cs="David" w:hint="cs"/>
          <w:sz w:val="24"/>
          <w:szCs w:val="24"/>
          <w:rtl/>
        </w:rPr>
        <w:t xml:space="preserve"> הודגש, כי בעוד המתלוננת פוסעת בקושי ונתמכת על ידי אחרים במסדרון המלון, היא "נקטפה" על ידי הנאשם 2, אשר יצא למסדרון למשמע ההמולה וללא היסוס הציג מצג כוזב, כי הוא אדם בוגר בעל ניסיון במתן עזרה רפואית והוא יטפל בה ויגיש לה עזרה. </w:t>
      </w:r>
    </w:p>
    <w:p w:rsidR="00826461" w:rsidRDefault="00826461" w:rsidP="00826461">
      <w:pPr>
        <w:widowControl w:val="0"/>
        <w:spacing w:before="240" w:after="24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בתואנת השווא ותחת אותו מצג כוזב, הנאשם 2 הוביל את המתלוננת אל חדר 216 במלון, שם החל לבצע בה את הפגיעות המיניות הקשות, שם נרמס כבודה וחוללה פרטיותה. אותו חדר שהאנושיות והמוסר נותרו מחוץ לו, הפך בהרף עין ל "סדום ועמורה", כפי שתיאר זאת הנאשם 1. </w:t>
      </w:r>
    </w:p>
    <w:p w:rsidR="00826461" w:rsidRDefault="00826461" w:rsidP="00826461">
      <w:pPr>
        <w:widowControl w:val="0"/>
        <w:spacing w:before="240" w:after="24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הנאשם 1 אנס את המתלוננת לאחר שהנאשם 2 כבר עשה זאת קודם לכן, ותוך כדי כך הנאשם 2 מצלם את אינוסה של המתלוננת על ידי נאשם 1 ומשמיע לו קריאות עידוד באמרו "תפרק אותה". </w:t>
      </w:r>
    </w:p>
    <w:p w:rsidR="00826461" w:rsidRDefault="00826461" w:rsidP="00826461">
      <w:pPr>
        <w:widowControl w:val="0"/>
        <w:spacing w:before="240" w:after="24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lastRenderedPageBreak/>
        <w:t xml:space="preserve">בית המשפט הדגיש, כי כל הבאים אל החדר בו חולל גופה של המתלוננת הקטינה בחרו להיכנס אליו תוך שהם מודעים לפגיעות המתחוללות בחדר, לפגיעות הקשות בפרטיותה של המתלוננת, בזכותה לכבוד כאדם וכפרט, ולא רק שאיש מהם לא עצר את הפגיעה, אלא הם השתתפו בה בצחקוקים מחוץ לחדר ובתוכו, בעשיית תנועות מגונות ביחס לקורה בחדר, כשכל אחד מוסיף כמה טיפות שמן ונוזל בעירה, למדורה. הנאשמים, בשונה </w:t>
      </w:r>
      <w:proofErr w:type="spellStart"/>
      <w:r>
        <w:rPr>
          <w:rFonts w:ascii="Times New Roman" w:eastAsia="Times New Roman" w:hAnsi="Times New Roman" w:cs="David" w:hint="cs"/>
          <w:sz w:val="24"/>
          <w:szCs w:val="24"/>
          <w:rtl/>
        </w:rPr>
        <w:t>מהמתלוננת</w:t>
      </w:r>
      <w:proofErr w:type="spellEnd"/>
      <w:r>
        <w:rPr>
          <w:rFonts w:ascii="Times New Roman" w:eastAsia="Times New Roman" w:hAnsi="Times New Roman" w:cs="David" w:hint="cs"/>
          <w:sz w:val="24"/>
          <w:szCs w:val="24"/>
          <w:rtl/>
        </w:rPr>
        <w:t xml:space="preserve">, היו במצב בו הם שלטו בגופם וברצונותיהם והיו מודעים למתרחש, אך ליבם קשה, ואיש מהם לא חס עליה. </w:t>
      </w:r>
    </w:p>
    <w:p w:rsidR="00826461" w:rsidRDefault="00826461" w:rsidP="00826461">
      <w:pPr>
        <w:widowControl w:val="0"/>
        <w:spacing w:before="240" w:after="24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בית המשפט הדגיש, כי מסכת העבירות שביצעו הנאשמים 1 ו-2 במתלוננת, קטינה כבת 16, תוך חילול גופה וכבודה הם מהקשים שנראו בין כותלי בית משפט זה:</w:t>
      </w:r>
      <w:r>
        <w:rPr>
          <w:rFonts w:ascii="Times New Roman" w:eastAsia="Times New Roman" w:hAnsi="Times New Roman" w:cs="David" w:hint="cs"/>
          <w:b/>
          <w:bCs/>
          <w:sz w:val="24"/>
          <w:szCs w:val="24"/>
          <w:rtl/>
        </w:rPr>
        <w:t xml:space="preserve"> "לא </w:t>
      </w:r>
      <w:r w:rsidRPr="00785D40">
        <w:rPr>
          <w:rFonts w:ascii="Times New Roman" w:eastAsia="Times New Roman" w:hAnsi="Times New Roman" w:cs="David" w:hint="cs"/>
          <w:b/>
          <w:bCs/>
          <w:sz w:val="24"/>
          <w:szCs w:val="24"/>
          <w:rtl/>
        </w:rPr>
        <w:t xml:space="preserve">תיק אחד ולא שניים ראינו בימי </w:t>
      </w:r>
      <w:proofErr w:type="spellStart"/>
      <w:r w:rsidRPr="00785D40">
        <w:rPr>
          <w:rFonts w:ascii="Times New Roman" w:eastAsia="Times New Roman" w:hAnsi="Times New Roman" w:cs="David" w:hint="cs"/>
          <w:b/>
          <w:bCs/>
          <w:sz w:val="24"/>
          <w:szCs w:val="24"/>
          <w:rtl/>
        </w:rPr>
        <w:t>חלדנו</w:t>
      </w:r>
      <w:proofErr w:type="spellEnd"/>
      <w:r w:rsidRPr="00785D40">
        <w:rPr>
          <w:rFonts w:ascii="Times New Roman" w:eastAsia="Times New Roman" w:hAnsi="Times New Roman" w:cs="David" w:hint="cs"/>
          <w:b/>
          <w:bCs/>
          <w:sz w:val="24"/>
          <w:szCs w:val="24"/>
          <w:rtl/>
        </w:rPr>
        <w:t xml:space="preserve"> בתיקי הפשיעה החמורה שאנו שומעים יום יום, ו</w:t>
      </w:r>
      <w:r w:rsidRPr="00971E89">
        <w:rPr>
          <w:rFonts w:ascii="Times New Roman" w:eastAsia="Times New Roman" w:hAnsi="Times New Roman" w:cs="David"/>
          <w:b/>
          <w:bCs/>
          <w:sz w:val="24"/>
          <w:szCs w:val="24"/>
          <w:rtl/>
        </w:rPr>
        <w:t>האופן בו בוצעו העבירות בתיק זה</w:t>
      </w:r>
      <w:r w:rsidRPr="00785D40">
        <w:rPr>
          <w:rFonts w:ascii="Times New Roman" w:eastAsia="Times New Roman" w:hAnsi="Times New Roman" w:cs="David" w:hint="cs"/>
          <w:b/>
          <w:bCs/>
          <w:sz w:val="24"/>
          <w:szCs w:val="24"/>
          <w:rtl/>
        </w:rPr>
        <w:t xml:space="preserve"> חריג בחומרתו, </w:t>
      </w:r>
      <w:proofErr w:type="spellStart"/>
      <w:r w:rsidRPr="00785D40">
        <w:rPr>
          <w:rFonts w:ascii="Times New Roman" w:eastAsia="Times New Roman" w:hAnsi="Times New Roman" w:cs="David" w:hint="cs"/>
          <w:b/>
          <w:bCs/>
          <w:sz w:val="24"/>
          <w:szCs w:val="24"/>
          <w:rtl/>
        </w:rPr>
        <w:t>בפוגענותו</w:t>
      </w:r>
      <w:proofErr w:type="spellEnd"/>
      <w:r w:rsidRPr="00785D40">
        <w:rPr>
          <w:rFonts w:ascii="Times New Roman" w:eastAsia="Times New Roman" w:hAnsi="Times New Roman" w:cs="David" w:hint="cs"/>
          <w:b/>
          <w:bCs/>
          <w:sz w:val="24"/>
          <w:szCs w:val="24"/>
          <w:rtl/>
        </w:rPr>
        <w:t xml:space="preserve">, </w:t>
      </w:r>
      <w:r>
        <w:rPr>
          <w:rFonts w:ascii="Times New Roman" w:eastAsia="Times New Roman" w:hAnsi="Times New Roman" w:cs="David" w:hint="cs"/>
          <w:b/>
          <w:bCs/>
          <w:sz w:val="24"/>
          <w:szCs w:val="24"/>
          <w:rtl/>
        </w:rPr>
        <w:t>בהיקפו ובמידת ה</w:t>
      </w:r>
      <w:r w:rsidRPr="00785D40">
        <w:rPr>
          <w:rFonts w:ascii="Times New Roman" w:eastAsia="Times New Roman" w:hAnsi="Times New Roman" w:cs="David" w:hint="cs"/>
          <w:b/>
          <w:bCs/>
          <w:sz w:val="24"/>
          <w:szCs w:val="24"/>
          <w:rtl/>
        </w:rPr>
        <w:t>התפרקות שהייתה בו מערכים אנושיים בסיסי</w:t>
      </w:r>
      <w:r>
        <w:rPr>
          <w:rFonts w:ascii="Times New Roman" w:eastAsia="Times New Roman" w:hAnsi="Times New Roman" w:cs="David" w:hint="cs"/>
          <w:b/>
          <w:bCs/>
          <w:sz w:val="24"/>
          <w:szCs w:val="24"/>
          <w:rtl/>
        </w:rPr>
        <w:t>י</w:t>
      </w:r>
      <w:r w:rsidRPr="00785D40">
        <w:rPr>
          <w:rFonts w:ascii="Times New Roman" w:eastAsia="Times New Roman" w:hAnsi="Times New Roman" w:cs="David" w:hint="cs"/>
          <w:b/>
          <w:bCs/>
          <w:sz w:val="24"/>
          <w:szCs w:val="24"/>
          <w:rtl/>
        </w:rPr>
        <w:t>ם של כבוד, חמלה ואנושיות</w:t>
      </w:r>
      <w:r>
        <w:rPr>
          <w:rFonts w:ascii="Times New Roman" w:eastAsia="Times New Roman" w:hAnsi="Times New Roman" w:cs="David" w:hint="cs"/>
          <w:b/>
          <w:bCs/>
          <w:sz w:val="24"/>
          <w:szCs w:val="24"/>
          <w:rtl/>
        </w:rPr>
        <w:t>"</w:t>
      </w:r>
      <w:r>
        <w:rPr>
          <w:rFonts w:ascii="Times New Roman" w:eastAsia="Times New Roman" w:hAnsi="Times New Roman" w:cs="David" w:hint="cs"/>
          <w:sz w:val="24"/>
          <w:szCs w:val="24"/>
          <w:rtl/>
        </w:rPr>
        <w:t>.</w:t>
      </w:r>
    </w:p>
    <w:p w:rsidR="00826461" w:rsidRDefault="00826461" w:rsidP="00826461">
      <w:pPr>
        <w:widowControl w:val="0"/>
        <w:spacing w:before="240" w:after="240"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בקביעת מתחם העונש ההולם עמד בית המשפט על רמיסתם של הערכים החברתיים אשר נפגעו מביצוע העבירות על ידי הנאשמים, ועל כך שנסיבות מקרה זה הינן חמורות במיוחד נוכח הפומביות של המעשה והאופן בו בוצעו המעשים, שיש בו משום ביטול אישיותה ואנושיותה של המתלוננת, וההתייחסות המבזה אליה כאל חפץ שמוטל על המיטה שכל כולו נועד לסיפוק יצרי הנאשמים. </w:t>
      </w:r>
    </w:p>
    <w:p w:rsidR="00826461" w:rsidRDefault="00826461" w:rsidP="00826461">
      <w:pPr>
        <w:widowControl w:val="0"/>
        <w:spacing w:before="240" w:after="240" w:line="360" w:lineRule="auto"/>
        <w:jc w:val="both"/>
        <w:rPr>
          <w:rFonts w:ascii="David" w:eastAsia="Times New Roman" w:hAnsi="David" w:cs="David"/>
          <w:sz w:val="24"/>
          <w:szCs w:val="24"/>
          <w:rtl/>
        </w:rPr>
      </w:pPr>
      <w:r w:rsidRPr="00EC7410">
        <w:rPr>
          <w:rFonts w:ascii="David" w:eastAsia="Calibri" w:hAnsi="David" w:cs="David" w:hint="eastAsia"/>
          <w:sz w:val="24"/>
          <w:szCs w:val="24"/>
          <w:u w:val="single"/>
          <w:rtl/>
        </w:rPr>
        <w:t>באשר</w:t>
      </w:r>
      <w:r w:rsidRPr="00EC7410">
        <w:rPr>
          <w:rFonts w:ascii="David" w:eastAsia="Calibri" w:hAnsi="David" w:cs="David"/>
          <w:sz w:val="24"/>
          <w:szCs w:val="24"/>
          <w:u w:val="single"/>
          <w:rtl/>
        </w:rPr>
        <w:t xml:space="preserve"> לחלקו </w:t>
      </w:r>
      <w:r>
        <w:rPr>
          <w:rFonts w:ascii="David" w:eastAsia="Calibri" w:hAnsi="David" w:cs="David" w:hint="cs"/>
          <w:sz w:val="24"/>
          <w:szCs w:val="24"/>
          <w:u w:val="single"/>
          <w:rtl/>
        </w:rPr>
        <w:t xml:space="preserve">ומעשיו של </w:t>
      </w:r>
      <w:r w:rsidRPr="00EC7410">
        <w:rPr>
          <w:rFonts w:ascii="David" w:eastAsia="Calibri" w:hAnsi="David" w:cs="David"/>
          <w:sz w:val="24"/>
          <w:szCs w:val="24"/>
          <w:u w:val="single"/>
          <w:rtl/>
        </w:rPr>
        <w:t xml:space="preserve">הנאשם 2 </w:t>
      </w:r>
      <w:r>
        <w:rPr>
          <w:rFonts w:ascii="David" w:hAnsi="David" w:cs="David" w:hint="cs"/>
          <w:b/>
          <w:sz w:val="24"/>
          <w:szCs w:val="24"/>
          <w:rtl/>
        </w:rPr>
        <w:t xml:space="preserve">הדגיש בית המשפט כי </w:t>
      </w:r>
      <w:r w:rsidRPr="00785D40">
        <w:rPr>
          <w:rFonts w:ascii="David" w:eastAsia="Calibri" w:hAnsi="David" w:cs="David"/>
          <w:b/>
          <w:sz w:val="24"/>
          <w:szCs w:val="24"/>
          <w:rtl/>
        </w:rPr>
        <w:t xml:space="preserve">נאשם 2 הוא דמות דומיננטית שאף ניתן לכנותו </w:t>
      </w:r>
      <w:r>
        <w:rPr>
          <w:rFonts w:ascii="David" w:eastAsia="Calibri" w:hAnsi="David" w:cs="David" w:hint="cs"/>
          <w:b/>
          <w:sz w:val="24"/>
          <w:szCs w:val="24"/>
          <w:rtl/>
        </w:rPr>
        <w:t>"</w:t>
      </w:r>
      <w:r w:rsidRPr="00785D40">
        <w:rPr>
          <w:rFonts w:ascii="David" w:eastAsia="Calibri" w:hAnsi="David" w:cs="David"/>
          <w:b/>
          <w:sz w:val="24"/>
          <w:szCs w:val="24"/>
          <w:rtl/>
        </w:rPr>
        <w:t>מחולל האירוע</w:t>
      </w:r>
      <w:r>
        <w:rPr>
          <w:rFonts w:ascii="David" w:eastAsia="Calibri" w:hAnsi="David" w:cs="David" w:hint="cs"/>
          <w:b/>
          <w:sz w:val="24"/>
          <w:szCs w:val="24"/>
          <w:rtl/>
        </w:rPr>
        <w:t>"</w:t>
      </w:r>
      <w:r w:rsidRPr="00785D40">
        <w:rPr>
          <w:rFonts w:ascii="David" w:eastAsia="Calibri" w:hAnsi="David" w:cs="David" w:hint="cs"/>
          <w:b/>
          <w:sz w:val="24"/>
          <w:szCs w:val="24"/>
          <w:rtl/>
        </w:rPr>
        <w:t xml:space="preserve">, הוא </w:t>
      </w:r>
      <w:r w:rsidRPr="00785D40">
        <w:rPr>
          <w:rFonts w:ascii="David" w:eastAsia="Times New Roman" w:hAnsi="David" w:cs="David" w:hint="cs"/>
          <w:b/>
          <w:sz w:val="24"/>
          <w:szCs w:val="24"/>
          <w:rtl/>
        </w:rPr>
        <w:t>הורשע במספר רב של עבירות יותר מכל יתר המעורבים בפרשה</w:t>
      </w:r>
      <w:r>
        <w:rPr>
          <w:rFonts w:ascii="David" w:eastAsia="Times New Roman" w:hAnsi="David" w:cs="David" w:hint="cs"/>
          <w:b/>
          <w:sz w:val="24"/>
          <w:szCs w:val="24"/>
          <w:rtl/>
        </w:rPr>
        <w:t xml:space="preserve"> ושהה בחדר לאורך כל האירוע. ב</w:t>
      </w:r>
      <w:r>
        <w:rPr>
          <w:rFonts w:ascii="David" w:eastAsia="Times New Roman" w:hAnsi="David" w:cs="David" w:hint="cs"/>
          <w:sz w:val="24"/>
          <w:szCs w:val="24"/>
          <w:rtl/>
        </w:rPr>
        <w:t xml:space="preserve">מעשיו של הנאשם 2 ניכר גם התכנון בביצוע העבירות </w:t>
      </w:r>
      <w:proofErr w:type="spellStart"/>
      <w:r>
        <w:rPr>
          <w:rFonts w:ascii="David" w:eastAsia="Times New Roman" w:hAnsi="David" w:cs="David" w:hint="cs"/>
          <w:sz w:val="24"/>
          <w:szCs w:val="24"/>
          <w:rtl/>
        </w:rPr>
        <w:t>ובתכלול</w:t>
      </w:r>
      <w:proofErr w:type="spellEnd"/>
      <w:r>
        <w:rPr>
          <w:rFonts w:ascii="David" w:eastAsia="Times New Roman" w:hAnsi="David" w:cs="David" w:hint="cs"/>
          <w:sz w:val="24"/>
          <w:szCs w:val="24"/>
          <w:rtl/>
        </w:rPr>
        <w:t xml:space="preserve"> האירוע כולו על ידו, וכי הוא גורם בלעדיו לא היה מתרחש האירוע. לא היה די </w:t>
      </w:r>
      <w:r w:rsidRPr="00971E89">
        <w:rPr>
          <w:rFonts w:ascii="David" w:eastAsia="Times New Roman" w:hAnsi="David" w:cs="David"/>
          <w:sz w:val="24"/>
          <w:szCs w:val="24"/>
          <w:rtl/>
        </w:rPr>
        <w:t>לנאשם 2</w:t>
      </w:r>
      <w:r>
        <w:rPr>
          <w:rFonts w:ascii="David" w:eastAsia="Times New Roman" w:hAnsi="David" w:cs="David" w:hint="cs"/>
          <w:sz w:val="24"/>
          <w:szCs w:val="24"/>
          <w:rtl/>
        </w:rPr>
        <w:t xml:space="preserve"> באינוסה של </w:t>
      </w:r>
      <w:r w:rsidRPr="00971E89">
        <w:rPr>
          <w:rFonts w:ascii="David" w:eastAsia="Times New Roman" w:hAnsi="David" w:cs="David"/>
          <w:sz w:val="24"/>
          <w:szCs w:val="24"/>
          <w:rtl/>
        </w:rPr>
        <w:t xml:space="preserve">המתלוננת, </w:t>
      </w:r>
      <w:r>
        <w:rPr>
          <w:rFonts w:ascii="David" w:eastAsia="Times New Roman" w:hAnsi="David" w:cs="David" w:hint="cs"/>
          <w:sz w:val="24"/>
          <w:szCs w:val="24"/>
          <w:rtl/>
        </w:rPr>
        <w:t xml:space="preserve">אלא הוא אף קרא לנאשם 1 כדי </w:t>
      </w:r>
      <w:r w:rsidRPr="00971E89">
        <w:rPr>
          <w:rFonts w:ascii="David" w:eastAsia="Times New Roman" w:hAnsi="David" w:cs="David"/>
          <w:sz w:val="24"/>
          <w:szCs w:val="24"/>
          <w:rtl/>
        </w:rPr>
        <w:t>שגם הוא י</w:t>
      </w:r>
      <w:r>
        <w:rPr>
          <w:rFonts w:ascii="David" w:eastAsia="Times New Roman" w:hAnsi="David" w:cs="David" w:hint="cs"/>
          <w:sz w:val="24"/>
          <w:szCs w:val="24"/>
          <w:rtl/>
        </w:rPr>
        <w:t xml:space="preserve">אנוס את </w:t>
      </w:r>
      <w:r w:rsidRPr="00971E89">
        <w:rPr>
          <w:rFonts w:ascii="David" w:eastAsia="Times New Roman" w:hAnsi="David" w:cs="David"/>
          <w:sz w:val="24"/>
          <w:szCs w:val="24"/>
          <w:rtl/>
        </w:rPr>
        <w:t>המתלוננת</w:t>
      </w:r>
      <w:r>
        <w:rPr>
          <w:rFonts w:ascii="David" w:eastAsia="Times New Roman" w:hAnsi="David" w:cs="David" w:hint="cs"/>
          <w:sz w:val="24"/>
          <w:szCs w:val="24"/>
          <w:rtl/>
        </w:rPr>
        <w:t xml:space="preserve">, ובאותה עת </w:t>
      </w:r>
      <w:r w:rsidRPr="00971E89">
        <w:rPr>
          <w:rFonts w:ascii="David" w:eastAsia="Times New Roman" w:hAnsi="David" w:cs="David"/>
          <w:sz w:val="24"/>
          <w:szCs w:val="24"/>
          <w:rtl/>
        </w:rPr>
        <w:t>הוסיף חטא על פשע כאשר תיעד את מעשה האונס</w:t>
      </w:r>
      <w:r>
        <w:rPr>
          <w:rFonts w:ascii="David" w:eastAsia="Times New Roman" w:hAnsi="David" w:cs="David" w:hint="cs"/>
          <w:sz w:val="24"/>
          <w:szCs w:val="24"/>
          <w:rtl/>
        </w:rPr>
        <w:t xml:space="preserve">; בהמשך עודד נאשמים נוספים, קטינים שאותם לא הכיר קודם, להיכנס אל החדר, ואף עודד את הנאשמים 6 ו-7 לבעול את המתלוננת . </w:t>
      </w:r>
    </w:p>
    <w:p w:rsidR="00826461" w:rsidRDefault="00826461" w:rsidP="00826461">
      <w:pPr>
        <w:spacing w:line="360" w:lineRule="auto"/>
        <w:jc w:val="both"/>
        <w:rPr>
          <w:rFonts w:ascii="David" w:eastAsia="Calibri" w:hAnsi="David" w:cs="David"/>
          <w:sz w:val="24"/>
          <w:szCs w:val="24"/>
          <w:rtl/>
        </w:rPr>
      </w:pPr>
      <w:r w:rsidRPr="00EC7410">
        <w:rPr>
          <w:rFonts w:ascii="David" w:eastAsia="Calibri" w:hAnsi="David" w:cs="David"/>
          <w:sz w:val="24"/>
          <w:szCs w:val="24"/>
          <w:u w:val="single"/>
          <w:rtl/>
        </w:rPr>
        <w:t>ביחס ל</w:t>
      </w:r>
      <w:r w:rsidRPr="00EC7410">
        <w:rPr>
          <w:rFonts w:ascii="David" w:eastAsia="Calibri" w:hAnsi="David" w:cs="David" w:hint="eastAsia"/>
          <w:sz w:val="24"/>
          <w:szCs w:val="24"/>
          <w:u w:val="single"/>
          <w:rtl/>
        </w:rPr>
        <w:t>חלקו</w:t>
      </w:r>
      <w:r w:rsidRPr="00EC7410">
        <w:rPr>
          <w:rFonts w:ascii="David" w:eastAsia="Calibri" w:hAnsi="David" w:cs="David"/>
          <w:sz w:val="24"/>
          <w:szCs w:val="24"/>
          <w:u w:val="single"/>
          <w:rtl/>
        </w:rPr>
        <w:t xml:space="preserve"> </w:t>
      </w:r>
      <w:r w:rsidRPr="00EC7410">
        <w:rPr>
          <w:rFonts w:ascii="David" w:eastAsia="Calibri" w:hAnsi="David" w:cs="David" w:hint="eastAsia"/>
          <w:sz w:val="24"/>
          <w:szCs w:val="24"/>
          <w:u w:val="single"/>
          <w:rtl/>
        </w:rPr>
        <w:t>ומעשיו</w:t>
      </w:r>
      <w:r w:rsidRPr="00EC7410">
        <w:rPr>
          <w:rFonts w:ascii="David" w:eastAsia="Calibri" w:hAnsi="David" w:cs="David"/>
          <w:sz w:val="24"/>
          <w:szCs w:val="24"/>
          <w:u w:val="single"/>
          <w:rtl/>
        </w:rPr>
        <w:t xml:space="preserve"> </w:t>
      </w:r>
      <w:r w:rsidRPr="00EC7410">
        <w:rPr>
          <w:rFonts w:ascii="David" w:eastAsia="Calibri" w:hAnsi="David" w:cs="David" w:hint="eastAsia"/>
          <w:sz w:val="24"/>
          <w:szCs w:val="24"/>
          <w:u w:val="single"/>
          <w:rtl/>
        </w:rPr>
        <w:t>של</w:t>
      </w:r>
      <w:r w:rsidRPr="00EC7410">
        <w:rPr>
          <w:rFonts w:ascii="David" w:eastAsia="Calibri" w:hAnsi="David" w:cs="David"/>
          <w:sz w:val="24"/>
          <w:szCs w:val="24"/>
          <w:u w:val="single"/>
          <w:rtl/>
        </w:rPr>
        <w:t xml:space="preserve"> </w:t>
      </w:r>
      <w:r w:rsidRPr="00EC7410">
        <w:rPr>
          <w:rFonts w:ascii="David" w:eastAsia="Calibri" w:hAnsi="David" w:cs="David" w:hint="eastAsia"/>
          <w:sz w:val="24"/>
          <w:szCs w:val="24"/>
          <w:u w:val="single"/>
          <w:rtl/>
        </w:rPr>
        <w:t>ה</w:t>
      </w:r>
      <w:r w:rsidRPr="00EC7410">
        <w:rPr>
          <w:rFonts w:ascii="David" w:eastAsia="Calibri" w:hAnsi="David" w:cs="David"/>
          <w:sz w:val="24"/>
          <w:szCs w:val="24"/>
          <w:u w:val="single"/>
          <w:rtl/>
        </w:rPr>
        <w:t>נאשם 1</w:t>
      </w:r>
      <w:r w:rsidRPr="00EC7410">
        <w:rPr>
          <w:rFonts w:ascii="David" w:eastAsia="Calibri" w:hAnsi="David" w:cs="David"/>
          <w:sz w:val="24"/>
          <w:szCs w:val="24"/>
          <w:rtl/>
        </w:rPr>
        <w:t xml:space="preserve"> קבע</w:t>
      </w:r>
      <w:r>
        <w:rPr>
          <w:rFonts w:ascii="David" w:eastAsia="Calibri" w:hAnsi="David" w:cs="David" w:hint="cs"/>
          <w:sz w:val="24"/>
          <w:szCs w:val="24"/>
          <w:rtl/>
        </w:rPr>
        <w:t xml:space="preserve"> בית המשפט </w:t>
      </w:r>
      <w:r w:rsidRPr="00EC7410">
        <w:rPr>
          <w:rFonts w:ascii="David" w:eastAsia="Calibri" w:hAnsi="David" w:cs="David"/>
          <w:sz w:val="24"/>
          <w:szCs w:val="24"/>
          <w:rtl/>
        </w:rPr>
        <w:t xml:space="preserve">כי </w:t>
      </w:r>
      <w:r w:rsidRPr="00EC7410">
        <w:rPr>
          <w:rFonts w:ascii="David" w:eastAsia="Calibri" w:hAnsi="David" w:cs="David" w:hint="cs"/>
          <w:sz w:val="24"/>
          <w:szCs w:val="24"/>
          <w:rtl/>
        </w:rPr>
        <w:t xml:space="preserve">הוא </w:t>
      </w:r>
      <w:r w:rsidRPr="00EC7410">
        <w:rPr>
          <w:rFonts w:ascii="David" w:eastAsia="Calibri" w:hAnsi="David" w:cs="David"/>
          <w:sz w:val="24"/>
          <w:szCs w:val="24"/>
          <w:rtl/>
        </w:rPr>
        <w:t xml:space="preserve">נכח יחד עם נאשם 2 בכל השלבים שהובילו לביצוע העבירות, </w:t>
      </w:r>
      <w:r w:rsidRPr="00EC7410">
        <w:rPr>
          <w:rFonts w:ascii="David" w:eastAsia="Calibri" w:hAnsi="David" w:cs="David" w:hint="cs"/>
          <w:sz w:val="24"/>
          <w:szCs w:val="24"/>
          <w:rtl/>
        </w:rPr>
        <w:t xml:space="preserve">כי קיימת ביניהם סימביוזה כאשר </w:t>
      </w:r>
      <w:r w:rsidRPr="00EC7410">
        <w:rPr>
          <w:rFonts w:ascii="David" w:eastAsia="Calibri" w:hAnsi="David" w:cs="David" w:hint="cs"/>
          <w:b/>
          <w:bCs/>
          <w:sz w:val="24"/>
          <w:szCs w:val="24"/>
          <w:rtl/>
        </w:rPr>
        <w:t>"</w:t>
      </w:r>
      <w:r w:rsidRPr="00EC7410">
        <w:rPr>
          <w:rFonts w:ascii="David" w:eastAsia="Calibri" w:hAnsi="David" w:cs="David"/>
          <w:b/>
          <w:bCs/>
          <w:sz w:val="24"/>
          <w:szCs w:val="24"/>
          <w:rtl/>
        </w:rPr>
        <w:t xml:space="preserve">הנאשם 1 משמש כמעין שליחו ויד ימינו של הנאשם 2 שהוא המוביל, אך הנאשם 1 מצוי </w:t>
      </w:r>
      <w:proofErr w:type="spellStart"/>
      <w:r w:rsidRPr="00EC7410">
        <w:rPr>
          <w:rFonts w:ascii="David" w:eastAsia="Calibri" w:hAnsi="David" w:cs="David"/>
          <w:b/>
          <w:bCs/>
          <w:sz w:val="24"/>
          <w:szCs w:val="24"/>
          <w:rtl/>
        </w:rPr>
        <w:t>איתו</w:t>
      </w:r>
      <w:proofErr w:type="spellEnd"/>
      <w:r w:rsidRPr="00EC7410">
        <w:rPr>
          <w:rFonts w:ascii="David" w:eastAsia="Calibri" w:hAnsi="David" w:cs="David"/>
          <w:b/>
          <w:bCs/>
          <w:sz w:val="24"/>
          <w:szCs w:val="24"/>
          <w:rtl/>
        </w:rPr>
        <w:t xml:space="preserve"> ונראה מחזיק אחריו בכל דבר</w:t>
      </w:r>
      <w:r>
        <w:rPr>
          <w:rFonts w:ascii="David" w:eastAsia="Calibri" w:hAnsi="David" w:cs="David" w:hint="cs"/>
          <w:b/>
          <w:bCs/>
          <w:sz w:val="24"/>
          <w:szCs w:val="24"/>
          <w:rtl/>
        </w:rPr>
        <w:t xml:space="preserve">... הם </w:t>
      </w:r>
      <w:r w:rsidRPr="00971E89">
        <w:rPr>
          <w:rFonts w:ascii="David" w:eastAsia="Calibri" w:hAnsi="David" w:cs="David"/>
          <w:b/>
          <w:bCs/>
          <w:sz w:val="24"/>
          <w:szCs w:val="24"/>
          <w:rtl/>
        </w:rPr>
        <w:t xml:space="preserve">חברו יחדיו לביצוע העבירות והתנהלו כל העת יחדיו </w:t>
      </w:r>
      <w:r w:rsidRPr="00EC7410">
        <w:rPr>
          <w:rFonts w:ascii="David" w:eastAsia="Calibri" w:hAnsi="David" w:cs="David" w:hint="cs"/>
          <w:b/>
          <w:bCs/>
          <w:sz w:val="24"/>
          <w:szCs w:val="24"/>
          <w:rtl/>
        </w:rPr>
        <w:t>כצוות משימה מגובש</w:t>
      </w:r>
      <w:r w:rsidRPr="00EC7410">
        <w:rPr>
          <w:rtl/>
        </w:rPr>
        <w:t xml:space="preserve"> </w:t>
      </w:r>
      <w:r w:rsidRPr="00EC7410">
        <w:rPr>
          <w:rFonts w:ascii="David" w:eastAsia="Calibri" w:hAnsi="David" w:cs="David"/>
          <w:b/>
          <w:bCs/>
          <w:sz w:val="24"/>
          <w:szCs w:val="24"/>
          <w:rtl/>
        </w:rPr>
        <w:t>שחבירתם הגדילה את פערי הכוחות אל מול המתלוננת הקטינה</w:t>
      </w:r>
      <w:r w:rsidRPr="00EC7410">
        <w:rPr>
          <w:rFonts w:ascii="David" w:eastAsia="Calibri" w:hAnsi="David" w:cs="David" w:hint="cs"/>
          <w:b/>
          <w:bCs/>
          <w:sz w:val="24"/>
          <w:szCs w:val="24"/>
          <w:rtl/>
        </w:rPr>
        <w:t>"</w:t>
      </w:r>
      <w:r w:rsidRPr="00EC7410">
        <w:rPr>
          <w:rFonts w:ascii="David" w:eastAsia="Calibri" w:hAnsi="David" w:cs="David"/>
          <w:sz w:val="24"/>
          <w:szCs w:val="24"/>
          <w:rtl/>
        </w:rPr>
        <w:t xml:space="preserve">. </w:t>
      </w:r>
      <w:r w:rsidRPr="00EC7410">
        <w:rPr>
          <w:rFonts w:ascii="David" w:eastAsia="Calibri" w:hAnsi="David" w:cs="David" w:hint="cs"/>
          <w:sz w:val="24"/>
          <w:szCs w:val="24"/>
          <w:rtl/>
        </w:rPr>
        <w:t>לצד זאת צי</w:t>
      </w:r>
      <w:r>
        <w:rPr>
          <w:rFonts w:ascii="David" w:eastAsia="Calibri" w:hAnsi="David" w:cs="David" w:hint="cs"/>
          <w:sz w:val="24"/>
          <w:szCs w:val="24"/>
          <w:rtl/>
        </w:rPr>
        <w:t>ין בית המשפט,</w:t>
      </w:r>
      <w:r w:rsidRPr="00EC7410">
        <w:rPr>
          <w:rFonts w:ascii="David" w:eastAsia="Calibri" w:hAnsi="David" w:cs="David" w:hint="cs"/>
          <w:sz w:val="24"/>
          <w:szCs w:val="24"/>
          <w:rtl/>
        </w:rPr>
        <w:t xml:space="preserve"> כי הנאשם 1 לא היה בתוך החדר בחלק גדול מן הזמן בו בוצעו המעשים במתלוננת.</w:t>
      </w:r>
    </w:p>
    <w:p w:rsidR="00826461" w:rsidRPr="002F0FDE" w:rsidRDefault="00826461" w:rsidP="00826461">
      <w:pPr>
        <w:widowControl w:val="0"/>
        <w:spacing w:before="240" w:after="240"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בית המשפט אף דחה את טענת ההגנה כי יש להתחשב בעובדה שהנאשמים לא נקטו באלימות כלפי המתלוננת, בקבעו: </w:t>
      </w:r>
      <w:r w:rsidRPr="002F0FDE">
        <w:rPr>
          <w:rFonts w:ascii="David" w:eastAsia="Times New Roman" w:hAnsi="David" w:cs="David" w:hint="cs"/>
          <w:b/>
          <w:bCs/>
          <w:sz w:val="24"/>
          <w:szCs w:val="24"/>
          <w:rtl/>
        </w:rPr>
        <w:t xml:space="preserve">"ראשית, קשה לראות במעשיו של הנאשם 2 כ'בלתי אלימים', כאשר הוא כפה עצמו על המתלוננת אשר הכרתה הייתה מעורפלת והיא </w:t>
      </w:r>
      <w:proofErr w:type="spellStart"/>
      <w:r w:rsidRPr="002F0FDE">
        <w:rPr>
          <w:rFonts w:ascii="David" w:eastAsia="Times New Roman" w:hAnsi="David" w:cs="David" w:hint="cs"/>
          <w:b/>
          <w:bCs/>
          <w:sz w:val="24"/>
          <w:szCs w:val="24"/>
          <w:rtl/>
        </w:rPr>
        <w:t>היתה</w:t>
      </w:r>
      <w:proofErr w:type="spellEnd"/>
      <w:r w:rsidRPr="002F0FDE">
        <w:rPr>
          <w:rFonts w:ascii="David" w:eastAsia="Times New Roman" w:hAnsi="David" w:cs="David" w:hint="cs"/>
          <w:b/>
          <w:bCs/>
          <w:sz w:val="24"/>
          <w:szCs w:val="24"/>
          <w:rtl/>
        </w:rPr>
        <w:t xml:space="preserve"> נתונה במצב בו היא לא הייתה מסוגלת להביע התנגדות. ושנית, כפי שנקבע לא אחת בפסיקה, מעשה האונס כשלעצמו, כפעולה נגד גופו של אדם בלא הסכמתו, הוא פעולה תוקפנית ואלימה</w:t>
      </w:r>
      <w:r>
        <w:rPr>
          <w:rFonts w:ascii="David" w:eastAsia="Times New Roman" w:hAnsi="David" w:cs="David" w:hint="cs"/>
          <w:b/>
          <w:bCs/>
          <w:sz w:val="24"/>
          <w:szCs w:val="24"/>
          <w:rtl/>
        </w:rPr>
        <w:t>"</w:t>
      </w:r>
      <w:r w:rsidRPr="00971E89">
        <w:rPr>
          <w:rFonts w:ascii="David" w:eastAsia="Times New Roman" w:hAnsi="David" w:cs="David" w:hint="cs"/>
          <w:sz w:val="24"/>
          <w:szCs w:val="24"/>
          <w:rtl/>
        </w:rPr>
        <w:t xml:space="preserve">. </w:t>
      </w:r>
    </w:p>
    <w:p w:rsidR="00826461" w:rsidRDefault="00826461" w:rsidP="00826461">
      <w:pPr>
        <w:widowControl w:val="0"/>
        <w:spacing w:before="240" w:after="240" w:line="360" w:lineRule="auto"/>
        <w:jc w:val="both"/>
        <w:rPr>
          <w:rFonts w:ascii="Tahoma" w:eastAsia="Times New Roman" w:hAnsi="Tahoma" w:cs="David"/>
          <w:b/>
          <w:bCs/>
          <w:sz w:val="24"/>
          <w:szCs w:val="24"/>
          <w:rtl/>
        </w:rPr>
      </w:pPr>
      <w:r w:rsidRPr="005E3366">
        <w:rPr>
          <w:rFonts w:ascii="Tahoma" w:eastAsia="Times New Roman" w:hAnsi="Tahoma" w:cs="David"/>
          <w:b/>
          <w:bCs/>
          <w:sz w:val="24"/>
          <w:szCs w:val="24"/>
          <w:rtl/>
        </w:rPr>
        <w:lastRenderedPageBreak/>
        <w:t xml:space="preserve">נוכח האמור, </w:t>
      </w:r>
      <w:r w:rsidRPr="005E3366">
        <w:rPr>
          <w:rFonts w:ascii="Tahoma" w:eastAsia="Times New Roman" w:hAnsi="Tahoma" w:cs="David" w:hint="cs"/>
          <w:b/>
          <w:bCs/>
          <w:sz w:val="24"/>
          <w:szCs w:val="24"/>
          <w:rtl/>
        </w:rPr>
        <w:t xml:space="preserve">קבע בית המשפט כי </w:t>
      </w:r>
      <w:r w:rsidRPr="005E3366">
        <w:rPr>
          <w:rFonts w:ascii="Tahoma" w:eastAsia="Times New Roman" w:hAnsi="Tahoma" w:cs="David"/>
          <w:b/>
          <w:bCs/>
          <w:sz w:val="24"/>
          <w:szCs w:val="24"/>
          <w:rtl/>
        </w:rPr>
        <w:t>מתחם הע</w:t>
      </w:r>
      <w:r w:rsidRPr="005E3366">
        <w:rPr>
          <w:rFonts w:ascii="Tahoma" w:eastAsia="Times New Roman" w:hAnsi="Tahoma" w:cs="David" w:hint="cs"/>
          <w:b/>
          <w:bCs/>
          <w:sz w:val="24"/>
          <w:szCs w:val="24"/>
          <w:rtl/>
        </w:rPr>
        <w:t>ו</w:t>
      </w:r>
      <w:r w:rsidRPr="005E3366">
        <w:rPr>
          <w:rFonts w:ascii="Tahoma" w:eastAsia="Times New Roman" w:hAnsi="Tahoma" w:cs="David"/>
          <w:b/>
          <w:bCs/>
          <w:sz w:val="24"/>
          <w:szCs w:val="24"/>
          <w:rtl/>
        </w:rPr>
        <w:t xml:space="preserve">נש ההולם </w:t>
      </w:r>
      <w:r w:rsidRPr="005E3366">
        <w:rPr>
          <w:rFonts w:ascii="Tahoma" w:eastAsia="Times New Roman" w:hAnsi="Tahoma" w:cs="David" w:hint="cs"/>
          <w:b/>
          <w:bCs/>
          <w:sz w:val="24"/>
          <w:szCs w:val="24"/>
          <w:rtl/>
        </w:rPr>
        <w:t xml:space="preserve">בעניינו של </w:t>
      </w:r>
      <w:r w:rsidRPr="005E3366">
        <w:rPr>
          <w:rFonts w:ascii="Tahoma" w:eastAsia="Times New Roman" w:hAnsi="Tahoma" w:cs="David" w:hint="cs"/>
          <w:b/>
          <w:bCs/>
          <w:sz w:val="24"/>
          <w:szCs w:val="24"/>
          <w:u w:val="single"/>
          <w:rtl/>
        </w:rPr>
        <w:t>הנאשם 2</w:t>
      </w:r>
      <w:r w:rsidRPr="005E3366">
        <w:rPr>
          <w:rFonts w:ascii="Tahoma" w:eastAsia="Times New Roman" w:hAnsi="Tahoma" w:cs="David" w:hint="cs"/>
          <w:b/>
          <w:bCs/>
          <w:sz w:val="24"/>
          <w:szCs w:val="24"/>
          <w:rtl/>
        </w:rPr>
        <w:t xml:space="preserve"> </w:t>
      </w:r>
      <w:r w:rsidRPr="005E3366">
        <w:rPr>
          <w:rFonts w:ascii="Tahoma" w:eastAsia="Times New Roman" w:hAnsi="Tahoma" w:cs="David"/>
          <w:b/>
          <w:bCs/>
          <w:sz w:val="24"/>
          <w:szCs w:val="24"/>
          <w:rtl/>
        </w:rPr>
        <w:t>עומד על מנעד שבין</w:t>
      </w:r>
      <w:r w:rsidRPr="005E3366">
        <w:rPr>
          <w:rFonts w:ascii="Tahoma" w:eastAsia="Times New Roman" w:hAnsi="Tahoma" w:cs="David"/>
          <w:b/>
          <w:bCs/>
          <w:sz w:val="24"/>
          <w:szCs w:val="24"/>
          <w:rtl/>
        </w:rPr>
        <w:softHyphen/>
      </w:r>
      <w:r w:rsidRPr="005E3366">
        <w:rPr>
          <w:rFonts w:ascii="Tahoma" w:eastAsia="Times New Roman" w:hAnsi="Tahoma" w:cs="David"/>
          <w:b/>
          <w:bCs/>
          <w:sz w:val="24"/>
          <w:szCs w:val="24"/>
          <w:rtl/>
        </w:rPr>
        <w:softHyphen/>
        <w:t xml:space="preserve"> </w:t>
      </w:r>
      <w:r w:rsidRPr="005E3366">
        <w:rPr>
          <w:rFonts w:ascii="Tahoma" w:eastAsia="Times New Roman" w:hAnsi="Tahoma" w:cs="David" w:hint="cs"/>
          <w:b/>
          <w:bCs/>
          <w:sz w:val="24"/>
          <w:szCs w:val="24"/>
          <w:rtl/>
        </w:rPr>
        <w:t xml:space="preserve">20-23 </w:t>
      </w:r>
      <w:r w:rsidRPr="005E3366">
        <w:rPr>
          <w:rFonts w:ascii="Tahoma" w:eastAsia="Times New Roman" w:hAnsi="Tahoma" w:cs="David"/>
          <w:b/>
          <w:bCs/>
          <w:sz w:val="24"/>
          <w:szCs w:val="24"/>
          <w:rtl/>
        </w:rPr>
        <w:t>שנות מאסר בפועל</w:t>
      </w:r>
      <w:r w:rsidRPr="005E3366">
        <w:rPr>
          <w:rFonts w:ascii="Tahoma" w:eastAsia="Times New Roman" w:hAnsi="Tahoma" w:cs="David" w:hint="cs"/>
          <w:b/>
          <w:bCs/>
          <w:sz w:val="24"/>
          <w:szCs w:val="24"/>
          <w:rtl/>
        </w:rPr>
        <w:t xml:space="preserve">, וכי מתחם העונש ההולם בעניינו של </w:t>
      </w:r>
      <w:r w:rsidRPr="005E3366">
        <w:rPr>
          <w:rFonts w:ascii="Tahoma" w:eastAsia="Times New Roman" w:hAnsi="Tahoma" w:cs="David" w:hint="cs"/>
          <w:b/>
          <w:bCs/>
          <w:sz w:val="24"/>
          <w:szCs w:val="24"/>
          <w:u w:val="single"/>
          <w:rtl/>
        </w:rPr>
        <w:t xml:space="preserve">הנאשם 1 </w:t>
      </w:r>
      <w:r w:rsidRPr="005E3366">
        <w:rPr>
          <w:rFonts w:ascii="Tahoma" w:eastAsia="Times New Roman" w:hAnsi="Tahoma" w:cs="David"/>
          <w:b/>
          <w:bCs/>
          <w:sz w:val="24"/>
          <w:szCs w:val="24"/>
          <w:rtl/>
        </w:rPr>
        <w:t>עומד על מנעד שבין</w:t>
      </w:r>
      <w:r w:rsidRPr="005E3366">
        <w:rPr>
          <w:rFonts w:ascii="Tahoma" w:eastAsia="Times New Roman" w:hAnsi="Tahoma" w:cs="David"/>
          <w:b/>
          <w:bCs/>
          <w:sz w:val="24"/>
          <w:szCs w:val="24"/>
          <w:rtl/>
        </w:rPr>
        <w:softHyphen/>
      </w:r>
      <w:r w:rsidRPr="005E3366">
        <w:rPr>
          <w:rFonts w:ascii="Tahoma" w:eastAsia="Times New Roman" w:hAnsi="Tahoma" w:cs="David"/>
          <w:b/>
          <w:bCs/>
          <w:sz w:val="24"/>
          <w:szCs w:val="24"/>
          <w:rtl/>
        </w:rPr>
        <w:softHyphen/>
      </w:r>
      <w:r w:rsidRPr="005E3366">
        <w:rPr>
          <w:rFonts w:ascii="Tahoma" w:eastAsia="Times New Roman" w:hAnsi="Tahoma" w:cs="David" w:hint="cs"/>
          <w:b/>
          <w:bCs/>
          <w:sz w:val="24"/>
          <w:szCs w:val="24"/>
          <w:rtl/>
        </w:rPr>
        <w:t xml:space="preserve"> 12-15 </w:t>
      </w:r>
      <w:r w:rsidRPr="005E3366">
        <w:rPr>
          <w:rFonts w:ascii="Tahoma" w:eastAsia="Times New Roman" w:hAnsi="Tahoma" w:cs="David"/>
          <w:b/>
          <w:bCs/>
          <w:sz w:val="24"/>
          <w:szCs w:val="24"/>
          <w:rtl/>
        </w:rPr>
        <w:t>שנות מאסר בפועל.</w:t>
      </w:r>
      <w:r w:rsidRPr="00B96B32">
        <w:rPr>
          <w:rFonts w:ascii="Tahoma" w:eastAsia="Times New Roman" w:hAnsi="Tahoma" w:cs="David"/>
          <w:b/>
          <w:bCs/>
          <w:sz w:val="24"/>
          <w:szCs w:val="24"/>
          <w:rtl/>
        </w:rPr>
        <w:t xml:space="preserve"> </w:t>
      </w:r>
    </w:p>
    <w:p w:rsidR="00826461" w:rsidRDefault="00826461" w:rsidP="00826461">
      <w:pPr>
        <w:widowControl w:val="0"/>
        <w:spacing w:before="240" w:after="240" w:line="360" w:lineRule="auto"/>
        <w:jc w:val="both"/>
        <w:rPr>
          <w:rFonts w:ascii="Tahoma" w:eastAsia="Times New Roman" w:hAnsi="Tahoma" w:cs="David"/>
          <w:sz w:val="24"/>
          <w:szCs w:val="24"/>
          <w:rtl/>
        </w:rPr>
      </w:pPr>
      <w:r>
        <w:rPr>
          <w:rFonts w:ascii="Tahoma" w:eastAsia="Times New Roman" w:hAnsi="Tahoma" w:cs="David" w:hint="cs"/>
          <w:sz w:val="24"/>
          <w:szCs w:val="24"/>
          <w:rtl/>
        </w:rPr>
        <w:t xml:space="preserve">בגזירת עונשם של הנאשמים בתוך המתחם התחשב בית המשפט בשיקולי הרתעת היחיד והרבים מפני ביצוע של עבירות מין, וביתר שאת עבירות מין המבוצעות בחבורה, וכלפי קטינים וחסרי ישע, תוך שקבע: </w:t>
      </w:r>
      <w:r>
        <w:rPr>
          <w:rFonts w:ascii="Tahoma" w:eastAsia="Times New Roman" w:hAnsi="Tahoma" w:cs="David" w:hint="cs"/>
          <w:b/>
          <w:bCs/>
          <w:sz w:val="24"/>
          <w:szCs w:val="24"/>
          <w:rtl/>
        </w:rPr>
        <w:t>"</w:t>
      </w:r>
      <w:r w:rsidRPr="00785D40">
        <w:rPr>
          <w:rFonts w:ascii="Tahoma" w:eastAsia="Times New Roman" w:hAnsi="Tahoma" w:cs="David" w:hint="cs"/>
          <w:b/>
          <w:bCs/>
          <w:sz w:val="24"/>
          <w:szCs w:val="24"/>
          <w:rtl/>
        </w:rPr>
        <w:t>ההפקרות והחבירה יחד לביצוע עבירות מין</w:t>
      </w:r>
      <w:r>
        <w:rPr>
          <w:rFonts w:ascii="Tahoma" w:eastAsia="Times New Roman" w:hAnsi="Tahoma" w:cs="David" w:hint="cs"/>
          <w:b/>
          <w:bCs/>
          <w:sz w:val="24"/>
          <w:szCs w:val="24"/>
          <w:rtl/>
        </w:rPr>
        <w:t>,</w:t>
      </w:r>
      <w:r w:rsidRPr="00785D40">
        <w:rPr>
          <w:rFonts w:ascii="Tahoma" w:eastAsia="Times New Roman" w:hAnsi="Tahoma" w:cs="David" w:hint="cs"/>
          <w:b/>
          <w:bCs/>
          <w:sz w:val="24"/>
          <w:szCs w:val="24"/>
          <w:rtl/>
        </w:rPr>
        <w:t xml:space="preserve"> כשכל אחד מהנוכחים מעודד את האחר בנוכחותו, מעודד ומלבה את האש, מחייב</w:t>
      </w:r>
      <w:r>
        <w:rPr>
          <w:rFonts w:ascii="Tahoma" w:eastAsia="Times New Roman" w:hAnsi="Tahoma" w:cs="David" w:hint="cs"/>
          <w:b/>
          <w:bCs/>
          <w:sz w:val="24"/>
          <w:szCs w:val="24"/>
          <w:rtl/>
        </w:rPr>
        <w:t>ות</w:t>
      </w:r>
      <w:r w:rsidRPr="00785D40">
        <w:rPr>
          <w:rFonts w:ascii="Tahoma" w:eastAsia="Times New Roman" w:hAnsi="Tahoma" w:cs="David" w:hint="cs"/>
          <w:b/>
          <w:bCs/>
          <w:sz w:val="24"/>
          <w:szCs w:val="24"/>
          <w:rtl/>
        </w:rPr>
        <w:t xml:space="preserve"> אמירה מפורשת</w:t>
      </w:r>
      <w:r>
        <w:rPr>
          <w:rFonts w:ascii="Tahoma" w:eastAsia="Times New Roman" w:hAnsi="Tahoma" w:cs="David" w:hint="cs"/>
          <w:b/>
          <w:bCs/>
          <w:sz w:val="24"/>
          <w:szCs w:val="24"/>
          <w:rtl/>
        </w:rPr>
        <w:t>,</w:t>
      </w:r>
      <w:r w:rsidRPr="00785D40">
        <w:rPr>
          <w:rFonts w:ascii="Tahoma" w:eastAsia="Times New Roman" w:hAnsi="Tahoma" w:cs="David" w:hint="cs"/>
          <w:b/>
          <w:bCs/>
          <w:sz w:val="24"/>
          <w:szCs w:val="24"/>
          <w:rtl/>
        </w:rPr>
        <w:t xml:space="preserve"> המביעה באופן ברור ומובהק את סלידתה של החברה מ</w:t>
      </w:r>
      <w:r w:rsidRPr="00785D40">
        <w:rPr>
          <w:rFonts w:ascii="Tahoma" w:eastAsia="Times New Roman" w:hAnsi="Tahoma" w:cs="David"/>
          <w:b/>
          <w:bCs/>
          <w:sz w:val="24"/>
          <w:szCs w:val="24"/>
          <w:rtl/>
        </w:rPr>
        <w:t xml:space="preserve">התופעה של ביצוע עבירות מין בחבורה, כחלק מ"חברותא" רעילה ותפיסה מעוותת של </w:t>
      </w:r>
      <w:r w:rsidRPr="00785D40">
        <w:rPr>
          <w:rFonts w:ascii="Tahoma" w:eastAsia="Times New Roman" w:hAnsi="Tahoma" w:cs="David" w:hint="cs"/>
          <w:b/>
          <w:bCs/>
          <w:sz w:val="24"/>
          <w:szCs w:val="24"/>
          <w:rtl/>
        </w:rPr>
        <w:t>מגע מיני ו</w:t>
      </w:r>
      <w:r w:rsidRPr="00785D40">
        <w:rPr>
          <w:rFonts w:ascii="Tahoma" w:eastAsia="Times New Roman" w:hAnsi="Tahoma" w:cs="David"/>
          <w:b/>
          <w:bCs/>
          <w:sz w:val="24"/>
          <w:szCs w:val="24"/>
          <w:rtl/>
        </w:rPr>
        <w:t>יחסי מין, תוך ניצול הכוח של החבורה</w:t>
      </w:r>
      <w:r w:rsidRPr="00785D40">
        <w:rPr>
          <w:rFonts w:ascii="Tahoma" w:eastAsia="Times New Roman" w:hAnsi="Tahoma" w:cs="David" w:hint="cs"/>
          <w:b/>
          <w:bCs/>
          <w:sz w:val="24"/>
          <w:szCs w:val="24"/>
          <w:rtl/>
        </w:rPr>
        <w:t xml:space="preserve"> אל מול חולשה או עמדה פגיעה של האחר. מעבר לעבירות ו</w:t>
      </w:r>
      <w:r>
        <w:rPr>
          <w:rFonts w:ascii="Tahoma" w:eastAsia="Times New Roman" w:hAnsi="Tahoma" w:cs="David" w:hint="cs"/>
          <w:b/>
          <w:bCs/>
          <w:sz w:val="24"/>
          <w:szCs w:val="24"/>
          <w:rtl/>
        </w:rPr>
        <w:t>ל</w:t>
      </w:r>
      <w:r w:rsidRPr="00785D40">
        <w:rPr>
          <w:rFonts w:ascii="Tahoma" w:eastAsia="Times New Roman" w:hAnsi="Tahoma" w:cs="David" w:hint="cs"/>
          <w:b/>
          <w:bCs/>
          <w:sz w:val="24"/>
          <w:szCs w:val="24"/>
          <w:rtl/>
        </w:rPr>
        <w:t>פגיעות המיניות עצמן</w:t>
      </w:r>
      <w:r>
        <w:rPr>
          <w:rFonts w:ascii="Tahoma" w:eastAsia="Times New Roman" w:hAnsi="Tahoma" w:cs="David" w:hint="cs"/>
          <w:b/>
          <w:bCs/>
          <w:sz w:val="24"/>
          <w:szCs w:val="24"/>
          <w:rtl/>
        </w:rPr>
        <w:t>,</w:t>
      </w:r>
      <w:r w:rsidRPr="00785D40">
        <w:rPr>
          <w:rFonts w:ascii="Tahoma" w:eastAsia="Times New Roman" w:hAnsi="Tahoma" w:cs="David" w:hint="cs"/>
          <w:b/>
          <w:bCs/>
          <w:sz w:val="24"/>
          <w:szCs w:val="24"/>
          <w:rtl/>
        </w:rPr>
        <w:t xml:space="preserve"> הרי האופן בו בוצעו, </w:t>
      </w:r>
      <w:r>
        <w:rPr>
          <w:rFonts w:ascii="Tahoma" w:eastAsia="Times New Roman" w:hAnsi="Tahoma" w:cs="David" w:hint="cs"/>
          <w:b/>
          <w:bCs/>
          <w:sz w:val="24"/>
          <w:szCs w:val="24"/>
          <w:rtl/>
        </w:rPr>
        <w:t xml:space="preserve">הפומביות, </w:t>
      </w:r>
      <w:r w:rsidRPr="00785D40">
        <w:rPr>
          <w:rFonts w:ascii="Tahoma" w:eastAsia="Times New Roman" w:hAnsi="Tahoma" w:cs="David" w:hint="cs"/>
          <w:b/>
          <w:bCs/>
          <w:sz w:val="24"/>
          <w:szCs w:val="24"/>
          <w:rtl/>
        </w:rPr>
        <w:t xml:space="preserve">האווירה של העידוד, הצחוקים, הגיחוך והביזוי שבכל אלו, במיוחד לאור המצב מכמיר הלב בו הייתה המתלוננת, מחייב אף הוא אמירה כי התנהגות מסוג זה תיענה בתגובה </w:t>
      </w:r>
      <w:proofErr w:type="spellStart"/>
      <w:r w:rsidRPr="00785D40">
        <w:rPr>
          <w:rFonts w:ascii="Tahoma" w:eastAsia="Times New Roman" w:hAnsi="Tahoma" w:cs="David" w:hint="cs"/>
          <w:b/>
          <w:bCs/>
          <w:sz w:val="24"/>
          <w:szCs w:val="24"/>
          <w:rtl/>
        </w:rPr>
        <w:t>עונשית</w:t>
      </w:r>
      <w:proofErr w:type="spellEnd"/>
      <w:r w:rsidRPr="00785D40">
        <w:rPr>
          <w:rFonts w:ascii="Tahoma" w:eastAsia="Times New Roman" w:hAnsi="Tahoma" w:cs="David" w:hint="cs"/>
          <w:b/>
          <w:bCs/>
          <w:sz w:val="24"/>
          <w:szCs w:val="24"/>
          <w:rtl/>
        </w:rPr>
        <w:t xml:space="preserve"> קשה, </w:t>
      </w:r>
      <w:r w:rsidRPr="00785D40">
        <w:rPr>
          <w:rFonts w:ascii="Tahoma" w:eastAsia="Times New Roman" w:hAnsi="Tahoma" w:cs="David"/>
          <w:b/>
          <w:bCs/>
          <w:sz w:val="24"/>
          <w:szCs w:val="24"/>
          <w:rtl/>
        </w:rPr>
        <w:t>ומכאן החשיבות של שיקולי ההרתעה</w:t>
      </w:r>
      <w:r w:rsidRPr="00785D40">
        <w:rPr>
          <w:rFonts w:ascii="Tahoma" w:eastAsia="Times New Roman" w:hAnsi="Tahoma" w:cs="David" w:hint="cs"/>
          <w:b/>
          <w:bCs/>
          <w:sz w:val="24"/>
          <w:szCs w:val="24"/>
          <w:rtl/>
        </w:rPr>
        <w:t xml:space="preserve"> למען אחרים יראו וייראו</w:t>
      </w:r>
      <w:r>
        <w:rPr>
          <w:rFonts w:ascii="Tahoma" w:eastAsia="Times New Roman" w:hAnsi="Tahoma" w:cs="David" w:hint="cs"/>
          <w:b/>
          <w:bCs/>
          <w:sz w:val="24"/>
          <w:szCs w:val="24"/>
          <w:rtl/>
        </w:rPr>
        <w:t>...".</w:t>
      </w:r>
      <w:r w:rsidRPr="00B96B32">
        <w:rPr>
          <w:rFonts w:ascii="Tahoma" w:eastAsia="Times New Roman" w:hAnsi="Tahoma" w:cs="David"/>
          <w:sz w:val="24"/>
          <w:szCs w:val="24"/>
          <w:rtl/>
        </w:rPr>
        <w:t xml:space="preserve"> </w:t>
      </w:r>
    </w:p>
    <w:p w:rsidR="00826461" w:rsidRDefault="00826461" w:rsidP="00826461">
      <w:pPr>
        <w:spacing w:line="360" w:lineRule="auto"/>
        <w:jc w:val="both"/>
        <w:rPr>
          <w:rFonts w:ascii="Tahoma" w:eastAsia="Times New Roman" w:hAnsi="Tahoma" w:cs="David"/>
          <w:sz w:val="24"/>
          <w:szCs w:val="24"/>
          <w:rtl/>
        </w:rPr>
      </w:pPr>
      <w:r>
        <w:rPr>
          <w:rFonts w:ascii="David" w:eastAsia="Calibri" w:hAnsi="David" w:cs="David" w:hint="cs"/>
          <w:sz w:val="24"/>
          <w:szCs w:val="24"/>
          <w:rtl/>
        </w:rPr>
        <w:t>בית המשפט התייחס אף לעובדה ששני הנאשמים הם בעלי עבר פלילי ואף ריצו עונשי מאסר בעבר, וגם אם עברם אינו בתחום עבירות המין, עדיין יש לכך משקל מסוים. עוד צוין כי הנאשמים לא גילו ולו זיק של אמפטיה למתלוננת, גם לא בעת הטיעונים לעונש.</w:t>
      </w:r>
    </w:p>
    <w:p w:rsidR="00826461" w:rsidRDefault="00826461" w:rsidP="00826461">
      <w:pPr>
        <w:widowControl w:val="0"/>
        <w:spacing w:before="240" w:after="240" w:line="360" w:lineRule="auto"/>
        <w:jc w:val="both"/>
        <w:rPr>
          <w:rFonts w:ascii="Tahoma" w:eastAsia="Times New Roman" w:hAnsi="Tahoma" w:cs="David"/>
          <w:sz w:val="24"/>
          <w:szCs w:val="24"/>
          <w:rtl/>
        </w:rPr>
      </w:pPr>
      <w:r>
        <w:rPr>
          <w:rFonts w:ascii="Tahoma" w:eastAsia="Times New Roman" w:hAnsi="Tahoma" w:cs="David" w:hint="cs"/>
          <w:sz w:val="24"/>
          <w:szCs w:val="24"/>
          <w:rtl/>
        </w:rPr>
        <w:t xml:space="preserve">באשר לפיצוי למתלוננת קבע בית המשפט, כי תמונת הנזק כתוצאה מהאירועים היא קשה ורחבה, וכי מדובר בנזק שחלקו ילווה את המתלוננת כל חייה, נזק אשר נפרש בפנינו בכל עומקו ותהומותיו במהלך ההליך. </w:t>
      </w:r>
    </w:p>
    <w:p w:rsidR="00826461" w:rsidRPr="0098253B" w:rsidRDefault="00826461" w:rsidP="00826461">
      <w:pPr>
        <w:spacing w:line="360" w:lineRule="auto"/>
        <w:jc w:val="both"/>
        <w:rPr>
          <w:rFonts w:ascii="David" w:eastAsia="Calibri" w:hAnsi="David" w:cs="David"/>
          <w:b/>
          <w:bCs/>
          <w:sz w:val="24"/>
          <w:szCs w:val="24"/>
          <w:rtl/>
        </w:rPr>
      </w:pPr>
      <w:r w:rsidRPr="0098253B">
        <w:rPr>
          <w:rFonts w:ascii="David" w:eastAsia="Calibri" w:hAnsi="David" w:cs="David" w:hint="cs"/>
          <w:b/>
          <w:bCs/>
          <w:sz w:val="24"/>
          <w:szCs w:val="24"/>
          <w:rtl/>
        </w:rPr>
        <w:t xml:space="preserve">נוכח מכלול השיקולים גזר בית המשפט כאמור על הנאשם 2 שהיה מחולל האירוע עונש מאסר של </w:t>
      </w:r>
      <w:r>
        <w:rPr>
          <w:rFonts w:ascii="David" w:eastAsia="Calibri" w:hAnsi="David" w:cs="David" w:hint="cs"/>
          <w:b/>
          <w:bCs/>
          <w:sz w:val="24"/>
          <w:szCs w:val="24"/>
          <w:rtl/>
        </w:rPr>
        <w:t>22</w:t>
      </w:r>
      <w:r w:rsidRPr="0098253B">
        <w:rPr>
          <w:rFonts w:ascii="David" w:eastAsia="Calibri" w:hAnsi="David" w:cs="David" w:hint="cs"/>
          <w:b/>
          <w:bCs/>
          <w:sz w:val="24"/>
          <w:szCs w:val="24"/>
          <w:rtl/>
        </w:rPr>
        <w:t xml:space="preserve"> שנה  וכן פיצוי משמעותי למתלוננת</w:t>
      </w:r>
      <w:r>
        <w:rPr>
          <w:rFonts w:ascii="David" w:eastAsia="Calibri" w:hAnsi="David" w:cs="David" w:hint="cs"/>
          <w:b/>
          <w:bCs/>
          <w:sz w:val="24"/>
          <w:szCs w:val="24"/>
          <w:rtl/>
        </w:rPr>
        <w:t xml:space="preserve"> בסך 200,000 ₪ ו</w:t>
      </w:r>
      <w:r w:rsidRPr="0098253B">
        <w:rPr>
          <w:rFonts w:ascii="David" w:eastAsia="Calibri" w:hAnsi="David" w:cs="David" w:hint="cs"/>
          <w:b/>
          <w:bCs/>
          <w:sz w:val="24"/>
          <w:szCs w:val="24"/>
          <w:rtl/>
        </w:rPr>
        <w:t xml:space="preserve">על הנאשם 1 גזר בית המשפט, בשים לב לשוני ביניהם ולחלקו הפחות דומיננטי </w:t>
      </w:r>
      <w:r>
        <w:rPr>
          <w:rFonts w:ascii="David" w:eastAsia="Calibri" w:hAnsi="David" w:cs="David" w:hint="cs"/>
          <w:b/>
          <w:bCs/>
          <w:sz w:val="24"/>
          <w:szCs w:val="24"/>
          <w:rtl/>
        </w:rPr>
        <w:t xml:space="preserve">14 </w:t>
      </w:r>
      <w:r w:rsidRPr="0098253B">
        <w:rPr>
          <w:rFonts w:ascii="David" w:eastAsia="Calibri" w:hAnsi="David" w:cs="David" w:hint="cs"/>
          <w:b/>
          <w:bCs/>
          <w:sz w:val="24"/>
          <w:szCs w:val="24"/>
          <w:rtl/>
        </w:rPr>
        <w:t xml:space="preserve">שנות מאסר ופיצוי למתלוננת </w:t>
      </w:r>
      <w:r>
        <w:rPr>
          <w:rFonts w:ascii="David" w:eastAsia="Calibri" w:hAnsi="David" w:cs="David" w:hint="cs"/>
          <w:b/>
          <w:bCs/>
          <w:sz w:val="24"/>
          <w:szCs w:val="24"/>
          <w:rtl/>
        </w:rPr>
        <w:t xml:space="preserve">בסך </w:t>
      </w:r>
      <w:r w:rsidRPr="0098253B">
        <w:rPr>
          <w:rFonts w:ascii="David" w:eastAsia="Calibri" w:hAnsi="David" w:cs="David" w:hint="cs"/>
          <w:b/>
          <w:bCs/>
          <w:sz w:val="24"/>
          <w:szCs w:val="24"/>
          <w:rtl/>
        </w:rPr>
        <w:t>100,000</w:t>
      </w:r>
      <w:r>
        <w:rPr>
          <w:rFonts w:ascii="David" w:eastAsia="Calibri" w:hAnsi="David" w:cs="David" w:hint="cs"/>
          <w:b/>
          <w:bCs/>
          <w:sz w:val="24"/>
          <w:szCs w:val="24"/>
          <w:rtl/>
        </w:rPr>
        <w:t xml:space="preserve"> </w:t>
      </w:r>
      <w:r w:rsidRPr="0098253B">
        <w:rPr>
          <w:rFonts w:ascii="David" w:eastAsia="Calibri" w:hAnsi="David" w:cs="David" w:hint="cs"/>
          <w:b/>
          <w:bCs/>
          <w:sz w:val="24"/>
          <w:szCs w:val="24"/>
          <w:rtl/>
        </w:rPr>
        <w:t xml:space="preserve"> ₪. </w:t>
      </w:r>
    </w:p>
    <w:p w:rsidR="00F57708" w:rsidRDefault="00F57708" w:rsidP="00083EF2">
      <w:pPr>
        <w:spacing w:after="120" w:line="360" w:lineRule="auto"/>
        <w:jc w:val="center"/>
        <w:rPr>
          <w:rFonts w:ascii="FrankRuehl" w:hAnsi="FrankRuehl" w:cs="FrankRuehl"/>
          <w:b/>
          <w:bCs/>
          <w:color w:val="002060"/>
          <w:sz w:val="26"/>
          <w:szCs w:val="26"/>
          <w:rtl/>
        </w:rPr>
      </w:pPr>
    </w:p>
    <w:p w:rsidR="002453CF" w:rsidRPr="00083EF2" w:rsidRDefault="00541C9E" w:rsidP="00083EF2">
      <w:pPr>
        <w:spacing w:after="120" w:line="360" w:lineRule="auto"/>
        <w:jc w:val="center"/>
        <w:rPr>
          <w:rFonts w:ascii="FrankRuehl" w:hAnsi="FrankRuehl" w:cs="FrankRuehl"/>
          <w:b/>
          <w:bCs/>
          <w:color w:val="002060"/>
          <w:sz w:val="26"/>
          <w:szCs w:val="26"/>
          <w:rtl/>
        </w:rPr>
      </w:pPr>
      <w:r w:rsidRPr="000071E5">
        <w:rPr>
          <w:rFonts w:ascii="FrankRuehl" w:hAnsi="FrankRuehl" w:cs="FrankRuehl" w:hint="cs"/>
          <w:b/>
          <w:bCs/>
          <w:color w:val="002060"/>
          <w:sz w:val="26"/>
          <w:szCs w:val="26"/>
          <w:rtl/>
        </w:rPr>
        <w:t xml:space="preserve">*** </w:t>
      </w:r>
      <w:r w:rsidRPr="000071E5">
        <w:rPr>
          <w:rFonts w:ascii="FrankRuehl" w:hAnsi="FrankRuehl" w:cs="FrankRuehl"/>
          <w:b/>
          <w:bCs/>
          <w:color w:val="002060"/>
          <w:sz w:val="26"/>
          <w:szCs w:val="26"/>
          <w:rtl/>
        </w:rPr>
        <w:t>התקציר אינו בא להחליף את פסק</w:t>
      </w:r>
      <w:r w:rsidRPr="000071E5">
        <w:rPr>
          <w:rFonts w:ascii="FrankRuehl" w:hAnsi="FrankRuehl" w:cs="FrankRuehl" w:hint="cs"/>
          <w:b/>
          <w:bCs/>
          <w:color w:val="002060"/>
          <w:sz w:val="26"/>
          <w:szCs w:val="26"/>
          <w:rtl/>
        </w:rPr>
        <w:t>-</w:t>
      </w:r>
      <w:r w:rsidRPr="000071E5">
        <w:rPr>
          <w:rFonts w:ascii="FrankRuehl" w:hAnsi="FrankRuehl" w:cs="FrankRuehl"/>
          <w:b/>
          <w:bCs/>
          <w:color w:val="002060"/>
          <w:sz w:val="26"/>
          <w:szCs w:val="26"/>
          <w:rtl/>
        </w:rPr>
        <w:t>הדין, הנוסח המחייב הוא זה של פסק-הדין המלא</w:t>
      </w:r>
      <w:r w:rsidRPr="000071E5">
        <w:rPr>
          <w:rFonts w:ascii="FrankRuehl" w:hAnsi="FrankRuehl" w:cs="FrankRuehl" w:hint="cs"/>
          <w:b/>
          <w:bCs/>
          <w:color w:val="002060"/>
          <w:sz w:val="26"/>
          <w:szCs w:val="26"/>
          <w:rtl/>
        </w:rPr>
        <w:t xml:space="preserve"> ***</w:t>
      </w:r>
    </w:p>
    <w:sectPr w:rsidR="002453CF" w:rsidRPr="00083EF2" w:rsidSect="00B16422">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21B" w:rsidRDefault="00A9221B" w:rsidP="00730CA1">
      <w:pPr>
        <w:spacing w:after="0" w:line="240" w:lineRule="auto"/>
      </w:pPr>
      <w:r>
        <w:separator/>
      </w:r>
    </w:p>
  </w:endnote>
  <w:endnote w:type="continuationSeparator" w:id="0">
    <w:p w:rsidR="00A9221B" w:rsidRDefault="00A9221B" w:rsidP="0073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9E" w:rsidRPr="00083EF2" w:rsidRDefault="00541C9E" w:rsidP="00541C9E">
    <w:pPr>
      <w:tabs>
        <w:tab w:val="center" w:pos="4153"/>
        <w:tab w:val="right" w:pos="8306"/>
      </w:tabs>
      <w:spacing w:after="0" w:line="240" w:lineRule="auto"/>
      <w:jc w:val="center"/>
      <w:rPr>
        <w:rFonts w:ascii="Times New Roman" w:eastAsia="Times New Roman" w:hAnsi="Times New Roman" w:cs="FrankRuehl"/>
        <w:b/>
        <w:bCs/>
        <w:color w:val="000080"/>
        <w:spacing w:val="6"/>
        <w:sz w:val="20"/>
        <w:szCs w:val="20"/>
        <w:rtl/>
      </w:rPr>
    </w:pPr>
    <w:r w:rsidRPr="00083EF2">
      <w:rPr>
        <w:rFonts w:ascii="Times New Roman" w:eastAsia="Times New Roman" w:hAnsi="Times New Roman" w:cs="FrankRuehl" w:hint="cs"/>
        <w:b/>
        <w:bCs/>
        <w:color w:val="000080"/>
        <w:spacing w:val="6"/>
        <w:sz w:val="20"/>
        <w:szCs w:val="20"/>
        <w:rtl/>
      </w:rPr>
      <w:t xml:space="preserve">בית משפט העליון | רחוב דרך השופט מאיר שמגר 1 | </w:t>
    </w:r>
    <w:proofErr w:type="spellStart"/>
    <w:r w:rsidRPr="00083EF2">
      <w:rPr>
        <w:rFonts w:ascii="Times New Roman" w:eastAsia="Times New Roman" w:hAnsi="Times New Roman" w:cs="FrankRuehl" w:hint="cs"/>
        <w:b/>
        <w:bCs/>
        <w:color w:val="000080"/>
        <w:spacing w:val="6"/>
        <w:sz w:val="20"/>
        <w:szCs w:val="20"/>
        <w:rtl/>
      </w:rPr>
      <w:t>קרית</w:t>
    </w:r>
    <w:proofErr w:type="spellEnd"/>
    <w:r w:rsidRPr="00083EF2">
      <w:rPr>
        <w:rFonts w:ascii="Times New Roman" w:eastAsia="Times New Roman" w:hAnsi="Times New Roman" w:cs="FrankRuehl" w:hint="cs"/>
        <w:b/>
        <w:bCs/>
        <w:color w:val="000080"/>
        <w:spacing w:val="6"/>
        <w:sz w:val="20"/>
        <w:szCs w:val="20"/>
        <w:rtl/>
      </w:rPr>
      <w:t xml:space="preserve"> בן גוריון | ירושלים</w:t>
    </w:r>
  </w:p>
  <w:p w:rsidR="003C61AF" w:rsidRPr="00541C9E" w:rsidRDefault="00541C9E" w:rsidP="00541C9E">
    <w:pPr>
      <w:tabs>
        <w:tab w:val="center" w:pos="4153"/>
        <w:tab w:val="right" w:pos="8306"/>
      </w:tabs>
      <w:spacing w:after="0" w:line="240" w:lineRule="auto"/>
      <w:jc w:val="center"/>
      <w:rPr>
        <w:rFonts w:ascii="Times New Roman" w:eastAsia="Times New Roman" w:hAnsi="Times New Roman" w:cs="FrankRuehl"/>
        <w:b/>
        <w:bCs/>
        <w:color w:val="000080"/>
        <w:spacing w:val="6"/>
        <w:sz w:val="24"/>
        <w:szCs w:val="24"/>
      </w:rPr>
    </w:pPr>
    <w:r w:rsidRPr="00083EF2">
      <w:rPr>
        <w:rFonts w:ascii="Times New Roman" w:eastAsia="Times New Roman" w:hAnsi="Times New Roman" w:cs="FrankRuehl" w:hint="cs"/>
        <w:b/>
        <w:bCs/>
        <w:color w:val="000080"/>
        <w:spacing w:val="6"/>
        <w:sz w:val="20"/>
        <w:szCs w:val="20"/>
        <w:rtl/>
      </w:rPr>
      <w:t xml:space="preserve">טל: </w:t>
    </w:r>
    <w:r w:rsidRPr="00083EF2">
      <w:rPr>
        <w:rFonts w:ascii="Times New Roman" w:eastAsia="Times New Roman" w:hAnsi="Times New Roman" w:cs="FrankRuehl"/>
        <w:b/>
        <w:bCs/>
        <w:color w:val="000080"/>
        <w:spacing w:val="6"/>
        <w:sz w:val="20"/>
        <w:szCs w:val="20"/>
      </w:rPr>
      <w:t>074-7480412</w:t>
    </w:r>
    <w:r w:rsidRPr="00083EF2">
      <w:rPr>
        <w:rFonts w:ascii="Times New Roman" w:eastAsia="Times New Roman" w:hAnsi="Times New Roman" w:cs="FrankRuehl" w:hint="cs"/>
        <w:b/>
        <w:bCs/>
        <w:color w:val="000080"/>
        <w:spacing w:val="6"/>
        <w:sz w:val="20"/>
        <w:szCs w:val="20"/>
        <w:rtl/>
      </w:rPr>
      <w:t xml:space="preserve">                                דוא"ל</w:t>
    </w:r>
    <w:r w:rsidRPr="00083EF2">
      <w:rPr>
        <w:rFonts w:ascii="Times New Roman" w:eastAsia="Times New Roman" w:hAnsi="Times New Roman" w:cs="FrankRuehl"/>
        <w:b/>
        <w:bCs/>
        <w:color w:val="000080"/>
        <w:spacing w:val="6"/>
        <w:sz w:val="20"/>
        <w:szCs w:val="20"/>
      </w:rPr>
      <w:t>:</w:t>
    </w:r>
    <w:r w:rsidRPr="00083EF2">
      <w:rPr>
        <w:rFonts w:ascii="Times New Roman" w:eastAsia="Times New Roman" w:hAnsi="Times New Roman" w:cs="FrankRuehl" w:hint="cs"/>
        <w:b/>
        <w:bCs/>
        <w:color w:val="000080"/>
        <w:spacing w:val="6"/>
        <w:sz w:val="20"/>
        <w:szCs w:val="20"/>
        <w:rtl/>
      </w:rPr>
      <w:t xml:space="preserve">  </w:t>
    </w:r>
    <w:hyperlink r:id="rId1" w:history="1">
      <w:r w:rsidRPr="00083EF2">
        <w:rPr>
          <w:rFonts w:ascii="Times New Roman" w:eastAsia="Times New Roman" w:hAnsi="Times New Roman" w:cs="FrankRuehl"/>
          <w:b/>
          <w:bCs/>
          <w:color w:val="0000FF"/>
          <w:spacing w:val="6"/>
          <w:sz w:val="20"/>
          <w:szCs w:val="20"/>
          <w:u w:val="single"/>
        </w:rPr>
        <w:t>Dover@court.gov.il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21B" w:rsidRDefault="00A9221B" w:rsidP="00730CA1">
      <w:pPr>
        <w:spacing w:after="0" w:line="240" w:lineRule="auto"/>
      </w:pPr>
      <w:r>
        <w:separator/>
      </w:r>
    </w:p>
  </w:footnote>
  <w:footnote w:type="continuationSeparator" w:id="0">
    <w:p w:rsidR="00A9221B" w:rsidRDefault="00A9221B" w:rsidP="0073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B2" w:rsidRPr="005253B2" w:rsidRDefault="005253B2"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David"/>
        <w:sz w:val="20"/>
        <w:szCs w:val="24"/>
        <w:lang w:eastAsia="he-IL"/>
      </w:rPr>
    </w:pPr>
    <w:r w:rsidRPr="005253B2">
      <w:rPr>
        <w:rFonts w:ascii="Times New Roman" w:eastAsia="Times New Roman" w:hAnsi="Times New Roman" w:cs="David"/>
        <w:noProof/>
        <w:sz w:val="20"/>
        <w:szCs w:val="24"/>
      </w:rPr>
      <w:drawing>
        <wp:inline distT="0" distB="0" distL="0" distR="0">
          <wp:extent cx="523875" cy="619125"/>
          <wp:effectExtent l="0" t="0" r="9525" b="9525"/>
          <wp:docPr id="1" name="תמונה 2" descr="תיאור: 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5253B2">
      <w:rPr>
        <w:rFonts w:ascii="Century" w:eastAsia="Times New Roman" w:hAnsi="Century" w:cs="FrankRuehl" w:hint="cs"/>
        <w:noProof/>
        <w:spacing w:val="10"/>
        <w:sz w:val="20"/>
        <w:szCs w:val="28"/>
        <w:rtl/>
        <w:lang w:eastAsia="he-IL"/>
      </w:rPr>
      <w:t xml:space="preserve">                                            </w:t>
    </w:r>
  </w:p>
  <w:p w:rsidR="005253B2" w:rsidRPr="005253B2" w:rsidRDefault="005253B2"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FrankRuehl"/>
        <w:b/>
        <w:bCs/>
        <w:color w:val="000080"/>
        <w:spacing w:val="6"/>
        <w:sz w:val="28"/>
        <w:szCs w:val="28"/>
        <w:rtl/>
        <w:lang w:eastAsia="he-IL"/>
      </w:rPr>
    </w:pPr>
    <w:r w:rsidRPr="005253B2">
      <w:rPr>
        <w:rFonts w:ascii="Times New Roman" w:eastAsia="Times New Roman" w:hAnsi="Times New Roman" w:cs="FrankRuehl" w:hint="cs"/>
        <w:b/>
        <w:bCs/>
        <w:color w:val="000080"/>
        <w:spacing w:val="6"/>
        <w:sz w:val="28"/>
        <w:szCs w:val="28"/>
        <w:rtl/>
        <w:lang w:eastAsia="he-IL"/>
      </w:rPr>
      <w:t>מערכת בתי המשפט</w:t>
    </w:r>
  </w:p>
  <w:p w:rsidR="007007D7" w:rsidRPr="005253B2" w:rsidRDefault="005253B2"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FrankRuehl"/>
        <w:b/>
        <w:bCs/>
        <w:color w:val="000080"/>
        <w:spacing w:val="6"/>
        <w:sz w:val="28"/>
        <w:szCs w:val="28"/>
        <w:lang w:eastAsia="he-IL"/>
      </w:rPr>
    </w:pPr>
    <w:r w:rsidRPr="005253B2">
      <w:rPr>
        <w:rFonts w:ascii="Times New Roman" w:eastAsia="Times New Roman" w:hAnsi="Times New Roman" w:cs="FrankRuehl" w:hint="cs"/>
        <w:b/>
        <w:bCs/>
        <w:color w:val="000080"/>
        <w:spacing w:val="6"/>
        <w:sz w:val="28"/>
        <w:szCs w:val="28"/>
        <w:rtl/>
        <w:lang w:eastAsia="he-IL"/>
      </w:rPr>
      <w:t>דוברות והסברה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B27"/>
    <w:multiLevelType w:val="multilevel"/>
    <w:tmpl w:val="2EA02F4A"/>
    <w:lvl w:ilvl="0">
      <w:start w:val="1"/>
      <w:numFmt w:val="decimal"/>
      <w:lvlText w:val="%1."/>
      <w:lvlJc w:val="left"/>
      <w:pPr>
        <w:tabs>
          <w:tab w:val="num" w:pos="454"/>
        </w:tabs>
        <w:ind w:left="454" w:hanging="454"/>
      </w:pPr>
      <w:rPr>
        <w:rFonts w:hint="default"/>
        <w:bCs w:val="0"/>
        <w:iCs w:val="0"/>
        <w:szCs w:val="24"/>
      </w:rPr>
    </w:lvl>
    <w:lvl w:ilvl="1">
      <w:start w:val="1"/>
      <w:numFmt w:val="hebrew1"/>
      <w:lvlText w:val="%2."/>
      <w:lvlJc w:val="left"/>
      <w:pPr>
        <w:tabs>
          <w:tab w:val="num" w:pos="907"/>
        </w:tabs>
        <w:ind w:left="908" w:hanging="454"/>
      </w:pPr>
      <w:rPr>
        <w:rFonts w:cs="David" w:hint="cs"/>
        <w:bCs w:val="0"/>
        <w:iCs w:val="0"/>
        <w:szCs w:val="26"/>
      </w:rPr>
    </w:lvl>
    <w:lvl w:ilvl="2">
      <w:start w:val="1"/>
      <w:numFmt w:val="decimal"/>
      <w:lvlText w:val="(%3)"/>
      <w:lvlJc w:val="left"/>
      <w:pPr>
        <w:tabs>
          <w:tab w:val="num" w:pos="1361"/>
        </w:tabs>
        <w:ind w:left="1362" w:hanging="454"/>
      </w:pPr>
      <w:rPr>
        <w:rFonts w:ascii="Times New Roman" w:hAnsi="Times New Roman" w:cs="David" w:hint="default"/>
        <w:b w:val="0"/>
        <w:bCs w:val="0"/>
        <w:i w:val="0"/>
        <w:iCs w:val="0"/>
        <w:sz w:val="24"/>
        <w:szCs w:val="24"/>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CF"/>
    <w:rsid w:val="000011AE"/>
    <w:rsid w:val="00025761"/>
    <w:rsid w:val="00061560"/>
    <w:rsid w:val="00083EF2"/>
    <w:rsid w:val="00095DCF"/>
    <w:rsid w:val="000C4D75"/>
    <w:rsid w:val="001A19C1"/>
    <w:rsid w:val="001D42A7"/>
    <w:rsid w:val="002453CF"/>
    <w:rsid w:val="002C0E83"/>
    <w:rsid w:val="003921C3"/>
    <w:rsid w:val="003C61AF"/>
    <w:rsid w:val="003E6E39"/>
    <w:rsid w:val="003E7EB7"/>
    <w:rsid w:val="004159AE"/>
    <w:rsid w:val="00426AA7"/>
    <w:rsid w:val="00515986"/>
    <w:rsid w:val="005253B2"/>
    <w:rsid w:val="00541C9E"/>
    <w:rsid w:val="00572D1C"/>
    <w:rsid w:val="00631744"/>
    <w:rsid w:val="006618F7"/>
    <w:rsid w:val="00690B6F"/>
    <w:rsid w:val="006B7B96"/>
    <w:rsid w:val="006C3B1F"/>
    <w:rsid w:val="006F1E1F"/>
    <w:rsid w:val="007007D7"/>
    <w:rsid w:val="00711675"/>
    <w:rsid w:val="00730CA1"/>
    <w:rsid w:val="007B7899"/>
    <w:rsid w:val="00826461"/>
    <w:rsid w:val="00832AD7"/>
    <w:rsid w:val="008C02E0"/>
    <w:rsid w:val="008E7F85"/>
    <w:rsid w:val="00983123"/>
    <w:rsid w:val="009E5C0E"/>
    <w:rsid w:val="00A9221B"/>
    <w:rsid w:val="00AD7644"/>
    <w:rsid w:val="00AE4CA5"/>
    <w:rsid w:val="00B16422"/>
    <w:rsid w:val="00B22AFC"/>
    <w:rsid w:val="00BA3143"/>
    <w:rsid w:val="00BF34C3"/>
    <w:rsid w:val="00C22E08"/>
    <w:rsid w:val="00C37F37"/>
    <w:rsid w:val="00C50C55"/>
    <w:rsid w:val="00C529CC"/>
    <w:rsid w:val="00C815DD"/>
    <w:rsid w:val="00C842A7"/>
    <w:rsid w:val="00C85A27"/>
    <w:rsid w:val="00CA2D6A"/>
    <w:rsid w:val="00CB4940"/>
    <w:rsid w:val="00CD280B"/>
    <w:rsid w:val="00D11F77"/>
    <w:rsid w:val="00D205AB"/>
    <w:rsid w:val="00D43C0E"/>
    <w:rsid w:val="00D5319F"/>
    <w:rsid w:val="00D85D71"/>
    <w:rsid w:val="00E35DF3"/>
    <w:rsid w:val="00EB6609"/>
    <w:rsid w:val="00ED059C"/>
    <w:rsid w:val="00F46250"/>
    <w:rsid w:val="00F57708"/>
    <w:rsid w:val="00FE54AE"/>
    <w:rsid w:val="00FF55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898C"/>
  <w15:chartTrackingRefBased/>
  <w15:docId w15:val="{73C43B57-6867-4F06-9DF1-55588D3D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A7"/>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426AA7"/>
    <w:rPr>
      <w:rFonts w:ascii="Tahoma" w:hAnsi="Tahoma" w:cs="Tahoma"/>
      <w:sz w:val="18"/>
      <w:szCs w:val="18"/>
    </w:rPr>
  </w:style>
  <w:style w:type="character" w:styleId="Hyperlink">
    <w:name w:val="Hyperlink"/>
    <w:basedOn w:val="a0"/>
    <w:uiPriority w:val="99"/>
    <w:unhideWhenUsed/>
    <w:rsid w:val="00E35DF3"/>
    <w:rPr>
      <w:color w:val="0563C1" w:themeColor="hyperlink"/>
      <w:u w:val="single"/>
    </w:rPr>
  </w:style>
  <w:style w:type="paragraph" w:styleId="a5">
    <w:name w:val="header"/>
    <w:basedOn w:val="a"/>
    <w:link w:val="a6"/>
    <w:uiPriority w:val="99"/>
    <w:unhideWhenUsed/>
    <w:rsid w:val="00730CA1"/>
    <w:pPr>
      <w:tabs>
        <w:tab w:val="center" w:pos="4153"/>
        <w:tab w:val="right" w:pos="8306"/>
      </w:tabs>
      <w:spacing w:after="0" w:line="240" w:lineRule="auto"/>
    </w:pPr>
  </w:style>
  <w:style w:type="character" w:customStyle="1" w:styleId="a6">
    <w:name w:val="כותרת עליונה תו"/>
    <w:basedOn w:val="a0"/>
    <w:link w:val="a5"/>
    <w:uiPriority w:val="99"/>
    <w:rsid w:val="00730CA1"/>
  </w:style>
  <w:style w:type="paragraph" w:styleId="a7">
    <w:name w:val="footer"/>
    <w:basedOn w:val="a"/>
    <w:link w:val="a8"/>
    <w:uiPriority w:val="99"/>
    <w:unhideWhenUsed/>
    <w:rsid w:val="00730CA1"/>
    <w:pPr>
      <w:tabs>
        <w:tab w:val="center" w:pos="4153"/>
        <w:tab w:val="right" w:pos="8306"/>
      </w:tabs>
      <w:spacing w:after="0" w:line="240" w:lineRule="auto"/>
    </w:pPr>
  </w:style>
  <w:style w:type="character" w:customStyle="1" w:styleId="a8">
    <w:name w:val="כותרת תחתונה תו"/>
    <w:basedOn w:val="a0"/>
    <w:link w:val="a7"/>
    <w:uiPriority w:val="99"/>
    <w:rsid w:val="0073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39060">
      <w:bodyDiv w:val="1"/>
      <w:marLeft w:val="0"/>
      <w:marRight w:val="0"/>
      <w:marTop w:val="0"/>
      <w:marBottom w:val="0"/>
      <w:divBdr>
        <w:top w:val="none" w:sz="0" w:space="0" w:color="auto"/>
        <w:left w:val="none" w:sz="0" w:space="0" w:color="auto"/>
        <w:bottom w:val="none" w:sz="0" w:space="0" w:color="auto"/>
        <w:right w:val="none" w:sz="0" w:space="0" w:color="auto"/>
      </w:divBdr>
    </w:div>
    <w:div w:id="1171139320">
      <w:bodyDiv w:val="1"/>
      <w:marLeft w:val="0"/>
      <w:marRight w:val="0"/>
      <w:marTop w:val="0"/>
      <w:marBottom w:val="0"/>
      <w:divBdr>
        <w:top w:val="none" w:sz="0" w:space="0" w:color="auto"/>
        <w:left w:val="none" w:sz="0" w:space="0" w:color="auto"/>
        <w:bottom w:val="none" w:sz="0" w:space="0" w:color="auto"/>
        <w:right w:val="none" w:sz="0" w:space="0" w:color="auto"/>
      </w:divBdr>
    </w:div>
    <w:div w:id="1552304460">
      <w:bodyDiv w:val="1"/>
      <w:marLeft w:val="0"/>
      <w:marRight w:val="0"/>
      <w:marTop w:val="0"/>
      <w:marBottom w:val="0"/>
      <w:divBdr>
        <w:top w:val="none" w:sz="0" w:space="0" w:color="auto"/>
        <w:left w:val="none" w:sz="0" w:space="0" w:color="auto"/>
        <w:bottom w:val="none" w:sz="0" w:space="0" w:color="auto"/>
        <w:right w:val="none" w:sz="0" w:space="0" w:color="auto"/>
      </w:divBdr>
    </w:div>
    <w:div w:id="20642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ver@court.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SixthEditionOfficeOnline.xsl"/>
</file>

<file path=customXml/itemProps1.xml><?xml version="1.0" encoding="utf-8"?>
<ds:datastoreItem xmlns:ds="http://schemas.openxmlformats.org/officeDocument/2006/customXml" ds:itemID="{DC9F4C8A-23F4-4C02-AB61-69D85AEF69F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5268</Characters>
  <Application>Microsoft Office Word</Application>
  <DocSecurity>0</DocSecurity>
  <Lines>82</Lines>
  <Paragraphs>25</Paragraphs>
  <ScaleCrop>false</ScaleCrop>
  <HeadingPairs>
    <vt:vector size="2" baseType="variant">
      <vt:variant>
        <vt:lpstr>שם</vt:lpstr>
      </vt:variant>
      <vt:variant>
        <vt:i4>1</vt:i4>
      </vt:variant>
    </vt:vector>
  </HeadingPairs>
  <TitlesOfParts>
    <vt:vector size="1" baseType="lpstr">
      <vt:lpstr/>
    </vt:vector>
  </TitlesOfParts>
  <Company>court</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נירית לזימי</dc:creator>
  <cp:keywords/>
  <dc:description/>
  <cp:lastModifiedBy>גרמאו מנגיסטו</cp:lastModifiedBy>
  <cp:revision>4</cp:revision>
  <cp:lastPrinted>2017-11-13T12:38:00Z</cp:lastPrinted>
  <dcterms:created xsi:type="dcterms:W3CDTF">2024-02-19T10:04:00Z</dcterms:created>
  <dcterms:modified xsi:type="dcterms:W3CDTF">2024-02-19T10:33:00Z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Eng">
    <vt:lpwstr>11 בספטמבר 2023</vt:lpwstr>
  </property>
  <property fmtid="{D5CDD505-2E9C-101B-9397-08002B2CF9AE}" pid="3" name="DocDateHeb">
    <vt:lpwstr>כ"ה באלול תשפ"ג</vt:lpwstr>
  </property>
  <property fmtid="{D5CDD505-2E9C-101B-9397-08002B2CF9AE}" pid="4" name="DocNumber">
    <vt:lpwstr>4700-1039-2023-007882</vt:lpwstr>
  </property>
  <property fmtid="{D5CDD505-2E9C-101B-9397-08002B2CF9AE}" pid="5" name="DocRecipientsName">
    <vt:lpwstr/>
  </property>
  <property fmtid="{D5CDD505-2E9C-101B-9397-08002B2CF9AE}" pid="6" name="DocToName">
    <vt:lpwstr/>
  </property>
  <property fmtid="{D5CDD505-2E9C-101B-9397-08002B2CF9AE}" pid="7" name="DocObjectName">
    <vt:lpwstr>תקציר גזר דין בתיק ת"פ 28571-08-20 השופט יובל ליבדרו בימ"ש המחוזי ב"ש</vt:lpwstr>
  </property>
  <property fmtid="{D5CDD505-2E9C-101B-9397-08002B2CF9AE}" pid="8" name="GrammarlyDocumentId">
    <vt:lpwstr>e2007c8238b4ef08e962e50aadc7e51fc104acd8d19a002e2bea1e5748be03c0</vt:lpwstr>
  </property>
</Properties>
</file>