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29" w:rsidRPr="003A2C84" w:rsidRDefault="003C4E29" w:rsidP="0000132C">
      <w:pPr>
        <w:pStyle w:val="a3"/>
        <w:spacing w:after="120" w:line="360" w:lineRule="auto"/>
        <w:jc w:val="center"/>
        <w:rPr>
          <w:rFonts w:ascii="FrankRuehl" w:hAnsi="FrankRuehl" w:cs="FrankRuehl"/>
          <w:sz w:val="24"/>
          <w:szCs w:val="24"/>
          <w:rtl/>
        </w:rPr>
      </w:pPr>
      <w:r w:rsidRPr="003A2C84">
        <w:rPr>
          <w:rFonts w:ascii="FrankRuehl" w:hAnsi="FrankRuehl" w:cs="FrankRuehl"/>
          <w:b/>
          <w:bCs/>
          <w:sz w:val="24"/>
          <w:szCs w:val="24"/>
          <w:u w:val="single"/>
          <w:rtl/>
        </w:rPr>
        <w:t>הודעה לעיתונות</w:t>
      </w:r>
    </w:p>
    <w:p w:rsidR="003C4E29" w:rsidRPr="00155686" w:rsidRDefault="003C4E29" w:rsidP="0000132C">
      <w:pPr>
        <w:spacing w:after="120" w:line="360" w:lineRule="auto"/>
        <w:contextualSpacing/>
        <w:jc w:val="center"/>
        <w:rPr>
          <w:rFonts w:ascii="FrankRuehl" w:hAnsi="FrankRuehl" w:cs="FrankRuehl"/>
          <w:b/>
          <w:bCs/>
          <w:sz w:val="30"/>
          <w:szCs w:val="30"/>
          <w:u w:val="single"/>
          <w:rtl/>
        </w:rPr>
      </w:pPr>
      <w:r w:rsidRPr="00155686">
        <w:rPr>
          <w:rFonts w:ascii="FrankRuehl" w:hAnsi="FrankRuehl" w:cs="FrankRuehl"/>
          <w:b/>
          <w:bCs/>
          <w:sz w:val="30"/>
          <w:szCs w:val="30"/>
          <w:u w:val="single"/>
          <w:rtl/>
        </w:rPr>
        <w:t>ועדת החקירה הממלכתית לחקר אסון מירון – דין וחשבון</w:t>
      </w:r>
    </w:p>
    <w:p w:rsidR="003C4E29" w:rsidRPr="003A2C84" w:rsidRDefault="003C4E29" w:rsidP="003C4E29">
      <w:pPr>
        <w:spacing w:after="120" w:line="360" w:lineRule="auto"/>
        <w:contextualSpacing/>
        <w:jc w:val="both"/>
        <w:rPr>
          <w:rFonts w:ascii="FrankRuehl" w:hAnsi="FrankRuehl" w:cs="FrankRuehl"/>
          <w:sz w:val="24"/>
          <w:szCs w:val="24"/>
        </w:rPr>
      </w:pPr>
    </w:p>
    <w:p w:rsidR="003C4E29" w:rsidRPr="003A2C84" w:rsidRDefault="003C4E29" w:rsidP="00155686">
      <w:pPr>
        <w:spacing w:after="120" w:line="360" w:lineRule="auto"/>
        <w:contextualSpacing/>
        <w:jc w:val="both"/>
        <w:rPr>
          <w:rFonts w:ascii="FrankRuehl" w:hAnsi="FrankRuehl" w:cs="FrankRuehl"/>
          <w:sz w:val="24"/>
          <w:szCs w:val="24"/>
          <w:rtl/>
        </w:rPr>
      </w:pPr>
      <w:r w:rsidRPr="003A2C84">
        <w:rPr>
          <w:rFonts w:ascii="FrankRuehl" w:hAnsi="FrankRuehl" w:cs="FrankRuehl"/>
          <w:sz w:val="24"/>
          <w:szCs w:val="24"/>
          <w:rtl/>
        </w:rPr>
        <w:t>ועדת החקירה הממלכתית</w:t>
      </w:r>
      <w:r w:rsidR="00155686">
        <w:rPr>
          <w:rFonts w:ascii="FrankRuehl" w:hAnsi="FrankRuehl" w:cs="FrankRuehl"/>
          <w:sz w:val="24"/>
          <w:szCs w:val="24"/>
          <w:rtl/>
        </w:rPr>
        <w:t xml:space="preserve"> לחקר אסון הר מירון הגישה היום</w:t>
      </w:r>
      <w:r w:rsidR="00155686">
        <w:rPr>
          <w:rFonts w:ascii="FrankRuehl" w:hAnsi="FrankRuehl" w:cs="FrankRuehl" w:hint="cs"/>
          <w:sz w:val="24"/>
          <w:szCs w:val="24"/>
          <w:rtl/>
        </w:rPr>
        <w:t xml:space="preserve"> </w:t>
      </w:r>
      <w:r w:rsidRPr="003A2C84">
        <w:rPr>
          <w:rFonts w:ascii="FrankRuehl" w:hAnsi="FrankRuehl" w:cs="FrankRuehl"/>
          <w:sz w:val="24"/>
          <w:szCs w:val="24"/>
          <w:rtl/>
        </w:rPr>
        <w:t xml:space="preserve">לממשלה דין וחשבון סופי, ובו תוצאות החקירה שערכה, ממצאיה והמלצותיה. </w:t>
      </w:r>
    </w:p>
    <w:p w:rsidR="003C4E29" w:rsidRPr="003A2C84" w:rsidRDefault="003C4E29" w:rsidP="00111CCA">
      <w:pPr>
        <w:spacing w:after="120" w:line="360" w:lineRule="auto"/>
        <w:contextualSpacing/>
        <w:jc w:val="both"/>
        <w:rPr>
          <w:rFonts w:ascii="FrankRuehl" w:hAnsi="FrankRuehl" w:cs="FrankRuehl"/>
          <w:sz w:val="24"/>
          <w:szCs w:val="24"/>
          <w:rtl/>
        </w:rPr>
      </w:pPr>
      <w:r w:rsidRPr="003A2C84">
        <w:rPr>
          <w:rFonts w:ascii="FrankRuehl" w:hAnsi="FrankRuehl" w:cs="FrankRuehl"/>
          <w:sz w:val="24"/>
          <w:szCs w:val="24"/>
          <w:rtl/>
        </w:rPr>
        <w:t xml:space="preserve">הוועדה הוקמה על מנת לחקור את האסון האזרחי הגדול ביותר בתולדות מדינת ישראל שאירע בהילולת ל"ג בעומר </w:t>
      </w:r>
      <w:proofErr w:type="spellStart"/>
      <w:r w:rsidRPr="003A2C84">
        <w:rPr>
          <w:rFonts w:ascii="FrankRuehl" w:hAnsi="FrankRuehl" w:cs="FrankRuehl"/>
          <w:sz w:val="24"/>
          <w:szCs w:val="24"/>
          <w:rtl/>
        </w:rPr>
        <w:t>התשפ"א</w:t>
      </w:r>
      <w:proofErr w:type="spellEnd"/>
      <w:r w:rsidR="0000132C">
        <w:rPr>
          <w:rFonts w:ascii="FrankRuehl" w:hAnsi="FrankRuehl" w:cs="FrankRuehl" w:hint="cs"/>
          <w:sz w:val="24"/>
          <w:szCs w:val="24"/>
          <w:rtl/>
        </w:rPr>
        <w:t xml:space="preserve"> (30.4.2021)</w:t>
      </w:r>
      <w:r>
        <w:rPr>
          <w:rFonts w:ascii="FrankRuehl" w:hAnsi="FrankRuehl" w:cs="FrankRuehl"/>
          <w:sz w:val="24"/>
          <w:szCs w:val="24"/>
          <w:rtl/>
        </w:rPr>
        <w:t xml:space="preserve"> בקבר רבי שמעון בר יוחאי במירון</w:t>
      </w:r>
      <w:r w:rsidR="009F7435">
        <w:rPr>
          <w:rFonts w:ascii="FrankRuehl" w:hAnsi="FrankRuehl" w:cs="FrankRuehl" w:hint="cs"/>
          <w:sz w:val="24"/>
          <w:szCs w:val="24"/>
          <w:rtl/>
        </w:rPr>
        <w:t>. באסון נהרגו</w:t>
      </w:r>
      <w:r w:rsidRPr="003A2C84">
        <w:rPr>
          <w:rFonts w:ascii="FrankRuehl" w:hAnsi="FrankRuehl" w:cs="FrankRuehl"/>
          <w:sz w:val="24"/>
          <w:szCs w:val="24"/>
          <w:rtl/>
        </w:rPr>
        <w:t xml:space="preserve"> ארבעים וחמישה גברים, נערים וילדים</w:t>
      </w:r>
      <w:r>
        <w:rPr>
          <w:rFonts w:ascii="FrankRuehl" w:hAnsi="FrankRuehl" w:cs="FrankRuehl"/>
          <w:sz w:val="24"/>
          <w:szCs w:val="24"/>
          <w:rtl/>
        </w:rPr>
        <w:t xml:space="preserve"> אשר הגיעו לשמוח בשמחת ההילולה</w:t>
      </w:r>
      <w:r w:rsidR="009F7435">
        <w:rPr>
          <w:rFonts w:ascii="FrankRuehl" w:hAnsi="FrankRuehl" w:cs="FrankRuehl" w:hint="cs"/>
          <w:sz w:val="24"/>
          <w:szCs w:val="24"/>
          <w:rtl/>
        </w:rPr>
        <w:t>.</w:t>
      </w:r>
      <w:r w:rsidR="007513E1">
        <w:rPr>
          <w:rFonts w:ascii="FrankRuehl" w:hAnsi="FrankRuehl" w:cs="FrankRuehl" w:hint="cs"/>
          <w:sz w:val="24"/>
          <w:szCs w:val="24"/>
          <w:rtl/>
        </w:rPr>
        <w:t xml:space="preserve"> </w:t>
      </w:r>
      <w:r w:rsidRPr="003A2C84">
        <w:rPr>
          <w:rFonts w:ascii="FrankRuehl" w:hAnsi="FrankRuehl" w:cs="FrankRuehl"/>
          <w:sz w:val="24"/>
          <w:szCs w:val="24"/>
          <w:rtl/>
        </w:rPr>
        <w:t xml:space="preserve">בצאתם </w:t>
      </w:r>
      <w:r w:rsidR="00111CCA">
        <w:rPr>
          <w:rFonts w:ascii="FrankRuehl" w:hAnsi="FrankRuehl" w:cs="FrankRuehl" w:hint="cs"/>
          <w:sz w:val="24"/>
          <w:szCs w:val="24"/>
          <w:rtl/>
        </w:rPr>
        <w:t>מהרחבה בה התקיימה הדלקת חסידות "תולדות אהרון"</w:t>
      </w:r>
      <w:r w:rsidRPr="003A2C84">
        <w:rPr>
          <w:rFonts w:ascii="FrankRuehl" w:hAnsi="FrankRuehl" w:cs="FrankRuehl"/>
          <w:sz w:val="24"/>
          <w:szCs w:val="24"/>
          <w:rtl/>
        </w:rPr>
        <w:t>, מעמד של התרגשות ושמחה, נדחקו לתוך מעבר צר מלהכיל</w:t>
      </w:r>
      <w:r w:rsidR="009F7435">
        <w:rPr>
          <w:rFonts w:ascii="FrankRuehl" w:hAnsi="FrankRuehl" w:cs="FrankRuehl" w:hint="cs"/>
          <w:sz w:val="24"/>
          <w:szCs w:val="24"/>
          <w:rtl/>
        </w:rPr>
        <w:t>, נמחצו בתוך קהל צפוף</w:t>
      </w:r>
      <w:r w:rsidRPr="003A2C84">
        <w:rPr>
          <w:rFonts w:ascii="FrankRuehl" w:hAnsi="FrankRuehl" w:cs="FrankRuehl"/>
          <w:sz w:val="24"/>
          <w:szCs w:val="24"/>
          <w:rtl/>
        </w:rPr>
        <w:t xml:space="preserve"> וקיפחו את חייהם. מאות </w:t>
      </w:r>
      <w:r>
        <w:rPr>
          <w:rFonts w:ascii="FrankRuehl" w:hAnsi="FrankRuehl" w:cs="FrankRuehl" w:hint="cs"/>
          <w:sz w:val="24"/>
          <w:szCs w:val="24"/>
          <w:rtl/>
        </w:rPr>
        <w:t xml:space="preserve">אנשים נוספים </w:t>
      </w:r>
      <w:r w:rsidRPr="003A2C84">
        <w:rPr>
          <w:rFonts w:ascii="FrankRuehl" w:hAnsi="FrankRuehl" w:cs="FrankRuehl"/>
          <w:sz w:val="24"/>
          <w:szCs w:val="24"/>
          <w:rtl/>
        </w:rPr>
        <w:t>נפצעו</w:t>
      </w:r>
      <w:r>
        <w:rPr>
          <w:rFonts w:ascii="FrankRuehl" w:hAnsi="FrankRuehl" w:cs="FrankRuehl" w:hint="cs"/>
          <w:sz w:val="24"/>
          <w:szCs w:val="24"/>
          <w:rtl/>
        </w:rPr>
        <w:t>,</w:t>
      </w:r>
      <w:r w:rsidRPr="003A2C84">
        <w:rPr>
          <w:rFonts w:ascii="FrankRuehl" w:hAnsi="FrankRuehl" w:cs="FrankRuehl"/>
          <w:sz w:val="24"/>
          <w:szCs w:val="24"/>
          <w:rtl/>
        </w:rPr>
        <w:t xml:space="preserve"> בגוף ובנפש.  </w:t>
      </w:r>
    </w:p>
    <w:p w:rsidR="003C4E29" w:rsidRPr="003A2C84" w:rsidRDefault="003C4E29" w:rsidP="000854CD">
      <w:pPr>
        <w:spacing w:after="120" w:line="360" w:lineRule="auto"/>
        <w:contextualSpacing/>
        <w:jc w:val="both"/>
        <w:rPr>
          <w:rFonts w:ascii="FrankRuehl" w:hAnsi="FrankRuehl" w:cs="FrankRuehl"/>
          <w:sz w:val="24"/>
          <w:szCs w:val="24"/>
          <w:rtl/>
        </w:rPr>
      </w:pPr>
      <w:r w:rsidRPr="003A2C84">
        <w:rPr>
          <w:rFonts w:ascii="FrankRuehl" w:hAnsi="FrankRuehl" w:cs="FrankRuehl"/>
          <w:sz w:val="24"/>
          <w:szCs w:val="24"/>
          <w:rtl/>
        </w:rPr>
        <w:t xml:space="preserve">בעקבות האסון, החליטה ממשלת ישראל על הקמת ועדת חקירה ממלכתית לחקר האירוע ולשם מניעת הישנותם של אירועים דומים. נשיאת בית המשפט העליון, השופטת אסתר חיות, מינתה את נשיאת בית המשפט העליון בדימוס, מרים נאור ז"ל ליושבת ראש הוועדה, ואת הרב מרדכי קרליץ ואלוף במילואים שלמה ינאי לחברי הוועדה. </w:t>
      </w:r>
      <w:r>
        <w:rPr>
          <w:rFonts w:ascii="FrankRuehl" w:hAnsi="FrankRuehl" w:cs="FrankRuehl" w:hint="cs"/>
          <w:sz w:val="24"/>
          <w:szCs w:val="24"/>
          <w:rtl/>
        </w:rPr>
        <w:t>בעיצומה</w:t>
      </w:r>
      <w:r w:rsidRPr="003A2C84">
        <w:rPr>
          <w:rFonts w:ascii="FrankRuehl" w:hAnsi="FrankRuehl" w:cs="FrankRuehl"/>
          <w:sz w:val="24"/>
          <w:szCs w:val="24"/>
          <w:rtl/>
        </w:rPr>
        <w:t xml:space="preserve"> של עבודת הוועדה נפטרה הנשיאה נאור ז"ל, וליו"ר הוועדה מונתה נשיאת בית המשפט המחוזי ת"א-יפו בדימוס, השופטת דבורה ברלינר. </w:t>
      </w:r>
    </w:p>
    <w:p w:rsidR="0000132C" w:rsidRDefault="003C4E29" w:rsidP="0000132C">
      <w:pPr>
        <w:spacing w:after="120" w:line="360" w:lineRule="auto"/>
        <w:contextualSpacing/>
        <w:jc w:val="both"/>
        <w:rPr>
          <w:rFonts w:ascii="FrankRuehl" w:hAnsi="FrankRuehl" w:cs="FrankRuehl"/>
          <w:sz w:val="24"/>
          <w:szCs w:val="24"/>
          <w:rtl/>
        </w:rPr>
      </w:pPr>
      <w:r w:rsidRPr="003A2C84">
        <w:rPr>
          <w:rFonts w:ascii="FrankRuehl" w:hAnsi="FrankRuehl" w:cs="FrankRuehl"/>
          <w:sz w:val="24"/>
          <w:szCs w:val="24"/>
          <w:rtl/>
        </w:rPr>
        <w:t xml:space="preserve">מיד עם הקמתה החלה הוועדה באיסוף חומרי חקירה, אשר נמשך לאורך כל תקופת העבודה. החומר הכולל שנאסף מכיל עשרות אלפי מסמכים. הוועדה פרסמה </w:t>
      </w:r>
      <w:r w:rsidR="0000132C">
        <w:rPr>
          <w:rFonts w:ascii="FrankRuehl" w:hAnsi="FrankRuehl" w:cs="FrankRuehl" w:hint="cs"/>
          <w:sz w:val="24"/>
          <w:szCs w:val="24"/>
          <w:rtl/>
        </w:rPr>
        <w:t xml:space="preserve">גם </w:t>
      </w:r>
      <w:r w:rsidRPr="003A2C84">
        <w:rPr>
          <w:rFonts w:ascii="FrankRuehl" w:hAnsi="FrankRuehl" w:cs="FrankRuehl"/>
          <w:sz w:val="24"/>
          <w:szCs w:val="24"/>
          <w:rtl/>
        </w:rPr>
        <w:t xml:space="preserve">קול קורא והזמינה את הציבור לפנות אליה עם מידע ועדויות. </w:t>
      </w:r>
    </w:p>
    <w:p w:rsidR="003C4E29" w:rsidRDefault="0000132C" w:rsidP="0000132C">
      <w:pPr>
        <w:spacing w:after="120" w:line="360" w:lineRule="auto"/>
        <w:contextualSpacing/>
        <w:jc w:val="both"/>
        <w:rPr>
          <w:rFonts w:ascii="FrankRuehl" w:hAnsi="FrankRuehl" w:cs="FrankRuehl"/>
          <w:sz w:val="24"/>
          <w:szCs w:val="24"/>
          <w:rtl/>
        </w:rPr>
      </w:pPr>
      <w:r w:rsidRPr="003A2C84">
        <w:rPr>
          <w:rFonts w:ascii="FrankRuehl" w:hAnsi="FrankRuehl" w:cs="FrankRuehl"/>
          <w:sz w:val="24"/>
          <w:szCs w:val="24"/>
          <w:rtl/>
        </w:rPr>
        <w:t>הוועדה</w:t>
      </w:r>
      <w:r>
        <w:rPr>
          <w:rFonts w:ascii="FrankRuehl" w:hAnsi="FrankRuehl" w:cs="FrankRuehl" w:hint="cs"/>
          <w:sz w:val="24"/>
          <w:szCs w:val="24"/>
          <w:rtl/>
        </w:rPr>
        <w:t xml:space="preserve"> גבתה</w:t>
      </w:r>
      <w:r w:rsidRPr="003A2C84">
        <w:rPr>
          <w:rFonts w:ascii="FrankRuehl" w:hAnsi="FrankRuehl" w:cs="FrankRuehl"/>
          <w:sz w:val="24"/>
          <w:szCs w:val="24"/>
          <w:rtl/>
        </w:rPr>
        <w:t xml:space="preserve"> 213 עדויות מפי 162 עדים</w:t>
      </w:r>
      <w:r>
        <w:rPr>
          <w:rFonts w:ascii="FrankRuehl" w:hAnsi="FrankRuehl" w:cs="FrankRuehl" w:hint="cs"/>
          <w:sz w:val="24"/>
          <w:szCs w:val="24"/>
          <w:rtl/>
        </w:rPr>
        <w:t xml:space="preserve"> (</w:t>
      </w:r>
      <w:r w:rsidRPr="003A2C84">
        <w:rPr>
          <w:rFonts w:ascii="FrankRuehl" w:hAnsi="FrankRuehl" w:cs="FrankRuehl"/>
          <w:sz w:val="24"/>
          <w:szCs w:val="24"/>
          <w:rtl/>
        </w:rPr>
        <w:t>חלקם העידו יותר מפעם אחת</w:t>
      </w:r>
      <w:r>
        <w:rPr>
          <w:rFonts w:ascii="FrankRuehl" w:hAnsi="FrankRuehl" w:cs="FrankRuehl" w:hint="cs"/>
          <w:sz w:val="24"/>
          <w:szCs w:val="24"/>
          <w:rtl/>
        </w:rPr>
        <w:t>)</w:t>
      </w:r>
      <w:r w:rsidRPr="003A2C84">
        <w:rPr>
          <w:rFonts w:ascii="FrankRuehl" w:hAnsi="FrankRuehl" w:cs="FrankRuehl"/>
          <w:sz w:val="24"/>
          <w:szCs w:val="24"/>
          <w:rtl/>
        </w:rPr>
        <w:t xml:space="preserve">. אוספי החומר </w:t>
      </w:r>
      <w:r>
        <w:rPr>
          <w:rFonts w:ascii="FrankRuehl" w:hAnsi="FrankRuehl" w:cs="FrankRuehl" w:hint="cs"/>
          <w:sz w:val="24"/>
          <w:szCs w:val="24"/>
          <w:rtl/>
        </w:rPr>
        <w:t xml:space="preserve">מטעם </w:t>
      </w:r>
      <w:r w:rsidRPr="003A2C84">
        <w:rPr>
          <w:rFonts w:ascii="FrankRuehl" w:hAnsi="FrankRuehl" w:cs="FrankRuehl"/>
          <w:sz w:val="24"/>
          <w:szCs w:val="24"/>
          <w:rtl/>
        </w:rPr>
        <w:t xml:space="preserve">הוועדה </w:t>
      </w:r>
      <w:r>
        <w:rPr>
          <w:rFonts w:ascii="FrankRuehl" w:hAnsi="FrankRuehl" w:cs="FrankRuehl" w:hint="cs"/>
          <w:sz w:val="24"/>
          <w:szCs w:val="24"/>
          <w:rtl/>
        </w:rPr>
        <w:t xml:space="preserve">גבו </w:t>
      </w:r>
      <w:r w:rsidRPr="003A2C84">
        <w:rPr>
          <w:rFonts w:ascii="FrankRuehl" w:hAnsi="FrankRuehl" w:cs="FrankRuehl"/>
          <w:sz w:val="24"/>
          <w:szCs w:val="24"/>
          <w:rtl/>
        </w:rPr>
        <w:t>27 עדויות נוספות.</w:t>
      </w:r>
      <w:r>
        <w:rPr>
          <w:rFonts w:ascii="FrankRuehl" w:hAnsi="FrankRuehl" w:cs="FrankRuehl" w:hint="cs"/>
          <w:sz w:val="24"/>
          <w:szCs w:val="24"/>
          <w:rtl/>
        </w:rPr>
        <w:t xml:space="preserve"> </w:t>
      </w:r>
      <w:r w:rsidR="003C4E29" w:rsidRPr="003A2C84">
        <w:rPr>
          <w:rFonts w:ascii="FrankRuehl" w:hAnsi="FrankRuehl" w:cs="FrankRuehl"/>
          <w:sz w:val="24"/>
          <w:szCs w:val="24"/>
          <w:rtl/>
        </w:rPr>
        <w:t>בנוסף, קיימה</w:t>
      </w:r>
      <w:r w:rsidR="00111CCA">
        <w:rPr>
          <w:rFonts w:ascii="FrankRuehl" w:hAnsi="FrankRuehl" w:cs="FrankRuehl" w:hint="cs"/>
          <w:sz w:val="24"/>
          <w:szCs w:val="24"/>
          <w:rtl/>
        </w:rPr>
        <w:t xml:space="preserve"> הוועדה</w:t>
      </w:r>
      <w:r w:rsidR="003C4E29" w:rsidRPr="003A2C84">
        <w:rPr>
          <w:rFonts w:ascii="FrankRuehl" w:hAnsi="FrankRuehl" w:cs="FrankRuehl"/>
          <w:sz w:val="24"/>
          <w:szCs w:val="24"/>
          <w:rtl/>
        </w:rPr>
        <w:t xml:space="preserve"> מספר סיורים באתר קבר הרשב"י במירון על מנת להתרשם מן המקום באופן בלתי אמצעי. </w:t>
      </w:r>
      <w:r w:rsidR="003C4E29">
        <w:rPr>
          <w:rFonts w:ascii="FrankRuehl" w:hAnsi="FrankRuehl" w:cs="FrankRuehl" w:hint="cs"/>
          <w:sz w:val="24"/>
          <w:szCs w:val="24"/>
          <w:rtl/>
        </w:rPr>
        <w:t xml:space="preserve"> </w:t>
      </w:r>
    </w:p>
    <w:p w:rsidR="003C4E29" w:rsidRDefault="0000132C" w:rsidP="00155686">
      <w:pPr>
        <w:spacing w:after="120" w:line="360" w:lineRule="auto"/>
        <w:contextualSpacing/>
        <w:jc w:val="both"/>
        <w:rPr>
          <w:rFonts w:ascii="FrankRuehl" w:hAnsi="FrankRuehl" w:cs="FrankRuehl"/>
          <w:sz w:val="24"/>
          <w:szCs w:val="24"/>
          <w:rtl/>
        </w:rPr>
      </w:pPr>
      <w:r>
        <w:rPr>
          <w:rFonts w:ascii="FrankRuehl" w:hAnsi="FrankRuehl" w:cs="FrankRuehl" w:hint="cs"/>
          <w:sz w:val="24"/>
          <w:szCs w:val="24"/>
          <w:rtl/>
        </w:rPr>
        <w:t xml:space="preserve">בהתאם לקבוע בחוק, </w:t>
      </w:r>
      <w:r w:rsidR="00155686">
        <w:rPr>
          <w:rFonts w:ascii="FrankRuehl" w:hAnsi="FrankRuehl" w:cs="FrankRuehl" w:hint="cs"/>
          <w:sz w:val="24"/>
          <w:szCs w:val="24"/>
          <w:rtl/>
        </w:rPr>
        <w:t xml:space="preserve">באוגוסט 2022 שלחה </w:t>
      </w:r>
      <w:r w:rsidR="003C4E29" w:rsidRPr="003A2C84">
        <w:rPr>
          <w:rFonts w:ascii="FrankRuehl" w:hAnsi="FrankRuehl" w:cs="FrankRuehl"/>
          <w:sz w:val="24"/>
          <w:szCs w:val="24"/>
          <w:rtl/>
        </w:rPr>
        <w:t>הוועדה הודעות אזהרה ל</w:t>
      </w:r>
      <w:r>
        <w:rPr>
          <w:rFonts w:ascii="FrankRuehl" w:hAnsi="FrankRuehl" w:cs="FrankRuehl" w:hint="cs"/>
          <w:sz w:val="24"/>
          <w:szCs w:val="24"/>
          <w:rtl/>
        </w:rPr>
        <w:t xml:space="preserve">-18 </w:t>
      </w:r>
      <w:r w:rsidR="003C4E29" w:rsidRPr="003A2C84">
        <w:rPr>
          <w:rFonts w:ascii="FrankRuehl" w:hAnsi="FrankRuehl" w:cs="FrankRuehl"/>
          <w:sz w:val="24"/>
          <w:szCs w:val="24"/>
          <w:rtl/>
        </w:rPr>
        <w:t xml:space="preserve">גורמים </w:t>
      </w:r>
      <w:r>
        <w:rPr>
          <w:rFonts w:ascii="FrankRuehl" w:hAnsi="FrankRuehl" w:cs="FrankRuehl" w:hint="cs"/>
          <w:sz w:val="24"/>
          <w:szCs w:val="24"/>
          <w:rtl/>
        </w:rPr>
        <w:t xml:space="preserve">אשר </w:t>
      </w:r>
      <w:r w:rsidR="003C4E29" w:rsidRPr="003A2C84">
        <w:rPr>
          <w:rFonts w:ascii="FrankRuehl" w:hAnsi="FrankRuehl" w:cs="FrankRuehl"/>
          <w:sz w:val="24"/>
          <w:szCs w:val="24"/>
          <w:rtl/>
        </w:rPr>
        <w:t>מצאה שעלולים להיפגע מן החקירה או מתוצאותיה. לאחר משלוח הודעות האזהרה הועמדו לרשות המוזהרים חומרי חקירה שהוועדה אספה, ו</w:t>
      </w:r>
      <w:r w:rsidR="001A61D9">
        <w:rPr>
          <w:rFonts w:ascii="FrankRuehl" w:hAnsi="FrankRuehl" w:cs="FrankRuehl" w:hint="cs"/>
          <w:sz w:val="24"/>
          <w:szCs w:val="24"/>
          <w:rtl/>
        </w:rPr>
        <w:t>הוועדה שמעה את טיעוני המוזהרים ואת העדים ש</w:t>
      </w:r>
      <w:r w:rsidR="003C4E29" w:rsidRPr="003A2C84">
        <w:rPr>
          <w:rFonts w:ascii="FrankRuehl" w:hAnsi="FrankRuehl" w:cs="FrankRuehl"/>
          <w:sz w:val="24"/>
          <w:szCs w:val="24"/>
          <w:rtl/>
        </w:rPr>
        <w:t>ב</w:t>
      </w:r>
      <w:r w:rsidR="003C4E29">
        <w:rPr>
          <w:rFonts w:ascii="FrankRuehl" w:hAnsi="FrankRuehl" w:cs="FrankRuehl"/>
          <w:sz w:val="24"/>
          <w:szCs w:val="24"/>
          <w:rtl/>
        </w:rPr>
        <w:t>יקשו להביא</w:t>
      </w:r>
      <w:r w:rsidR="00111CCA">
        <w:rPr>
          <w:rFonts w:ascii="FrankRuehl" w:hAnsi="FrankRuehl" w:cs="FrankRuehl" w:hint="cs"/>
          <w:sz w:val="24"/>
          <w:szCs w:val="24"/>
          <w:rtl/>
        </w:rPr>
        <w:t xml:space="preserve"> מטעמם</w:t>
      </w:r>
      <w:r w:rsidR="003C4E29">
        <w:rPr>
          <w:rFonts w:ascii="FrankRuehl" w:hAnsi="FrankRuehl" w:cs="FrankRuehl"/>
          <w:sz w:val="24"/>
          <w:szCs w:val="24"/>
          <w:rtl/>
        </w:rPr>
        <w:t xml:space="preserve"> במענה להודעות האזהרה</w:t>
      </w:r>
      <w:r w:rsidR="003C4E29">
        <w:rPr>
          <w:rFonts w:ascii="FrankRuehl" w:hAnsi="FrankRuehl" w:cs="FrankRuehl" w:hint="cs"/>
          <w:sz w:val="24"/>
          <w:szCs w:val="24"/>
          <w:rtl/>
        </w:rPr>
        <w:t xml:space="preserve">. </w:t>
      </w:r>
    </w:p>
    <w:p w:rsidR="0000132C" w:rsidRPr="003A2C84" w:rsidRDefault="0000132C" w:rsidP="00155686">
      <w:pPr>
        <w:spacing w:after="240" w:line="360" w:lineRule="auto"/>
        <w:contextualSpacing/>
        <w:jc w:val="both"/>
        <w:rPr>
          <w:rFonts w:ascii="FrankRuehl" w:hAnsi="FrankRuehl" w:cs="FrankRuehl"/>
          <w:sz w:val="24"/>
          <w:szCs w:val="24"/>
          <w:rtl/>
        </w:rPr>
      </w:pPr>
      <w:r w:rsidRPr="003A2C84">
        <w:rPr>
          <w:rFonts w:ascii="FrankRuehl" w:hAnsi="FrankRuehl" w:cs="FrankRuehl"/>
          <w:sz w:val="24"/>
          <w:szCs w:val="24"/>
          <w:rtl/>
        </w:rPr>
        <w:t>במקביל לתהליך החקירה, נוכח הצורך הדחוף לערוך שינויים באתר ובניהול האירוע, הגישה הוועדה שני מסמכי המלצות ביניים לעריכת ההילולה בל"ג בעומר אשר נערכו במהלך עבודתה.</w:t>
      </w:r>
      <w:r>
        <w:rPr>
          <w:rFonts w:ascii="FrankRuehl" w:hAnsi="FrankRuehl" w:cs="FrankRuehl" w:hint="cs"/>
          <w:sz w:val="24"/>
          <w:szCs w:val="24"/>
          <w:rtl/>
        </w:rPr>
        <w:t xml:space="preserve"> על בסיס המלצות אלה התקיימו שתי הילולות ל"ג בעומר האחרונות. </w:t>
      </w:r>
    </w:p>
    <w:p w:rsidR="00155686" w:rsidRDefault="00155686" w:rsidP="00155686">
      <w:pPr>
        <w:spacing w:after="240" w:line="360" w:lineRule="auto"/>
        <w:contextualSpacing/>
        <w:jc w:val="both"/>
        <w:rPr>
          <w:rFonts w:ascii="FrankRuehl" w:hAnsi="FrankRuehl" w:cs="FrankRuehl"/>
          <w:sz w:val="24"/>
          <w:szCs w:val="24"/>
          <w:rtl/>
        </w:rPr>
      </w:pPr>
    </w:p>
    <w:p w:rsidR="003C4E29" w:rsidRDefault="003C4E29" w:rsidP="00155686">
      <w:pPr>
        <w:spacing w:after="240" w:line="360" w:lineRule="auto"/>
        <w:contextualSpacing/>
        <w:jc w:val="both"/>
        <w:rPr>
          <w:rFonts w:ascii="FrankRuehl" w:hAnsi="FrankRuehl" w:cs="FrankRuehl"/>
          <w:sz w:val="24"/>
          <w:szCs w:val="24"/>
          <w:rtl/>
        </w:rPr>
      </w:pPr>
      <w:r>
        <w:rPr>
          <w:rFonts w:ascii="FrankRuehl" w:hAnsi="FrankRuehl" w:cs="FrankRuehl" w:hint="cs"/>
          <w:sz w:val="24"/>
          <w:szCs w:val="24"/>
          <w:rtl/>
        </w:rPr>
        <w:t>בהתבסס על כל האמור, מגישה הוועדה היום דין וחשבון המסכם את תוצאות חקירתה</w:t>
      </w:r>
      <w:r w:rsidR="001A61D9">
        <w:rPr>
          <w:rFonts w:ascii="FrankRuehl" w:hAnsi="FrankRuehl" w:cs="FrankRuehl" w:hint="cs"/>
          <w:sz w:val="24"/>
          <w:szCs w:val="24"/>
          <w:rtl/>
        </w:rPr>
        <w:t>, מסקנותיה</w:t>
      </w:r>
      <w:r>
        <w:rPr>
          <w:rFonts w:ascii="FrankRuehl" w:hAnsi="FrankRuehl" w:cs="FrankRuehl" w:hint="cs"/>
          <w:sz w:val="24"/>
          <w:szCs w:val="24"/>
          <w:rtl/>
        </w:rPr>
        <w:t xml:space="preserve"> והמלצותיה.</w:t>
      </w:r>
    </w:p>
    <w:p w:rsidR="0080457B" w:rsidRPr="00EE25E3" w:rsidRDefault="003C4E29" w:rsidP="003C4E29">
      <w:pPr>
        <w:spacing w:after="120" w:line="360" w:lineRule="auto"/>
        <w:contextualSpacing/>
        <w:jc w:val="both"/>
        <w:rPr>
          <w:rFonts w:ascii="FrankRuehl" w:hAnsi="FrankRuehl" w:cs="FrankRuehl"/>
          <w:sz w:val="24"/>
          <w:szCs w:val="24"/>
          <w:rtl/>
        </w:rPr>
      </w:pPr>
      <w:r w:rsidRPr="00EE25E3">
        <w:rPr>
          <w:rFonts w:ascii="FrankRuehl" w:hAnsi="FrankRuehl" w:cs="FrankRuehl"/>
          <w:sz w:val="24"/>
          <w:szCs w:val="24"/>
          <w:rtl/>
        </w:rPr>
        <w:t xml:space="preserve">את המסקנה המצערת מציגה הוועדה כבר בפתח הדברים: </w:t>
      </w:r>
    </w:p>
    <w:p w:rsidR="0080457B" w:rsidRDefault="0080457B" w:rsidP="003C4E29">
      <w:pPr>
        <w:spacing w:after="120" w:line="360" w:lineRule="auto"/>
        <w:contextualSpacing/>
        <w:jc w:val="both"/>
        <w:rPr>
          <w:rFonts w:ascii="FrankRuehl" w:hAnsi="FrankRuehl" w:cs="FrankRuehl"/>
          <w:b/>
          <w:bCs/>
          <w:sz w:val="24"/>
          <w:szCs w:val="24"/>
          <w:rtl/>
        </w:rPr>
      </w:pPr>
      <w:r>
        <w:rPr>
          <w:rFonts w:ascii="FrankRuehl" w:hAnsi="FrankRuehl" w:cs="FrankRuehl" w:hint="cs"/>
          <w:b/>
          <w:bCs/>
          <w:sz w:val="24"/>
          <w:szCs w:val="24"/>
          <w:rtl/>
        </w:rPr>
        <w:t>"</w:t>
      </w:r>
      <w:r w:rsidR="003C4E29" w:rsidRPr="003A2C84">
        <w:rPr>
          <w:rFonts w:ascii="FrankRuehl" w:hAnsi="FrankRuehl" w:cs="FrankRuehl"/>
          <w:b/>
          <w:bCs/>
          <w:sz w:val="24"/>
          <w:szCs w:val="24"/>
          <w:rtl/>
        </w:rPr>
        <w:t>את אסון מירון ניתן וצריך היה למנוע. הכתובת הייתה על הקיר הרבה קודם לקרות האסון, כתובה באותיות קידוש לבנה, בצורה חדה וברורה, אך נותרה שם בלא מענה.</w:t>
      </w:r>
      <w:r w:rsidR="001A61D9">
        <w:rPr>
          <w:rFonts w:ascii="FrankRuehl" w:hAnsi="FrankRuehl" w:cs="FrankRuehl" w:hint="cs"/>
          <w:b/>
          <w:bCs/>
          <w:sz w:val="24"/>
          <w:szCs w:val="24"/>
          <w:rtl/>
        </w:rPr>
        <w:t>..</w:t>
      </w:r>
      <w:r w:rsidR="003C4E29" w:rsidRPr="003A2C84">
        <w:rPr>
          <w:rFonts w:ascii="FrankRuehl" w:hAnsi="FrankRuehl" w:cs="FrankRuehl"/>
          <w:b/>
          <w:bCs/>
          <w:sz w:val="24"/>
          <w:szCs w:val="24"/>
          <w:rtl/>
        </w:rPr>
        <w:t xml:space="preserve"> רבים מהממצאים שיפורטו בהמשך הדוח היו גלויים וידועים לכול. גם התוצאה הקשה שהם עלולים להוביל אליה הייתה ידועה. כמו בטרגדיה יוונית, הסוף היה ידוע מראש. לא היה ידוע מתי זה יקרה, במשמרת של מי, או באיזה חלק באתר. לא ניתן היה לדעת איזה מחיר ייגבה, כמה חוגגים ישלמו בנפשם ובבריאותם, כמה משפחות ייוותרו שבורות. אך ברור היה שהאסון בוא יבוא</w:t>
      </w:r>
      <w:r>
        <w:rPr>
          <w:rFonts w:ascii="FrankRuehl" w:hAnsi="FrankRuehl" w:cs="FrankRuehl" w:hint="cs"/>
          <w:b/>
          <w:bCs/>
          <w:sz w:val="24"/>
          <w:szCs w:val="24"/>
          <w:rtl/>
        </w:rPr>
        <w:t>"</w:t>
      </w:r>
      <w:r w:rsidR="003C4E29" w:rsidRPr="003A2C84">
        <w:rPr>
          <w:rFonts w:ascii="FrankRuehl" w:hAnsi="FrankRuehl" w:cs="FrankRuehl"/>
          <w:b/>
          <w:bCs/>
          <w:sz w:val="24"/>
          <w:szCs w:val="24"/>
          <w:rtl/>
        </w:rPr>
        <w:t>.</w:t>
      </w:r>
    </w:p>
    <w:p w:rsidR="003C4E29" w:rsidRPr="003A2C84" w:rsidRDefault="003C4E29" w:rsidP="003C4E29">
      <w:pPr>
        <w:spacing w:after="120" w:line="360" w:lineRule="auto"/>
        <w:contextualSpacing/>
        <w:jc w:val="both"/>
        <w:rPr>
          <w:rFonts w:ascii="FrankRuehl" w:hAnsi="FrankRuehl" w:cs="FrankRuehl"/>
          <w:sz w:val="24"/>
          <w:szCs w:val="24"/>
          <w:rtl/>
        </w:rPr>
      </w:pPr>
      <w:r w:rsidRPr="003A2C84">
        <w:rPr>
          <w:rFonts w:ascii="FrankRuehl" w:hAnsi="FrankRuehl" w:cs="FrankRuehl"/>
          <w:b/>
          <w:bCs/>
          <w:sz w:val="24"/>
          <w:szCs w:val="24"/>
          <w:rtl/>
        </w:rPr>
        <w:lastRenderedPageBreak/>
        <w:t xml:space="preserve"> </w:t>
      </w:r>
    </w:p>
    <w:p w:rsidR="003C4E29" w:rsidRDefault="003C4E29" w:rsidP="003C4E29">
      <w:pPr>
        <w:spacing w:after="120" w:line="360" w:lineRule="auto"/>
        <w:contextualSpacing/>
        <w:jc w:val="both"/>
        <w:rPr>
          <w:rFonts w:ascii="FrankRuehl" w:hAnsi="FrankRuehl" w:cs="FrankRuehl"/>
          <w:sz w:val="24"/>
          <w:szCs w:val="24"/>
          <w:rtl/>
        </w:rPr>
      </w:pPr>
      <w:r w:rsidRPr="003A2C84">
        <w:rPr>
          <w:rFonts w:ascii="FrankRuehl" w:hAnsi="FrankRuehl" w:cs="FrankRuehl"/>
          <w:sz w:val="24"/>
          <w:szCs w:val="24"/>
          <w:rtl/>
        </w:rPr>
        <w:t xml:space="preserve">הדבר עלה שוב ושוב בחומרים ובעדויות: שנה אחר שנה חששו הגורמים המעורבים לקראת האירוע. שנה אחר שנה הם סיימו אותו באנחת רווחה, בתחושה שרק בנס לא נגרמו אבדות בנפש. כל שנה </w:t>
      </w:r>
      <w:r>
        <w:rPr>
          <w:rFonts w:ascii="FrankRuehl" w:hAnsi="FrankRuehl" w:cs="FrankRuehl" w:hint="cs"/>
          <w:sz w:val="24"/>
          <w:szCs w:val="24"/>
          <w:rtl/>
        </w:rPr>
        <w:t>טמנה בחובה</w:t>
      </w:r>
      <w:r w:rsidRPr="003A2C84">
        <w:rPr>
          <w:rFonts w:ascii="FrankRuehl" w:hAnsi="FrankRuehl" w:cs="FrankRuehl"/>
          <w:sz w:val="24"/>
          <w:szCs w:val="24"/>
          <w:rtl/>
        </w:rPr>
        <w:t xml:space="preserve"> הזדמנות לתיקון, ובכל שנה מחדש ההזדמנות לא נוצלה</w:t>
      </w:r>
      <w:r>
        <w:rPr>
          <w:rFonts w:ascii="FrankRuehl" w:hAnsi="FrankRuehl" w:cs="FrankRuehl" w:hint="cs"/>
          <w:sz w:val="24"/>
          <w:szCs w:val="24"/>
          <w:rtl/>
        </w:rPr>
        <w:t>.</w:t>
      </w:r>
    </w:p>
    <w:p w:rsidR="001A61D9" w:rsidRPr="003A2C84" w:rsidRDefault="001A61D9" w:rsidP="003C4E29">
      <w:pPr>
        <w:spacing w:after="120" w:line="360" w:lineRule="auto"/>
        <w:contextualSpacing/>
        <w:jc w:val="both"/>
        <w:rPr>
          <w:rFonts w:ascii="FrankRuehl" w:hAnsi="FrankRuehl" w:cs="FrankRuehl"/>
          <w:sz w:val="24"/>
          <w:szCs w:val="24"/>
          <w:rtl/>
        </w:rPr>
      </w:pPr>
    </w:p>
    <w:p w:rsidR="003C4E29" w:rsidRDefault="003C4E29" w:rsidP="009A6E33">
      <w:pPr>
        <w:spacing w:after="120" w:line="360" w:lineRule="auto"/>
        <w:contextualSpacing/>
        <w:jc w:val="both"/>
        <w:rPr>
          <w:rFonts w:ascii="FrankRuehl" w:hAnsi="FrankRuehl" w:cs="FrankRuehl"/>
          <w:sz w:val="24"/>
          <w:szCs w:val="24"/>
          <w:rtl/>
        </w:rPr>
      </w:pPr>
      <w:r w:rsidRPr="003A2C84">
        <w:rPr>
          <w:rFonts w:ascii="FrankRuehl" w:hAnsi="FrankRuehl" w:cs="FrankRuehl"/>
          <w:sz w:val="24"/>
          <w:szCs w:val="24"/>
          <w:rtl/>
        </w:rPr>
        <w:t>הוועדה חילקה את הגורמים לאסון לשלוש קבוצות</w:t>
      </w:r>
      <w:r w:rsidR="009A6E33">
        <w:rPr>
          <w:rFonts w:ascii="FrankRuehl" w:hAnsi="FrankRuehl" w:cs="FrankRuehl" w:hint="cs"/>
          <w:sz w:val="24"/>
          <w:szCs w:val="24"/>
          <w:rtl/>
        </w:rPr>
        <w:t>:</w:t>
      </w:r>
      <w:r w:rsidR="00155686">
        <w:rPr>
          <w:rFonts w:ascii="FrankRuehl" w:hAnsi="FrankRuehl" w:cs="FrankRuehl" w:hint="cs"/>
          <w:sz w:val="24"/>
          <w:szCs w:val="24"/>
          <w:rtl/>
        </w:rPr>
        <w:t xml:space="preserve">  </w:t>
      </w:r>
    </w:p>
    <w:p w:rsidR="001A61D9" w:rsidRPr="003A2C84" w:rsidRDefault="001A61D9" w:rsidP="003C4E29">
      <w:pPr>
        <w:spacing w:after="120" w:line="360" w:lineRule="auto"/>
        <w:contextualSpacing/>
        <w:jc w:val="both"/>
        <w:rPr>
          <w:rFonts w:ascii="FrankRuehl" w:hAnsi="FrankRuehl" w:cs="FrankRuehl"/>
          <w:sz w:val="24"/>
          <w:szCs w:val="24"/>
          <w:rtl/>
        </w:rPr>
      </w:pPr>
    </w:p>
    <w:p w:rsidR="003C4E29" w:rsidRPr="00184D9E" w:rsidRDefault="003C4E29" w:rsidP="001A61D9">
      <w:pPr>
        <w:spacing w:after="120" w:line="360" w:lineRule="auto"/>
        <w:jc w:val="both"/>
        <w:rPr>
          <w:rFonts w:ascii="FrankRuehl" w:hAnsi="FrankRuehl" w:cs="FrankRuehl"/>
          <w:sz w:val="24"/>
          <w:szCs w:val="24"/>
          <w:rtl/>
        </w:rPr>
      </w:pPr>
      <w:r w:rsidRPr="00184D9E">
        <w:rPr>
          <w:rFonts w:ascii="FrankRuehl" w:hAnsi="FrankRuehl" w:cs="FrankRuehl"/>
          <w:b/>
          <w:bCs/>
          <w:sz w:val="24"/>
          <w:szCs w:val="24"/>
          <w:rtl/>
        </w:rPr>
        <w:t>הגורם הישיר לאסון</w:t>
      </w:r>
      <w:r w:rsidRPr="00184D9E">
        <w:rPr>
          <w:rFonts w:ascii="FrankRuehl" w:hAnsi="FrankRuehl" w:cs="FrankRuehl"/>
          <w:sz w:val="24"/>
          <w:szCs w:val="24"/>
          <w:rtl/>
        </w:rPr>
        <w:t xml:space="preserve"> הוא מה שמכונה בספרות המקצועית "תדחוקת קהל". בעת ההדלקה ברחבת "תולדות אהרון", אחת משתי ההדלקות הגדולות המתרחשות במהלך ההילולה, נוצרה במעבר גשר דב</w:t>
      </w:r>
      <w:r w:rsidR="001A61D9">
        <w:rPr>
          <w:rFonts w:ascii="FrankRuehl" w:hAnsi="FrankRuehl" w:cs="FrankRuehl" w:hint="cs"/>
          <w:sz w:val="24"/>
          <w:szCs w:val="24"/>
          <w:rtl/>
        </w:rPr>
        <w:t>,</w:t>
      </w:r>
      <w:r w:rsidRPr="00184D9E">
        <w:rPr>
          <w:rFonts w:ascii="FrankRuehl" w:hAnsi="FrankRuehl" w:cs="FrankRuehl"/>
          <w:sz w:val="24"/>
          <w:szCs w:val="24"/>
          <w:rtl/>
        </w:rPr>
        <w:t xml:space="preserve"> אשר שימש יציא</w:t>
      </w:r>
      <w:r w:rsidR="00111CCA">
        <w:rPr>
          <w:rFonts w:ascii="FrankRuehl" w:hAnsi="FrankRuehl" w:cs="FrankRuehl" w:hint="cs"/>
          <w:sz w:val="24"/>
          <w:szCs w:val="24"/>
          <w:rtl/>
        </w:rPr>
        <w:t>ה ממנה,</w:t>
      </w:r>
      <w:r w:rsidR="001A61D9">
        <w:rPr>
          <w:rFonts w:ascii="FrankRuehl" w:hAnsi="FrankRuehl" w:cs="FrankRuehl" w:hint="cs"/>
          <w:sz w:val="24"/>
          <w:szCs w:val="24"/>
          <w:rtl/>
        </w:rPr>
        <w:t>,</w:t>
      </w:r>
      <w:r w:rsidR="001A61D9" w:rsidRPr="00184D9E">
        <w:rPr>
          <w:rFonts w:ascii="FrankRuehl" w:hAnsi="FrankRuehl" w:cs="FrankRuehl"/>
          <w:sz w:val="24"/>
          <w:szCs w:val="24"/>
          <w:rtl/>
        </w:rPr>
        <w:t xml:space="preserve"> </w:t>
      </w:r>
      <w:r w:rsidRPr="00184D9E">
        <w:rPr>
          <w:rFonts w:ascii="FrankRuehl" w:hAnsi="FrankRuehl" w:cs="FrankRuehl"/>
          <w:sz w:val="24"/>
          <w:szCs w:val="24"/>
          <w:rtl/>
        </w:rPr>
        <w:t xml:space="preserve">צפיפות קהל קיצונית. תנועת הקהל בו הואטה עד כדי עצירה מוחלטת, בעוד קהל המשיך לנסות ולצאת ממתחם ההדלקה דרך אותו מעבר. התוצאה הקשה הייתה לחץ פיזי עצום שנוצר על הקהל במעבר, שהביא לחנק ומוות של ארבעים וחמישה אנשים. </w:t>
      </w:r>
    </w:p>
    <w:p w:rsidR="003C4E29" w:rsidRPr="00184D9E" w:rsidRDefault="003C4E29" w:rsidP="001A61D9">
      <w:pPr>
        <w:spacing w:after="120" w:line="360" w:lineRule="auto"/>
        <w:jc w:val="both"/>
        <w:rPr>
          <w:rFonts w:ascii="FrankRuehl" w:hAnsi="FrankRuehl" w:cs="FrankRuehl"/>
          <w:sz w:val="24"/>
          <w:szCs w:val="24"/>
          <w:rtl/>
        </w:rPr>
      </w:pPr>
      <w:r w:rsidRPr="00184D9E">
        <w:rPr>
          <w:rFonts w:ascii="FrankRuehl" w:hAnsi="FrankRuehl" w:cs="FrankRuehl"/>
          <w:b/>
          <w:bCs/>
          <w:sz w:val="24"/>
          <w:szCs w:val="24"/>
          <w:rtl/>
        </w:rPr>
        <w:t xml:space="preserve">גורמי השורש </w:t>
      </w:r>
      <w:r w:rsidRPr="00184D9E">
        <w:rPr>
          <w:rFonts w:ascii="FrankRuehl" w:hAnsi="FrankRuehl" w:cs="FrankRuehl"/>
          <w:sz w:val="24"/>
          <w:szCs w:val="24"/>
          <w:rtl/>
        </w:rPr>
        <w:t xml:space="preserve">שזיהתה הוועדה קשורים לניהול האתר ולניהול האירוע. ההילולה התקיימה מדי שנה בתנאי צפיפות קהל חריגים ותוך התעלמות מוחלטת מתוכניות הבטיחות לאירוע. זאת לצד כשלים שנתגלו בפעולת גורמים הקשורים לניהול האירוע, בשטח עמוס </w:t>
      </w:r>
      <w:r w:rsidRPr="00184D9E">
        <w:rPr>
          <w:rFonts w:ascii="FrankRuehl" w:hAnsi="FrankRuehl" w:cs="FrankRuehl" w:hint="cs"/>
          <w:sz w:val="24"/>
          <w:szCs w:val="24"/>
          <w:rtl/>
        </w:rPr>
        <w:t>ב</w:t>
      </w:r>
      <w:r w:rsidRPr="00184D9E">
        <w:rPr>
          <w:rFonts w:ascii="FrankRuehl" w:hAnsi="FrankRuehl" w:cs="FrankRuehl"/>
          <w:sz w:val="24"/>
          <w:szCs w:val="24"/>
          <w:rtl/>
        </w:rPr>
        <w:t>מפגעי</w:t>
      </w:r>
      <w:r w:rsidRPr="00184D9E">
        <w:rPr>
          <w:rFonts w:ascii="FrankRuehl" w:hAnsi="FrankRuehl" w:cs="FrankRuehl" w:hint="cs"/>
          <w:sz w:val="24"/>
          <w:szCs w:val="24"/>
          <w:rtl/>
        </w:rPr>
        <w:t xml:space="preserve"> בטיחות</w:t>
      </w:r>
      <w:r w:rsidRPr="00184D9E">
        <w:rPr>
          <w:rFonts w:ascii="FrankRuehl" w:hAnsi="FrankRuehl" w:cs="FrankRuehl"/>
          <w:sz w:val="24"/>
          <w:szCs w:val="24"/>
          <w:rtl/>
        </w:rPr>
        <w:t xml:space="preserve"> ו</w:t>
      </w:r>
      <w:r w:rsidRPr="00184D9E">
        <w:rPr>
          <w:rFonts w:ascii="FrankRuehl" w:hAnsi="FrankRuehl" w:cs="FrankRuehl" w:hint="cs"/>
          <w:sz w:val="24"/>
          <w:szCs w:val="24"/>
          <w:rtl/>
        </w:rPr>
        <w:t>ב</w:t>
      </w:r>
      <w:r w:rsidRPr="00184D9E">
        <w:rPr>
          <w:rFonts w:ascii="FrankRuehl" w:hAnsi="FrankRuehl" w:cs="FrankRuehl"/>
          <w:sz w:val="24"/>
          <w:szCs w:val="24"/>
          <w:rtl/>
        </w:rPr>
        <w:t xml:space="preserve">בנייה בלתי חוקית. </w:t>
      </w:r>
    </w:p>
    <w:p w:rsidR="003C4E29" w:rsidRPr="00184D9E" w:rsidRDefault="003C4E29" w:rsidP="00EE25E3">
      <w:pPr>
        <w:spacing w:after="120" w:line="360" w:lineRule="auto"/>
        <w:jc w:val="both"/>
        <w:rPr>
          <w:rFonts w:ascii="FrankRuehl" w:hAnsi="FrankRuehl" w:cs="FrankRuehl"/>
          <w:sz w:val="24"/>
          <w:szCs w:val="24"/>
        </w:rPr>
      </w:pPr>
      <w:r w:rsidRPr="00184D9E">
        <w:rPr>
          <w:rFonts w:ascii="FrankRuehl" w:hAnsi="FrankRuehl" w:cs="FrankRuehl"/>
          <w:sz w:val="24"/>
          <w:szCs w:val="24"/>
          <w:rtl/>
        </w:rPr>
        <w:t xml:space="preserve">בקבוצה השלישית מונה הוועדה את </w:t>
      </w:r>
      <w:r w:rsidRPr="00184D9E">
        <w:rPr>
          <w:rFonts w:ascii="FrankRuehl" w:hAnsi="FrankRuehl" w:cs="FrankRuehl"/>
          <w:b/>
          <w:bCs/>
          <w:sz w:val="24"/>
          <w:szCs w:val="24"/>
          <w:rtl/>
        </w:rPr>
        <w:t>הגורמים התורמים</w:t>
      </w:r>
      <w:r w:rsidRPr="00184D9E">
        <w:rPr>
          <w:rFonts w:ascii="FrankRuehl" w:hAnsi="FrankRuehl" w:cs="FrankRuehl"/>
          <w:sz w:val="24"/>
          <w:szCs w:val="24"/>
          <w:rtl/>
        </w:rPr>
        <w:t>, אלו אשר התגלו לה ב"מבט על" במהלך עבודתה. בהיבט זה, האסון הוא תולדה עקיפה של תופעות מערכתיות ושורשיות</w:t>
      </w:r>
      <w:r w:rsidR="001A61D9">
        <w:rPr>
          <w:rFonts w:ascii="FrankRuehl" w:hAnsi="FrankRuehl" w:cs="FrankRuehl" w:hint="cs"/>
          <w:sz w:val="24"/>
          <w:szCs w:val="24"/>
          <w:rtl/>
        </w:rPr>
        <w:t>:</w:t>
      </w:r>
      <w:r w:rsidRPr="00184D9E">
        <w:rPr>
          <w:rFonts w:ascii="FrankRuehl" w:hAnsi="FrankRuehl" w:cs="FrankRuehl"/>
          <w:sz w:val="24"/>
          <w:szCs w:val="24"/>
          <w:rtl/>
        </w:rPr>
        <w:t xml:space="preserve"> </w:t>
      </w:r>
    </w:p>
    <w:p w:rsidR="003C4E29" w:rsidRPr="003A2C84" w:rsidRDefault="003C4E29" w:rsidP="003C4E29">
      <w:pPr>
        <w:pStyle w:val="a3"/>
        <w:numPr>
          <w:ilvl w:val="0"/>
          <w:numId w:val="1"/>
        </w:numPr>
        <w:spacing w:after="120" w:line="360" w:lineRule="auto"/>
        <w:jc w:val="both"/>
        <w:rPr>
          <w:rFonts w:ascii="FrankRuehl" w:hAnsi="FrankRuehl" w:cs="FrankRuehl"/>
          <w:sz w:val="24"/>
          <w:szCs w:val="24"/>
        </w:rPr>
      </w:pPr>
      <w:r w:rsidRPr="003A2C84">
        <w:rPr>
          <w:rFonts w:ascii="FrankRuehl" w:hAnsi="FrankRuehl" w:cs="FrankRuehl"/>
          <w:b/>
          <w:bCs/>
          <w:sz w:val="24"/>
          <w:szCs w:val="24"/>
          <w:rtl/>
        </w:rPr>
        <w:t>ריבוי אינטרסים ומעורבות פוליטית, אשר השפיעו לרעה על ניהול האתר</w:t>
      </w:r>
    </w:p>
    <w:p w:rsidR="003C4E29" w:rsidRPr="003A2C84" w:rsidRDefault="003C4E29" w:rsidP="003C4E29">
      <w:pPr>
        <w:pStyle w:val="a3"/>
        <w:spacing w:after="120" w:line="360" w:lineRule="auto"/>
        <w:ind w:left="360"/>
        <w:jc w:val="both"/>
        <w:rPr>
          <w:rFonts w:ascii="FrankRuehl" w:hAnsi="FrankRuehl" w:cs="FrankRuehl"/>
          <w:sz w:val="24"/>
          <w:szCs w:val="24"/>
        </w:rPr>
      </w:pPr>
      <w:r w:rsidRPr="003A2C84">
        <w:rPr>
          <w:rFonts w:ascii="FrankRuehl" w:hAnsi="FrankRuehl" w:cs="FrankRuehl"/>
          <w:sz w:val="24"/>
          <w:szCs w:val="24"/>
          <w:rtl/>
        </w:rPr>
        <w:t>הוועדה התרשמה כי לחצים פוליטיים השפיעו לרעה על הליך קבלת ההחלטות הנוגעות לניהול האתר ועל טיבן, ומנעו ניסיונות לשפר את מצבו. הם השפיעו על נושאים שונים: אי אכיפת דיני התכנון</w:t>
      </w:r>
      <w:r>
        <w:rPr>
          <w:rFonts w:ascii="FrankRuehl" w:hAnsi="FrankRuehl" w:cs="FrankRuehl"/>
          <w:sz w:val="24"/>
          <w:szCs w:val="24"/>
          <w:rtl/>
        </w:rPr>
        <w:t xml:space="preserve"> והבנייה במקום, העיכוב בגיבוש ת</w:t>
      </w:r>
      <w:r w:rsidRPr="003A2C84">
        <w:rPr>
          <w:rFonts w:ascii="FrankRuehl" w:hAnsi="FrankRuehl" w:cs="FrankRuehl"/>
          <w:sz w:val="24"/>
          <w:szCs w:val="24"/>
          <w:rtl/>
        </w:rPr>
        <w:t xml:space="preserve">כנית בניין עיר לאזור, העדר הכרעה ברורה בעניין הגורמים האחראים לאתר קבר הרשב"י, כיצד התנהל אירוע ההילולה, ונושאים רבים נוספים. </w:t>
      </w:r>
    </w:p>
    <w:p w:rsidR="003C4E29" w:rsidRDefault="003C4E29" w:rsidP="001A61D9">
      <w:pPr>
        <w:pStyle w:val="a3"/>
        <w:numPr>
          <w:ilvl w:val="0"/>
          <w:numId w:val="1"/>
        </w:numPr>
        <w:spacing w:after="120" w:line="360" w:lineRule="auto"/>
        <w:ind w:left="357" w:hanging="357"/>
        <w:jc w:val="both"/>
        <w:rPr>
          <w:rFonts w:ascii="FrankRuehl" w:hAnsi="FrankRuehl" w:cs="FrankRuehl"/>
          <w:sz w:val="24"/>
          <w:szCs w:val="24"/>
        </w:rPr>
      </w:pPr>
      <w:r>
        <w:rPr>
          <w:rFonts w:ascii="FrankRuehl" w:hAnsi="FrankRuehl" w:cs="FrankRuehl"/>
          <w:b/>
          <w:bCs/>
          <w:sz w:val="24"/>
          <w:szCs w:val="24"/>
          <w:rtl/>
        </w:rPr>
        <w:t>הימנעות מקבלת החלטות, דחיי</w:t>
      </w:r>
      <w:r>
        <w:rPr>
          <w:rFonts w:ascii="FrankRuehl" w:hAnsi="FrankRuehl" w:cs="FrankRuehl" w:hint="cs"/>
          <w:b/>
          <w:bCs/>
          <w:sz w:val="24"/>
          <w:szCs w:val="24"/>
          <w:rtl/>
        </w:rPr>
        <w:t>ה של מועד</w:t>
      </w:r>
      <w:r w:rsidRPr="00463B4B">
        <w:rPr>
          <w:rFonts w:ascii="FrankRuehl" w:hAnsi="FrankRuehl" w:cs="FrankRuehl"/>
          <w:b/>
          <w:bCs/>
          <w:sz w:val="24"/>
          <w:szCs w:val="24"/>
          <w:rtl/>
        </w:rPr>
        <w:t xml:space="preserve"> קבלת</w:t>
      </w:r>
      <w:r>
        <w:rPr>
          <w:rFonts w:ascii="FrankRuehl" w:hAnsi="FrankRuehl" w:cs="FrankRuehl" w:hint="cs"/>
          <w:b/>
          <w:bCs/>
          <w:sz w:val="24"/>
          <w:szCs w:val="24"/>
          <w:rtl/>
        </w:rPr>
        <w:t xml:space="preserve">ן, </w:t>
      </w:r>
      <w:r w:rsidRPr="00463B4B">
        <w:rPr>
          <w:rFonts w:ascii="FrankRuehl" w:hAnsi="FrankRuehl" w:cs="FrankRuehl"/>
          <w:b/>
          <w:bCs/>
          <w:sz w:val="24"/>
          <w:szCs w:val="24"/>
          <w:rtl/>
        </w:rPr>
        <w:t xml:space="preserve">וניסוח החלטות בעמימות </w:t>
      </w:r>
      <w:r>
        <w:rPr>
          <w:rFonts w:ascii="FrankRuehl" w:hAnsi="FrankRuehl" w:cs="FrankRuehl" w:hint="cs"/>
          <w:b/>
          <w:bCs/>
          <w:sz w:val="24"/>
          <w:szCs w:val="24"/>
          <w:rtl/>
        </w:rPr>
        <w:t>באופן שלא פותר את הבעיה או המחלוקת</w:t>
      </w:r>
    </w:p>
    <w:p w:rsidR="003C4E29" w:rsidRPr="00463B4B" w:rsidRDefault="003C4E29" w:rsidP="00297442">
      <w:pPr>
        <w:pStyle w:val="a3"/>
        <w:spacing w:after="120" w:line="360" w:lineRule="auto"/>
        <w:ind w:left="357"/>
        <w:jc w:val="both"/>
        <w:rPr>
          <w:rFonts w:ascii="FrankRuehl" w:hAnsi="FrankRuehl" w:cs="FrankRuehl"/>
          <w:sz w:val="24"/>
          <w:szCs w:val="24"/>
          <w:rtl/>
        </w:rPr>
      </w:pPr>
      <w:r w:rsidRPr="00463B4B">
        <w:rPr>
          <w:rFonts w:ascii="FrankRuehl" w:hAnsi="FrankRuehl" w:cs="FrankRuehl"/>
          <w:sz w:val="24"/>
          <w:szCs w:val="24"/>
          <w:rtl/>
        </w:rPr>
        <w:t xml:space="preserve">גורמים רבים עסקו באתר, אך חלוקת הסמכויות העמומה ביניהם הייתה כר למחלוקות רבות והובילה לשיתוק ולהזנחת המקום בפועל. דוגמאות לכך הן החלטות הממשלה אשר דנו שוב ושוב בטיפול באתר אך לא פתרו בפועל את המחלוקות סביב זהות הגורמים האחראים, או סוגיית מינוי מפיק לאירוע אשר עמדה במרכז מחלוקת מתמשכת בין משטרת ישראל לבין המרכז </w:t>
      </w:r>
      <w:r w:rsidR="001A61D9">
        <w:rPr>
          <w:rFonts w:ascii="FrankRuehl" w:hAnsi="FrankRuehl" w:cs="FrankRuehl" w:hint="cs"/>
          <w:sz w:val="24"/>
          <w:szCs w:val="24"/>
          <w:rtl/>
        </w:rPr>
        <w:t xml:space="preserve">הארצי </w:t>
      </w:r>
      <w:r w:rsidRPr="00463B4B">
        <w:rPr>
          <w:rFonts w:ascii="FrankRuehl" w:hAnsi="FrankRuehl" w:cs="FrankRuehl"/>
          <w:sz w:val="24"/>
          <w:szCs w:val="24"/>
          <w:rtl/>
        </w:rPr>
        <w:t xml:space="preserve">לפיתוח המקומות הקדושים, והיעדר הכרעה בה הביא לכך שהאירוע נותר בלי גורם </w:t>
      </w:r>
      <w:r w:rsidR="00297442">
        <w:rPr>
          <w:rFonts w:ascii="FrankRuehl" w:hAnsi="FrankRuehl" w:cs="FrankRuehl" w:hint="cs"/>
          <w:sz w:val="24"/>
          <w:szCs w:val="24"/>
          <w:rtl/>
        </w:rPr>
        <w:t>אחד ה</w:t>
      </w:r>
      <w:r w:rsidRPr="00463B4B">
        <w:rPr>
          <w:rFonts w:ascii="FrankRuehl" w:hAnsi="FrankRuehl" w:cs="FrankRuehl"/>
          <w:sz w:val="24"/>
          <w:szCs w:val="24"/>
          <w:rtl/>
        </w:rPr>
        <w:t xml:space="preserve">נושא באחריות. </w:t>
      </w:r>
    </w:p>
    <w:p w:rsidR="003C4E29" w:rsidRPr="003A2C84" w:rsidRDefault="003C4E29" w:rsidP="00111CCA">
      <w:pPr>
        <w:pStyle w:val="a3"/>
        <w:spacing w:after="120" w:line="360" w:lineRule="auto"/>
        <w:ind w:left="357"/>
        <w:jc w:val="both"/>
        <w:rPr>
          <w:rFonts w:ascii="FrankRuehl" w:hAnsi="FrankRuehl" w:cs="FrankRuehl"/>
          <w:sz w:val="24"/>
          <w:szCs w:val="24"/>
          <w:rtl/>
        </w:rPr>
      </w:pPr>
      <w:r w:rsidRPr="003A2C84">
        <w:rPr>
          <w:rFonts w:ascii="FrankRuehl" w:hAnsi="FrankRuehl" w:cs="FrankRuehl"/>
          <w:sz w:val="24"/>
          <w:szCs w:val="24"/>
          <w:rtl/>
        </w:rPr>
        <w:t>גם בנושאים פרטניים יותר נגלתה מציאות של הימנעות מקבלת החלטות, דחייה של מועד קבלת ההחלטות ולבסוף מתן החלטות עמומות. דוגמה בולטת לכך מצ</w:t>
      </w:r>
      <w:r>
        <w:rPr>
          <w:rFonts w:ascii="FrankRuehl" w:hAnsi="FrankRuehl" w:cs="FrankRuehl" w:hint="cs"/>
          <w:sz w:val="24"/>
          <w:szCs w:val="24"/>
          <w:rtl/>
        </w:rPr>
        <w:t xml:space="preserve">אה הוועדה </w:t>
      </w:r>
      <w:r w:rsidRPr="003A2C84">
        <w:rPr>
          <w:rFonts w:ascii="FrankRuehl" w:hAnsi="FrankRuehl" w:cs="FrankRuehl"/>
          <w:sz w:val="24"/>
          <w:szCs w:val="24"/>
          <w:rtl/>
        </w:rPr>
        <w:t>בכל הנוגע לסוגיית קיום ההילולה ב</w:t>
      </w:r>
      <w:r w:rsidR="00111CCA">
        <w:rPr>
          <w:rFonts w:ascii="FrankRuehl" w:hAnsi="FrankRuehl" w:cs="FrankRuehl" w:hint="cs"/>
          <w:sz w:val="24"/>
          <w:szCs w:val="24"/>
          <w:rtl/>
        </w:rPr>
        <w:t xml:space="preserve">שנת </w:t>
      </w:r>
      <w:r w:rsidRPr="003A2C84">
        <w:rPr>
          <w:rFonts w:ascii="FrankRuehl" w:hAnsi="FrankRuehl" w:cs="FrankRuehl"/>
          <w:sz w:val="24"/>
          <w:szCs w:val="24"/>
          <w:rtl/>
        </w:rPr>
        <w:t xml:space="preserve">תשפ"א על רקע </w:t>
      </w:r>
      <w:r w:rsidRPr="0066404D">
        <w:rPr>
          <w:rFonts w:ascii="FrankRuehl" w:hAnsi="FrankRuehl" w:cs="FrankRuehl"/>
          <w:b/>
          <w:bCs/>
          <w:sz w:val="24"/>
          <w:szCs w:val="24"/>
          <w:rtl/>
        </w:rPr>
        <w:t>מגפת הקורונה</w:t>
      </w:r>
      <w:r w:rsidRPr="003A2C84">
        <w:rPr>
          <w:rFonts w:ascii="FrankRuehl" w:hAnsi="FrankRuehl" w:cs="FrankRuehl"/>
          <w:sz w:val="24"/>
          <w:szCs w:val="24"/>
          <w:rtl/>
        </w:rPr>
        <w:t xml:space="preserve">. מספר דיונים התקיימו בנושא, אך רק ערב קודם להילולה, כאשר מובן כבר כי בשלב זה לא ניתן לשנות את התוכניות המבצעיות להילולה, התקיים דיון שרים ובו התקבלה החלטה בעניין. בהמשך לו, נשלח בבוקר ההילולה מתווה בכתב לאירוע אשר גם הוא כלל סתירות פנימיות ולקה </w:t>
      </w:r>
      <w:r w:rsidRPr="003A2C84">
        <w:rPr>
          <w:rFonts w:ascii="FrankRuehl" w:hAnsi="FrankRuehl" w:cs="FrankRuehl"/>
          <w:sz w:val="24"/>
          <w:szCs w:val="24"/>
          <w:rtl/>
        </w:rPr>
        <w:lastRenderedPageBreak/>
        <w:t>בעמימות ובמונחים כוללניים וגמישים, וגם לגביו הודיעה המשטרה בבוקר האירוע כי הוא אינו משקף את ההסכמות.</w:t>
      </w:r>
      <w:r w:rsidR="0080457B">
        <w:rPr>
          <w:rFonts w:ascii="FrankRuehl" w:hAnsi="FrankRuehl" w:cs="FrankRuehl" w:hint="cs"/>
          <w:sz w:val="24"/>
          <w:szCs w:val="24"/>
          <w:rtl/>
        </w:rPr>
        <w:t xml:space="preserve"> ממילא, לא תוקנו תקנות שתואמות את המתווה.</w:t>
      </w:r>
    </w:p>
    <w:p w:rsidR="003C4E29" w:rsidRPr="003A2C84" w:rsidRDefault="003C4E29" w:rsidP="003C4E29">
      <w:pPr>
        <w:pStyle w:val="a3"/>
        <w:numPr>
          <w:ilvl w:val="0"/>
          <w:numId w:val="1"/>
        </w:numPr>
        <w:spacing w:after="120" w:line="360" w:lineRule="auto"/>
        <w:jc w:val="both"/>
        <w:rPr>
          <w:rFonts w:ascii="FrankRuehl" w:hAnsi="FrankRuehl" w:cs="FrankRuehl"/>
          <w:sz w:val="24"/>
          <w:szCs w:val="24"/>
        </w:rPr>
      </w:pPr>
      <w:r w:rsidRPr="003A2C84">
        <w:rPr>
          <w:rFonts w:ascii="FrankRuehl" w:hAnsi="FrankRuehl" w:cs="FrankRuehl"/>
          <w:b/>
          <w:bCs/>
          <w:sz w:val="24"/>
          <w:szCs w:val="24"/>
          <w:rtl/>
        </w:rPr>
        <w:t>היעדר משילות</w:t>
      </w:r>
    </w:p>
    <w:p w:rsidR="003C4E29" w:rsidRPr="003A2C84" w:rsidRDefault="003C4E29" w:rsidP="00155686">
      <w:pPr>
        <w:pStyle w:val="a3"/>
        <w:spacing w:after="120" w:line="360" w:lineRule="auto"/>
        <w:ind w:left="360"/>
        <w:jc w:val="both"/>
        <w:rPr>
          <w:rFonts w:ascii="FrankRuehl" w:hAnsi="FrankRuehl" w:cs="FrankRuehl"/>
          <w:sz w:val="24"/>
          <w:szCs w:val="24"/>
        </w:rPr>
      </w:pPr>
      <w:r w:rsidRPr="003A2C84">
        <w:rPr>
          <w:rFonts w:ascii="FrankRuehl" w:hAnsi="FrankRuehl" w:cs="FrankRuehl"/>
          <w:sz w:val="24"/>
          <w:szCs w:val="24"/>
          <w:rtl/>
        </w:rPr>
        <w:t>בניי</w:t>
      </w:r>
      <w:r>
        <w:rPr>
          <w:rFonts w:ascii="FrankRuehl" w:hAnsi="FrankRuehl" w:cs="FrankRuehl"/>
          <w:sz w:val="24"/>
          <w:szCs w:val="24"/>
          <w:rtl/>
        </w:rPr>
        <w:t xml:space="preserve">ה בלתי חוקית ומסוכנת </w:t>
      </w:r>
      <w:r w:rsidR="00155686">
        <w:rPr>
          <w:rFonts w:ascii="FrankRuehl" w:hAnsi="FrankRuehl" w:cs="FrankRuehl" w:hint="cs"/>
          <w:sz w:val="24"/>
          <w:szCs w:val="24"/>
          <w:rtl/>
        </w:rPr>
        <w:t>נפוצה</w:t>
      </w:r>
      <w:r>
        <w:rPr>
          <w:rFonts w:ascii="FrankRuehl" w:hAnsi="FrankRuehl" w:cs="FrankRuehl"/>
          <w:sz w:val="24"/>
          <w:szCs w:val="24"/>
          <w:rtl/>
        </w:rPr>
        <w:t xml:space="preserve"> במקום</w:t>
      </w:r>
      <w:r>
        <w:rPr>
          <w:rFonts w:ascii="FrankRuehl" w:hAnsi="FrankRuehl" w:cs="FrankRuehl" w:hint="cs"/>
          <w:sz w:val="24"/>
          <w:szCs w:val="24"/>
          <w:rtl/>
        </w:rPr>
        <w:t xml:space="preserve"> כמעט באין מפריע. </w:t>
      </w:r>
      <w:r w:rsidRPr="003A2C84">
        <w:rPr>
          <w:rFonts w:ascii="FrankRuehl" w:hAnsi="FrankRuehl" w:cs="FrankRuehl"/>
          <w:sz w:val="24"/>
          <w:szCs w:val="24"/>
          <w:rtl/>
        </w:rPr>
        <w:t>המועצה האזורית</w:t>
      </w:r>
      <w:r w:rsidR="00155686">
        <w:rPr>
          <w:rFonts w:ascii="FrankRuehl" w:hAnsi="FrankRuehl" w:cs="FrankRuehl" w:hint="cs"/>
          <w:sz w:val="24"/>
          <w:szCs w:val="24"/>
          <w:rtl/>
        </w:rPr>
        <w:t xml:space="preserve"> מרום הגליל </w:t>
      </w:r>
      <w:r w:rsidRPr="003A2C84">
        <w:rPr>
          <w:rFonts w:ascii="FrankRuehl" w:hAnsi="FrankRuehl" w:cs="FrankRuehl"/>
          <w:sz w:val="24"/>
          <w:szCs w:val="24"/>
          <w:rtl/>
        </w:rPr>
        <w:t>והוועדה המקומית לתכנון ובנייה</w:t>
      </w:r>
      <w:r>
        <w:rPr>
          <w:rFonts w:ascii="FrankRuehl" w:hAnsi="FrankRuehl" w:cs="FrankRuehl" w:hint="cs"/>
          <w:sz w:val="24"/>
          <w:szCs w:val="24"/>
          <w:rtl/>
        </w:rPr>
        <w:t xml:space="preserve">, כמו גם </w:t>
      </w:r>
      <w:r w:rsidRPr="003A2C84">
        <w:rPr>
          <w:rFonts w:ascii="FrankRuehl" w:hAnsi="FrankRuehl" w:cs="FrankRuehl"/>
          <w:sz w:val="24"/>
          <w:szCs w:val="24"/>
          <w:rtl/>
        </w:rPr>
        <w:t>גורמים אחרים ברמה הארצית</w:t>
      </w:r>
      <w:r>
        <w:rPr>
          <w:rFonts w:ascii="FrankRuehl" w:hAnsi="FrankRuehl" w:cs="FrankRuehl" w:hint="cs"/>
          <w:sz w:val="24"/>
          <w:szCs w:val="24"/>
          <w:rtl/>
        </w:rPr>
        <w:t>,</w:t>
      </w:r>
      <w:r w:rsidRPr="003A2C84">
        <w:rPr>
          <w:rFonts w:ascii="FrankRuehl" w:hAnsi="FrankRuehl" w:cs="FrankRuehl"/>
          <w:sz w:val="24"/>
          <w:szCs w:val="24"/>
          <w:rtl/>
        </w:rPr>
        <w:t xml:space="preserve"> לא פעלו לאכוף את החוק והסדר במקום, וכך "בימים ההם אין מלך בישראל איש הישר בעיניו יעשה". כפי שהגדיר זאת בפשטות ראש המועצה ה</w:t>
      </w:r>
      <w:r>
        <w:rPr>
          <w:rFonts w:ascii="FrankRuehl" w:hAnsi="FrankRuehl" w:cs="FrankRuehl"/>
          <w:sz w:val="24"/>
          <w:szCs w:val="24"/>
          <w:rtl/>
        </w:rPr>
        <w:t>אזורית מרום הגליל</w:t>
      </w:r>
      <w:r>
        <w:rPr>
          <w:rFonts w:ascii="FrankRuehl" w:hAnsi="FrankRuehl" w:cs="FrankRuehl" w:hint="cs"/>
          <w:sz w:val="24"/>
          <w:szCs w:val="24"/>
          <w:rtl/>
        </w:rPr>
        <w:t xml:space="preserve"> </w:t>
      </w:r>
      <w:r>
        <w:rPr>
          <w:rFonts w:ascii="FrankRuehl" w:hAnsi="FrankRuehl" w:cs="FrankRuehl"/>
          <w:sz w:val="24"/>
          <w:szCs w:val="24"/>
          <w:rtl/>
        </w:rPr>
        <w:t>בעדותו ב</w:t>
      </w:r>
      <w:r w:rsidRPr="003A2C84">
        <w:rPr>
          <w:rFonts w:ascii="FrankRuehl" w:hAnsi="FrankRuehl" w:cs="FrankRuehl"/>
          <w:sz w:val="24"/>
          <w:szCs w:val="24"/>
          <w:rtl/>
        </w:rPr>
        <w:t xml:space="preserve">וועדה: </w:t>
      </w:r>
      <w:r>
        <w:rPr>
          <w:rFonts w:ascii="FrankRuehl" w:hAnsi="FrankRuehl" w:cs="FrankRuehl" w:hint="cs"/>
          <w:sz w:val="24"/>
          <w:szCs w:val="24"/>
          <w:rtl/>
        </w:rPr>
        <w:t>האתר התנהל כ</w:t>
      </w:r>
      <w:r w:rsidRPr="003A2C84">
        <w:rPr>
          <w:rFonts w:ascii="FrankRuehl" w:hAnsi="FrankRuehl" w:cs="FrankRuehl"/>
          <w:sz w:val="24"/>
          <w:szCs w:val="24"/>
          <w:rtl/>
        </w:rPr>
        <w:t xml:space="preserve">"אקס טריטוריה". </w:t>
      </w:r>
    </w:p>
    <w:p w:rsidR="003C4E29" w:rsidRPr="003A2C84" w:rsidRDefault="003C4E29" w:rsidP="003C4E29">
      <w:pPr>
        <w:pStyle w:val="a3"/>
        <w:numPr>
          <w:ilvl w:val="0"/>
          <w:numId w:val="1"/>
        </w:numPr>
        <w:spacing w:after="120" w:line="360" w:lineRule="auto"/>
        <w:jc w:val="both"/>
        <w:rPr>
          <w:rFonts w:ascii="FrankRuehl" w:hAnsi="FrankRuehl" w:cs="FrankRuehl"/>
          <w:sz w:val="24"/>
          <w:szCs w:val="24"/>
        </w:rPr>
      </w:pPr>
      <w:r w:rsidRPr="003A2C84">
        <w:rPr>
          <w:rFonts w:ascii="FrankRuehl" w:hAnsi="FrankRuehl" w:cs="FrankRuehl"/>
          <w:b/>
          <w:bCs/>
          <w:sz w:val="24"/>
          <w:szCs w:val="24"/>
          <w:rtl/>
        </w:rPr>
        <w:t>קיבעון מחשבתי</w:t>
      </w:r>
    </w:p>
    <w:p w:rsidR="003C4E29" w:rsidRPr="003A2C84" w:rsidRDefault="003C4E29" w:rsidP="003C4E29">
      <w:pPr>
        <w:pStyle w:val="a3"/>
        <w:spacing w:after="120" w:line="360" w:lineRule="auto"/>
        <w:ind w:left="360"/>
        <w:jc w:val="both"/>
        <w:rPr>
          <w:rFonts w:ascii="FrankRuehl" w:hAnsi="FrankRuehl" w:cs="FrankRuehl"/>
          <w:sz w:val="24"/>
          <w:szCs w:val="24"/>
        </w:rPr>
      </w:pPr>
      <w:r>
        <w:rPr>
          <w:rFonts w:ascii="FrankRuehl" w:hAnsi="FrankRuehl" w:cs="FrankRuehl" w:hint="cs"/>
          <w:sz w:val="24"/>
          <w:szCs w:val="24"/>
          <w:rtl/>
        </w:rPr>
        <w:t xml:space="preserve">הוועדה זיהתה </w:t>
      </w:r>
      <w:r w:rsidRPr="003A2C84">
        <w:rPr>
          <w:rFonts w:ascii="FrankRuehl" w:hAnsi="FrankRuehl" w:cs="FrankRuehl"/>
          <w:sz w:val="24"/>
          <w:szCs w:val="24"/>
          <w:rtl/>
        </w:rPr>
        <w:t xml:space="preserve">היצמדות שבלונית לתפיסה קיימת שאינה נבחנת מחדש ואינה מאותגרת, גם לא בשינוי נסיבות ותנאים. </w:t>
      </w:r>
    </w:p>
    <w:p w:rsidR="003C4E29" w:rsidRDefault="003C4E29" w:rsidP="00155686">
      <w:pPr>
        <w:pStyle w:val="a3"/>
        <w:spacing w:after="120" w:line="360" w:lineRule="auto"/>
        <w:ind w:left="360"/>
        <w:jc w:val="both"/>
        <w:rPr>
          <w:rFonts w:ascii="FrankRuehl" w:hAnsi="FrankRuehl" w:cs="FrankRuehl"/>
          <w:sz w:val="24"/>
          <w:szCs w:val="24"/>
          <w:rtl/>
        </w:rPr>
      </w:pPr>
      <w:r w:rsidRPr="003A2C84">
        <w:rPr>
          <w:rFonts w:ascii="FrankRuehl" w:hAnsi="FrankRuehl" w:cs="FrankRuehl"/>
          <w:sz w:val="24"/>
          <w:szCs w:val="24"/>
          <w:rtl/>
        </w:rPr>
        <w:t>דוגמ</w:t>
      </w:r>
      <w:r w:rsidR="00155686">
        <w:rPr>
          <w:rFonts w:ascii="FrankRuehl" w:hAnsi="FrankRuehl" w:cs="FrankRuehl"/>
          <w:sz w:val="24"/>
          <w:szCs w:val="24"/>
          <w:rtl/>
        </w:rPr>
        <w:t>ה בולטת לאותו קיבעון מחשבתי מצא</w:t>
      </w:r>
      <w:r w:rsidR="00155686">
        <w:rPr>
          <w:rFonts w:ascii="FrankRuehl" w:hAnsi="FrankRuehl" w:cs="FrankRuehl" w:hint="cs"/>
          <w:sz w:val="24"/>
          <w:szCs w:val="24"/>
          <w:rtl/>
        </w:rPr>
        <w:t>ה הוועדה</w:t>
      </w:r>
      <w:r w:rsidRPr="003A2C84">
        <w:rPr>
          <w:rFonts w:ascii="FrankRuehl" w:hAnsi="FrankRuehl" w:cs="FrankRuehl"/>
          <w:sz w:val="24"/>
          <w:szCs w:val="24"/>
          <w:rtl/>
        </w:rPr>
        <w:t xml:space="preserve"> בנקודת המוצא להיערכות המשטרה להילולה, </w:t>
      </w:r>
      <w:r w:rsidRPr="00111CCA">
        <w:rPr>
          <w:rFonts w:ascii="FrankRuehl" w:hAnsi="FrankRuehl" w:cs="FrankRuehl"/>
          <w:sz w:val="24"/>
          <w:szCs w:val="24"/>
          <w:rtl/>
        </w:rPr>
        <w:t xml:space="preserve">לפיה </w:t>
      </w:r>
      <w:r w:rsidRPr="007375DA">
        <w:rPr>
          <w:rFonts w:ascii="FrankRuehl" w:hAnsi="FrankRuehl" w:cs="FrankRuehl"/>
          <w:sz w:val="24"/>
          <w:szCs w:val="24"/>
          <w:rtl/>
        </w:rPr>
        <w:t>לא ניתן להגביל את כמות הקהל באירוע</w:t>
      </w:r>
      <w:r w:rsidRPr="00111CCA">
        <w:rPr>
          <w:rFonts w:ascii="FrankRuehl" w:hAnsi="FrankRuehl" w:cs="FrankRuehl"/>
          <w:sz w:val="24"/>
          <w:szCs w:val="24"/>
          <w:rtl/>
        </w:rPr>
        <w:t>. ניסיונות להבין על איזו תשתית נבנתה תפיסה מבצעית זו לא צלחו,</w:t>
      </w:r>
      <w:r w:rsidR="000A71CC" w:rsidRPr="00111CCA">
        <w:rPr>
          <w:rFonts w:ascii="FrankRuehl" w:hAnsi="FrankRuehl" w:cs="FrankRuehl" w:hint="cs"/>
          <w:sz w:val="24"/>
          <w:szCs w:val="24"/>
          <w:rtl/>
        </w:rPr>
        <w:t xml:space="preserve"> והתברר</w:t>
      </w:r>
      <w:r w:rsidRPr="003A2C84">
        <w:rPr>
          <w:rFonts w:ascii="FrankRuehl" w:hAnsi="FrankRuehl" w:cs="FrankRuehl"/>
          <w:sz w:val="24"/>
          <w:szCs w:val="24"/>
          <w:rtl/>
        </w:rPr>
        <w:t xml:space="preserve"> כי מעולם לא נערכה עבודת מטה מקצועית וסדורה בעניין. למרות זאת גורמי משטרה התייחסו לה</w:t>
      </w:r>
      <w:r w:rsidR="000A71CC">
        <w:rPr>
          <w:rFonts w:ascii="FrankRuehl" w:hAnsi="FrankRuehl" w:cs="FrankRuehl" w:hint="cs"/>
          <w:sz w:val="24"/>
          <w:szCs w:val="24"/>
          <w:rtl/>
        </w:rPr>
        <w:t>י</w:t>
      </w:r>
      <w:r w:rsidRPr="003A2C84">
        <w:rPr>
          <w:rFonts w:ascii="FrankRuehl" w:hAnsi="FrankRuehl" w:cs="FrankRuehl"/>
          <w:sz w:val="24"/>
          <w:szCs w:val="24"/>
          <w:rtl/>
        </w:rPr>
        <w:t xml:space="preserve">עדר אפשרות להגביל קהל כאל נתון שאין עליו עוררין. </w:t>
      </w:r>
      <w:r w:rsidR="004916F6">
        <w:rPr>
          <w:rFonts w:ascii="FrankRuehl" w:hAnsi="FrankRuehl" w:cs="FrankRuehl" w:hint="cs"/>
          <w:sz w:val="24"/>
          <w:szCs w:val="24"/>
          <w:rtl/>
        </w:rPr>
        <w:t xml:space="preserve">באופן כללי, </w:t>
      </w:r>
      <w:r w:rsidRPr="003A2C84">
        <w:rPr>
          <w:rFonts w:ascii="FrankRuehl" w:hAnsi="FrankRuehl" w:cs="FrankRuehl"/>
          <w:sz w:val="24"/>
          <w:szCs w:val="24"/>
          <w:rtl/>
        </w:rPr>
        <w:t>כל היערכות להילולה</w:t>
      </w:r>
      <w:r w:rsidR="004916F6">
        <w:rPr>
          <w:rFonts w:ascii="FrankRuehl" w:hAnsi="FrankRuehl" w:cs="FrankRuehl" w:hint="cs"/>
          <w:sz w:val="24"/>
          <w:szCs w:val="24"/>
          <w:rtl/>
        </w:rPr>
        <w:t xml:space="preserve">, של המשטרה ושל גופים נוספים, הסתמכה על </w:t>
      </w:r>
      <w:r w:rsidRPr="003A2C84">
        <w:rPr>
          <w:rFonts w:ascii="FrankRuehl" w:hAnsi="FrankRuehl" w:cs="FrankRuehl"/>
          <w:sz w:val="24"/>
          <w:szCs w:val="24"/>
          <w:rtl/>
        </w:rPr>
        <w:t xml:space="preserve">מסמכי ההכנה של שנים קודמות, מבלי לאתגר את התפיסה או לערוך בחינה מחודשת של הדברים. הדברים הגיעו עד כדי כך שלעיתים אפילו תאריכים ישנים הועתקו ממסמך למסמך, ונשארו כך. </w:t>
      </w:r>
    </w:p>
    <w:p w:rsidR="003C4E29" w:rsidRPr="003A2C84" w:rsidRDefault="003C4E29" w:rsidP="003C4E29">
      <w:pPr>
        <w:pStyle w:val="a3"/>
        <w:numPr>
          <w:ilvl w:val="0"/>
          <w:numId w:val="1"/>
        </w:numPr>
        <w:spacing w:after="120" w:line="360" w:lineRule="auto"/>
        <w:jc w:val="both"/>
        <w:rPr>
          <w:rFonts w:ascii="FrankRuehl" w:hAnsi="FrankRuehl" w:cs="FrankRuehl"/>
          <w:sz w:val="24"/>
          <w:szCs w:val="24"/>
        </w:rPr>
      </w:pPr>
      <w:r w:rsidRPr="003A2C84">
        <w:rPr>
          <w:rFonts w:ascii="FrankRuehl" w:hAnsi="FrankRuehl" w:cs="FrankRuehl"/>
          <w:b/>
          <w:bCs/>
          <w:sz w:val="24"/>
          <w:szCs w:val="24"/>
          <w:rtl/>
        </w:rPr>
        <w:t>יצירת "מראית עין"</w:t>
      </w:r>
    </w:p>
    <w:p w:rsidR="003C4E29" w:rsidRPr="003A2C84" w:rsidRDefault="003C4E29" w:rsidP="003C4E29">
      <w:pPr>
        <w:pStyle w:val="a3"/>
        <w:spacing w:after="120" w:line="360" w:lineRule="auto"/>
        <w:ind w:left="360"/>
        <w:jc w:val="both"/>
        <w:rPr>
          <w:rFonts w:ascii="FrankRuehl" w:hAnsi="FrankRuehl" w:cs="FrankRuehl"/>
          <w:sz w:val="24"/>
          <w:szCs w:val="24"/>
        </w:rPr>
      </w:pPr>
      <w:r w:rsidRPr="003A2C84">
        <w:rPr>
          <w:rFonts w:ascii="FrankRuehl" w:hAnsi="FrankRuehl" w:cs="FrankRuehl"/>
          <w:sz w:val="24"/>
          <w:szCs w:val="24"/>
          <w:rtl/>
        </w:rPr>
        <w:t>בפשטות "</w:t>
      </w:r>
      <w:proofErr w:type="spellStart"/>
      <w:r w:rsidRPr="003A2C84">
        <w:rPr>
          <w:rFonts w:ascii="FrankRuehl" w:hAnsi="FrankRuehl" w:cs="FrankRuehl"/>
          <w:sz w:val="24"/>
          <w:szCs w:val="24"/>
          <w:rtl/>
        </w:rPr>
        <w:t>ישראבלוף</w:t>
      </w:r>
      <w:proofErr w:type="spellEnd"/>
      <w:r w:rsidRPr="003A2C84">
        <w:rPr>
          <w:rFonts w:ascii="FrankRuehl" w:hAnsi="FrankRuehl" w:cs="FrankRuehl"/>
          <w:sz w:val="24"/>
          <w:szCs w:val="24"/>
          <w:rtl/>
        </w:rPr>
        <w:t>". מסמכים רבים נכתבו ונחתמו בלי שהייתה שום כוונה ליישם את הכתוב בהם</w:t>
      </w:r>
      <w:r w:rsidR="000854CD">
        <w:rPr>
          <w:rFonts w:ascii="FrankRuehl" w:hAnsi="FrankRuehl" w:cs="FrankRuehl" w:hint="cs"/>
          <w:sz w:val="24"/>
          <w:szCs w:val="24"/>
          <w:rtl/>
        </w:rPr>
        <w:t>.</w:t>
      </w:r>
      <w:r w:rsidRPr="003A2C84">
        <w:rPr>
          <w:rFonts w:ascii="FrankRuehl" w:hAnsi="FrankRuehl" w:cs="FrankRuehl"/>
          <w:sz w:val="24"/>
          <w:szCs w:val="24"/>
          <w:rtl/>
        </w:rPr>
        <w:t xml:space="preserve"> המעורבים ידעו שבמסמכים כתוב א' אך בפועל נוהגים ב', ושהנייר נועד לעמידה פיקטיבית בכללים ותו לא. </w:t>
      </w:r>
    </w:p>
    <w:p w:rsidR="003C4E29" w:rsidRPr="003A2C84" w:rsidRDefault="003C4E29" w:rsidP="003C4E29">
      <w:pPr>
        <w:pStyle w:val="a3"/>
        <w:spacing w:after="120" w:line="360" w:lineRule="auto"/>
        <w:ind w:left="360"/>
        <w:jc w:val="both"/>
        <w:rPr>
          <w:rFonts w:ascii="FrankRuehl" w:hAnsi="FrankRuehl" w:cs="FrankRuehl"/>
          <w:sz w:val="24"/>
          <w:szCs w:val="24"/>
          <w:rtl/>
        </w:rPr>
      </w:pPr>
      <w:r w:rsidRPr="003A2C84">
        <w:rPr>
          <w:rFonts w:ascii="FrankRuehl" w:hAnsi="FrankRuehl" w:cs="FrankRuehl"/>
          <w:sz w:val="24"/>
          <w:szCs w:val="24"/>
          <w:rtl/>
        </w:rPr>
        <w:t xml:space="preserve">דוגמאות בוטות הן מגבלת הקהל שנכתבה מדי שנה בתכנית הבטיחות, בעוד לכל היה ידוע שהמספר יישאר על הנייר בלבד, או </w:t>
      </w:r>
      <w:r>
        <w:rPr>
          <w:rFonts w:ascii="FrankRuehl" w:hAnsi="FrankRuehl" w:cs="FrankRuehl" w:hint="cs"/>
          <w:sz w:val="24"/>
          <w:szCs w:val="24"/>
          <w:rtl/>
        </w:rPr>
        <w:t>בכך ש</w:t>
      </w:r>
      <w:r w:rsidRPr="003A2C84">
        <w:rPr>
          <w:rFonts w:ascii="FrankRuehl" w:hAnsi="FrankRuehl" w:cs="FrankRuehl"/>
          <w:sz w:val="24"/>
          <w:szCs w:val="24"/>
          <w:rtl/>
        </w:rPr>
        <w:t>רישיו</w:t>
      </w:r>
      <w:r>
        <w:rPr>
          <w:rFonts w:ascii="FrankRuehl" w:hAnsi="FrankRuehl" w:cs="FrankRuehl"/>
          <w:sz w:val="24"/>
          <w:szCs w:val="24"/>
          <w:rtl/>
        </w:rPr>
        <w:t xml:space="preserve">נות עסק לאירועים שונים בהילולה </w:t>
      </w:r>
      <w:r w:rsidRPr="003A2C84">
        <w:rPr>
          <w:rFonts w:ascii="FrankRuehl" w:hAnsi="FrankRuehl" w:cs="FrankRuehl"/>
          <w:sz w:val="24"/>
          <w:szCs w:val="24"/>
          <w:rtl/>
        </w:rPr>
        <w:t>הונפקו</w:t>
      </w:r>
      <w:r w:rsidRPr="004C29F6">
        <w:rPr>
          <w:rFonts w:ascii="FrankRuehl" w:hAnsi="FrankRuehl" w:cs="FrankRuehl"/>
          <w:b/>
          <w:bCs/>
          <w:sz w:val="24"/>
          <w:szCs w:val="24"/>
          <w:rtl/>
        </w:rPr>
        <w:t xml:space="preserve"> </w:t>
      </w:r>
      <w:r w:rsidRPr="007375DA">
        <w:rPr>
          <w:rFonts w:ascii="FrankRuehl" w:hAnsi="FrankRuehl" w:cs="FrankRuehl"/>
          <w:sz w:val="24"/>
          <w:szCs w:val="24"/>
          <w:rtl/>
        </w:rPr>
        <w:t>בדיעבד</w:t>
      </w:r>
      <w:r>
        <w:rPr>
          <w:rFonts w:ascii="FrankRuehl" w:hAnsi="FrankRuehl" w:cs="FrankRuehl" w:hint="cs"/>
          <w:sz w:val="24"/>
          <w:szCs w:val="24"/>
          <w:rtl/>
        </w:rPr>
        <w:t xml:space="preserve">, </w:t>
      </w:r>
      <w:r w:rsidRPr="003A2C84">
        <w:rPr>
          <w:rFonts w:ascii="FrankRuehl" w:hAnsi="FrankRuehl" w:cs="FrankRuehl"/>
          <w:sz w:val="24"/>
          <w:szCs w:val="24"/>
          <w:rtl/>
        </w:rPr>
        <w:t xml:space="preserve">לאחר שהאירוע הסתיים. </w:t>
      </w:r>
    </w:p>
    <w:p w:rsidR="003C4E29" w:rsidRPr="003A2C84" w:rsidRDefault="003C4E29" w:rsidP="003C4E29">
      <w:pPr>
        <w:spacing w:after="120" w:line="360" w:lineRule="auto"/>
        <w:contextualSpacing/>
        <w:jc w:val="both"/>
        <w:rPr>
          <w:rFonts w:ascii="FrankRuehl" w:hAnsi="FrankRuehl" w:cs="FrankRuehl"/>
          <w:sz w:val="24"/>
          <w:szCs w:val="24"/>
          <w:rtl/>
        </w:rPr>
      </w:pPr>
      <w:r>
        <w:rPr>
          <w:rFonts w:ascii="FrankRuehl" w:hAnsi="FrankRuehl" w:cs="FrankRuehl" w:hint="cs"/>
          <w:sz w:val="24"/>
          <w:szCs w:val="24"/>
          <w:rtl/>
        </w:rPr>
        <w:t xml:space="preserve">הוועדה סבורה כי </w:t>
      </w:r>
      <w:r>
        <w:rPr>
          <w:rFonts w:ascii="FrankRuehl" w:hAnsi="FrankRuehl" w:cs="FrankRuehl"/>
          <w:sz w:val="24"/>
          <w:szCs w:val="24"/>
          <w:rtl/>
        </w:rPr>
        <w:t>ל</w:t>
      </w:r>
      <w:r>
        <w:rPr>
          <w:rFonts w:ascii="FrankRuehl" w:hAnsi="FrankRuehl" w:cs="FrankRuehl" w:hint="cs"/>
          <w:sz w:val="24"/>
          <w:szCs w:val="24"/>
          <w:rtl/>
        </w:rPr>
        <w:t>דפוסים לקויים אלו</w:t>
      </w:r>
      <w:r w:rsidRPr="003A2C84">
        <w:rPr>
          <w:rFonts w:ascii="FrankRuehl" w:hAnsi="FrankRuehl" w:cs="FrankRuehl"/>
          <w:sz w:val="24"/>
          <w:szCs w:val="24"/>
          <w:rtl/>
        </w:rPr>
        <w:t xml:space="preserve"> הייתה תרומה משמעותית לנסיבות שהובילו בסופו של דבר לאסון.</w:t>
      </w:r>
      <w:r>
        <w:rPr>
          <w:rFonts w:ascii="FrankRuehl" w:hAnsi="FrankRuehl" w:cs="FrankRuehl" w:hint="cs"/>
          <w:sz w:val="24"/>
          <w:szCs w:val="24"/>
          <w:rtl/>
        </w:rPr>
        <w:t xml:space="preserve"> הם </w:t>
      </w:r>
      <w:r w:rsidRPr="003A2C84">
        <w:rPr>
          <w:rFonts w:ascii="FrankRuehl" w:hAnsi="FrankRuehl" w:cs="FrankRuehl"/>
          <w:sz w:val="24"/>
          <w:szCs w:val="24"/>
          <w:rtl/>
        </w:rPr>
        <w:t xml:space="preserve">לא אפיינו רק את השנה שבה התרחש האסון ולא היו נחלתו הבלעדית של אדם מסוים או גוף כלשהו. הם התקבעו בכל הנוגע לאתר קבר הרשב"י במשך שנים ארוכות והשפיעו על כל המעורבים בכל הדרגים. </w:t>
      </w:r>
    </w:p>
    <w:p w:rsidR="003C4E29" w:rsidRDefault="003C4E29" w:rsidP="003C4E29">
      <w:pPr>
        <w:spacing w:after="120" w:line="360" w:lineRule="auto"/>
        <w:contextualSpacing/>
        <w:jc w:val="both"/>
        <w:rPr>
          <w:rFonts w:ascii="FrankRuehl" w:hAnsi="FrankRuehl" w:cs="FrankRuehl"/>
          <w:sz w:val="24"/>
          <w:szCs w:val="24"/>
          <w:rtl/>
        </w:rPr>
      </w:pPr>
    </w:p>
    <w:p w:rsidR="004916F6" w:rsidRDefault="004916F6" w:rsidP="00EE25E3">
      <w:pPr>
        <w:spacing w:after="120" w:line="360" w:lineRule="auto"/>
        <w:contextualSpacing/>
        <w:jc w:val="both"/>
        <w:rPr>
          <w:rFonts w:ascii="FrankRuehl" w:hAnsi="FrankRuehl" w:cs="FrankRuehl"/>
          <w:sz w:val="24"/>
          <w:szCs w:val="24"/>
          <w:rtl/>
        </w:rPr>
      </w:pPr>
      <w:r>
        <w:rPr>
          <w:rFonts w:ascii="FrankRuehl" w:hAnsi="FrankRuehl" w:cs="FrankRuehl" w:hint="cs"/>
          <w:sz w:val="24"/>
          <w:szCs w:val="24"/>
          <w:rtl/>
        </w:rPr>
        <w:t xml:space="preserve">בהמשך, </w:t>
      </w:r>
      <w:r w:rsidR="003C4E29" w:rsidRPr="003A2C84">
        <w:rPr>
          <w:rFonts w:ascii="FrankRuehl" w:hAnsi="FrankRuehl" w:cs="FrankRuehl"/>
          <w:sz w:val="24"/>
          <w:szCs w:val="24"/>
          <w:rtl/>
        </w:rPr>
        <w:t xml:space="preserve">מפרט </w:t>
      </w:r>
      <w:r w:rsidR="00EE25E3" w:rsidRPr="003A2C84">
        <w:rPr>
          <w:rFonts w:ascii="FrankRuehl" w:hAnsi="FrankRuehl" w:cs="FrankRuehl"/>
          <w:sz w:val="24"/>
          <w:szCs w:val="24"/>
          <w:rtl/>
        </w:rPr>
        <w:t xml:space="preserve">הדו"ח </w:t>
      </w:r>
      <w:r w:rsidR="003C4E29" w:rsidRPr="003A2C84">
        <w:rPr>
          <w:rFonts w:ascii="FrankRuehl" w:hAnsi="FrankRuehl" w:cs="FrankRuehl"/>
          <w:sz w:val="24"/>
          <w:szCs w:val="24"/>
          <w:rtl/>
        </w:rPr>
        <w:t xml:space="preserve">את ממצאי הוועדה </w:t>
      </w:r>
      <w:r>
        <w:rPr>
          <w:rFonts w:ascii="FrankRuehl" w:hAnsi="FrankRuehl" w:cs="FrankRuehl" w:hint="cs"/>
          <w:sz w:val="24"/>
          <w:szCs w:val="24"/>
          <w:rtl/>
        </w:rPr>
        <w:t xml:space="preserve">ואת המלצותיה </w:t>
      </w:r>
      <w:r w:rsidR="003C4E29" w:rsidRPr="003A2C84">
        <w:rPr>
          <w:rFonts w:ascii="FrankRuehl" w:hAnsi="FrankRuehl" w:cs="FrankRuehl"/>
          <w:sz w:val="24"/>
          <w:szCs w:val="24"/>
          <w:rtl/>
        </w:rPr>
        <w:t xml:space="preserve">לגבי גופים </w:t>
      </w:r>
      <w:r>
        <w:rPr>
          <w:rFonts w:ascii="FrankRuehl" w:hAnsi="FrankRuehl" w:cs="FrankRuehl" w:hint="cs"/>
          <w:sz w:val="24"/>
          <w:szCs w:val="24"/>
          <w:rtl/>
        </w:rPr>
        <w:t xml:space="preserve">מעורבים: משטרת ישראל; המרכז הארצי לפיתוח המקומות הקדושים; המועצה האזורית והוועדה המקומית לתכנון ובנייה מרום הגליל; ועדת החמישה; הרשות לאכיפה במקרקעין; המשרד לשירותי דת; רשות החברות הממשלתיות; רשם העמותות; רשות מקרקעי ישראל; המשרד לביטחון הפנים; ומשרד ראש הממשלה. </w:t>
      </w:r>
    </w:p>
    <w:p w:rsidR="004916F6" w:rsidRDefault="004916F6" w:rsidP="004916F6">
      <w:pPr>
        <w:spacing w:after="120" w:line="360" w:lineRule="auto"/>
        <w:contextualSpacing/>
        <w:jc w:val="both"/>
        <w:rPr>
          <w:rFonts w:ascii="FrankRuehl" w:hAnsi="FrankRuehl" w:cs="FrankRuehl"/>
          <w:sz w:val="24"/>
          <w:szCs w:val="24"/>
          <w:rtl/>
        </w:rPr>
      </w:pPr>
    </w:p>
    <w:p w:rsidR="003C4E29" w:rsidRDefault="003C4E29" w:rsidP="004916F6">
      <w:pPr>
        <w:spacing w:after="120" w:line="360" w:lineRule="auto"/>
        <w:contextualSpacing/>
        <w:jc w:val="both"/>
        <w:rPr>
          <w:rFonts w:ascii="FrankRuehl" w:hAnsi="FrankRuehl" w:cs="FrankRuehl"/>
          <w:sz w:val="24"/>
          <w:szCs w:val="24"/>
          <w:rtl/>
        </w:rPr>
      </w:pPr>
      <w:r w:rsidRPr="003A2C84">
        <w:rPr>
          <w:rFonts w:ascii="FrankRuehl" w:hAnsi="FrankRuehl" w:cs="FrankRuehl"/>
          <w:sz w:val="24"/>
          <w:szCs w:val="24"/>
          <w:rtl/>
        </w:rPr>
        <w:t xml:space="preserve">הוועדה שמה דגש רב על בחינה של הדברים במבט צופה פני עתיד, ועל המלצות שמטרתן למנוע הישנותם של אסונות דומים. בכך היא רואה מטרה עליונה, ובדו"ח מובאות המלצות מערכתיות וכלליות שיישומן </w:t>
      </w:r>
      <w:r w:rsidR="004916F6">
        <w:rPr>
          <w:rFonts w:ascii="FrankRuehl" w:hAnsi="FrankRuehl" w:cs="FrankRuehl" w:hint="cs"/>
          <w:sz w:val="24"/>
          <w:szCs w:val="24"/>
          <w:rtl/>
        </w:rPr>
        <w:t>נועד ל</w:t>
      </w:r>
      <w:r w:rsidR="004916F6" w:rsidRPr="003A2C84">
        <w:rPr>
          <w:rFonts w:ascii="FrankRuehl" w:hAnsi="FrankRuehl" w:cs="FrankRuehl"/>
          <w:sz w:val="24"/>
          <w:szCs w:val="24"/>
          <w:rtl/>
        </w:rPr>
        <w:t xml:space="preserve">סייע </w:t>
      </w:r>
      <w:r>
        <w:rPr>
          <w:rFonts w:ascii="FrankRuehl" w:hAnsi="FrankRuehl" w:cs="FrankRuehl" w:hint="cs"/>
          <w:sz w:val="24"/>
          <w:szCs w:val="24"/>
          <w:rtl/>
        </w:rPr>
        <w:t>ב</w:t>
      </w:r>
      <w:r w:rsidRPr="003A2C84">
        <w:rPr>
          <w:rFonts w:ascii="FrankRuehl" w:hAnsi="FrankRuehl" w:cs="FrankRuehl"/>
          <w:sz w:val="24"/>
          <w:szCs w:val="24"/>
          <w:rtl/>
        </w:rPr>
        <w:t>הצלת חיים. דגש מיוחד נתנה הוועדה להמלצות</w:t>
      </w:r>
      <w:r>
        <w:rPr>
          <w:rFonts w:ascii="FrankRuehl" w:hAnsi="FrankRuehl" w:cs="FrankRuehl" w:hint="cs"/>
          <w:sz w:val="24"/>
          <w:szCs w:val="24"/>
          <w:rtl/>
        </w:rPr>
        <w:t xml:space="preserve"> מערכתיות</w:t>
      </w:r>
      <w:r w:rsidRPr="003A2C84">
        <w:rPr>
          <w:rFonts w:ascii="FrankRuehl" w:hAnsi="FrankRuehl" w:cs="FrankRuehl"/>
          <w:sz w:val="24"/>
          <w:szCs w:val="24"/>
          <w:rtl/>
        </w:rPr>
        <w:t xml:space="preserve"> שנועדו להסדיר את עתידו של מתחם מירון, וכוללות המלצות ממוקדות לאתר קבר הרשב"י ולהילולת ל"ג בעומר המתקיימת בו, לצד המלצות רחבות יותר, אשר מטרתן פיתוח האתר בהתאם </w:t>
      </w:r>
      <w:r w:rsidR="009F7435">
        <w:rPr>
          <w:rFonts w:ascii="FrankRuehl" w:hAnsi="FrankRuehl" w:cs="FrankRuehl" w:hint="cs"/>
          <w:sz w:val="24"/>
          <w:szCs w:val="24"/>
          <w:rtl/>
        </w:rPr>
        <w:t>לחשיבותו</w:t>
      </w:r>
      <w:r w:rsidR="009F7435" w:rsidRPr="003A2C84">
        <w:rPr>
          <w:rFonts w:ascii="FrankRuehl" w:hAnsi="FrankRuehl" w:cs="FrankRuehl"/>
          <w:sz w:val="24"/>
          <w:szCs w:val="24"/>
          <w:rtl/>
        </w:rPr>
        <w:t xml:space="preserve"> </w:t>
      </w:r>
      <w:r w:rsidRPr="003A2C84">
        <w:rPr>
          <w:rFonts w:ascii="FrankRuehl" w:hAnsi="FrankRuehl" w:cs="FrankRuehl"/>
          <w:sz w:val="24"/>
          <w:szCs w:val="24"/>
          <w:rtl/>
        </w:rPr>
        <w:t>הדתי</w:t>
      </w:r>
      <w:r w:rsidR="009F7435">
        <w:rPr>
          <w:rFonts w:ascii="FrankRuehl" w:hAnsi="FrankRuehl" w:cs="FrankRuehl" w:hint="cs"/>
          <w:sz w:val="24"/>
          <w:szCs w:val="24"/>
          <w:rtl/>
        </w:rPr>
        <w:t>ת</w:t>
      </w:r>
      <w:r w:rsidRPr="003A2C84">
        <w:rPr>
          <w:rFonts w:ascii="FrankRuehl" w:hAnsi="FrankRuehl" w:cs="FrankRuehl"/>
          <w:sz w:val="24"/>
          <w:szCs w:val="24"/>
          <w:rtl/>
        </w:rPr>
        <w:t xml:space="preserve"> ולכמות הקהל הגדולה הפוקדת אותו מדי שנה. </w:t>
      </w:r>
      <w:r>
        <w:rPr>
          <w:rFonts w:ascii="FrankRuehl" w:hAnsi="FrankRuehl" w:cs="FrankRuehl" w:hint="cs"/>
          <w:sz w:val="24"/>
          <w:szCs w:val="24"/>
          <w:rtl/>
        </w:rPr>
        <w:t xml:space="preserve">הוועדה שמה דגש </w:t>
      </w:r>
      <w:r>
        <w:rPr>
          <w:rFonts w:ascii="FrankRuehl" w:hAnsi="FrankRuehl" w:cs="FrankRuehl" w:hint="cs"/>
          <w:sz w:val="24"/>
          <w:szCs w:val="24"/>
          <w:rtl/>
        </w:rPr>
        <w:lastRenderedPageBreak/>
        <w:t xml:space="preserve">על מינוי גורם אחראי, אותו גורם אשר חסרונו הורגש בכל מאודו, אשר יישא באחריות הכוללת לניהול המתחם, בצירוף סל כלים מעשי למימוש אחריותו וסמכותו. </w:t>
      </w:r>
    </w:p>
    <w:p w:rsidR="003C4E29" w:rsidRDefault="003C4E29" w:rsidP="003C4E29">
      <w:pPr>
        <w:spacing w:after="120" w:line="360" w:lineRule="auto"/>
        <w:contextualSpacing/>
        <w:jc w:val="both"/>
        <w:rPr>
          <w:rFonts w:ascii="FrankRuehl" w:hAnsi="FrankRuehl" w:cs="FrankRuehl"/>
          <w:sz w:val="24"/>
          <w:szCs w:val="24"/>
          <w:rtl/>
        </w:rPr>
      </w:pPr>
    </w:p>
    <w:p w:rsidR="003C4E29" w:rsidRDefault="003C4E29" w:rsidP="003C4E29">
      <w:pPr>
        <w:spacing w:after="120" w:line="360" w:lineRule="auto"/>
        <w:contextualSpacing/>
        <w:jc w:val="both"/>
        <w:rPr>
          <w:rFonts w:ascii="FrankRuehl" w:hAnsi="FrankRuehl" w:cs="FrankRuehl"/>
          <w:sz w:val="24"/>
          <w:szCs w:val="24"/>
          <w:rtl/>
        </w:rPr>
      </w:pPr>
      <w:r w:rsidRPr="00B569C6">
        <w:rPr>
          <w:rFonts w:ascii="FrankRuehl" w:hAnsi="FrankRuehl" w:cs="FrankRuehl" w:hint="cs"/>
          <w:sz w:val="24"/>
          <w:szCs w:val="24"/>
          <w:rtl/>
        </w:rPr>
        <w:t>לצד בחינת התנהלות המערכות השונות ומתן המלצות מערכתיות, עסקה הוועדה גם בפן האישי.</w:t>
      </w:r>
    </w:p>
    <w:p w:rsidR="003C4E29" w:rsidRDefault="003C4E29" w:rsidP="004916F6">
      <w:pPr>
        <w:spacing w:after="240" w:line="360" w:lineRule="auto"/>
        <w:jc w:val="both"/>
        <w:rPr>
          <w:rFonts w:ascii="FrankRuehl" w:hAnsi="FrankRuehl" w:cs="FrankRuehl"/>
          <w:sz w:val="24"/>
          <w:szCs w:val="24"/>
          <w:rtl/>
        </w:rPr>
      </w:pPr>
      <w:r w:rsidRPr="00FC4566">
        <w:rPr>
          <w:rFonts w:ascii="FrankRuehl" w:hAnsi="FrankRuehl" w:cs="FrankRuehl" w:hint="cs"/>
          <w:sz w:val="24"/>
          <w:szCs w:val="24"/>
          <w:rtl/>
        </w:rPr>
        <w:t xml:space="preserve">ב-30 באוגוסט 2022 </w:t>
      </w:r>
      <w:r>
        <w:rPr>
          <w:rFonts w:ascii="FrankRuehl" w:hAnsi="FrankRuehl" w:cs="FrankRuehl" w:hint="cs"/>
          <w:sz w:val="24"/>
          <w:szCs w:val="24"/>
          <w:rtl/>
        </w:rPr>
        <w:t xml:space="preserve">שלחה הוועדה </w:t>
      </w:r>
      <w:r w:rsidRPr="00FC4566">
        <w:rPr>
          <w:rFonts w:ascii="FrankRuehl" w:hAnsi="FrankRuehl" w:cs="FrankRuehl" w:hint="cs"/>
          <w:sz w:val="24"/>
          <w:szCs w:val="24"/>
          <w:rtl/>
        </w:rPr>
        <w:t xml:space="preserve">הודעות אזהרה לפי סעיף 15 לחוק ועדות חקירה, </w:t>
      </w:r>
      <w:proofErr w:type="spellStart"/>
      <w:r w:rsidRPr="00FC4566">
        <w:rPr>
          <w:rFonts w:ascii="FrankRuehl" w:hAnsi="FrankRuehl" w:cs="FrankRuehl" w:hint="cs"/>
          <w:sz w:val="24"/>
          <w:szCs w:val="24"/>
          <w:rtl/>
        </w:rPr>
        <w:t>התשכ"ט</w:t>
      </w:r>
      <w:proofErr w:type="spellEnd"/>
      <w:r w:rsidRPr="00FC4566">
        <w:rPr>
          <w:rFonts w:ascii="FrankRuehl" w:hAnsi="FrankRuehl" w:cs="FrankRuehl" w:hint="eastAsia"/>
          <w:sz w:val="24"/>
          <w:szCs w:val="24"/>
          <w:rtl/>
        </w:rPr>
        <w:t>–</w:t>
      </w:r>
      <w:r w:rsidRPr="00FC4566">
        <w:rPr>
          <w:rFonts w:ascii="FrankRuehl" w:hAnsi="FrankRuehl" w:cs="FrankRuehl" w:hint="cs"/>
          <w:sz w:val="24"/>
          <w:szCs w:val="24"/>
          <w:rtl/>
        </w:rPr>
        <w:t xml:space="preserve">1968, ל-18 </w:t>
      </w:r>
      <w:r>
        <w:rPr>
          <w:rFonts w:ascii="FrankRuehl" w:hAnsi="FrankRuehl" w:cs="FrankRuehl" w:hint="cs"/>
          <w:sz w:val="24"/>
          <w:szCs w:val="24"/>
          <w:rtl/>
        </w:rPr>
        <w:t>אנשים</w:t>
      </w:r>
      <w:r w:rsidRPr="00FC4566">
        <w:rPr>
          <w:rFonts w:ascii="FrankRuehl" w:hAnsi="FrankRuehl" w:cs="FrankRuehl" w:hint="cs"/>
          <w:sz w:val="24"/>
          <w:szCs w:val="24"/>
          <w:rtl/>
        </w:rPr>
        <w:t xml:space="preserve"> </w:t>
      </w:r>
      <w:r>
        <w:rPr>
          <w:rFonts w:ascii="FrankRuehl" w:hAnsi="FrankRuehl" w:cs="FrankRuehl" w:hint="cs"/>
          <w:sz w:val="24"/>
          <w:szCs w:val="24"/>
          <w:rtl/>
        </w:rPr>
        <w:t>שמצאה</w:t>
      </w:r>
      <w:r w:rsidRPr="00FC4566">
        <w:rPr>
          <w:rFonts w:ascii="FrankRuehl" w:hAnsi="FrankRuehl" w:cs="FrankRuehl" w:hint="cs"/>
          <w:sz w:val="24"/>
          <w:szCs w:val="24"/>
          <w:rtl/>
        </w:rPr>
        <w:t xml:space="preserve"> כי הם עלולים להיפגע מהחקירה או מתוצאותיה. </w:t>
      </w:r>
      <w:r w:rsidR="004916F6">
        <w:rPr>
          <w:rFonts w:ascii="FrankRuehl" w:hAnsi="FrankRuehl" w:cs="FrankRuehl" w:hint="cs"/>
          <w:sz w:val="24"/>
          <w:szCs w:val="24"/>
          <w:rtl/>
        </w:rPr>
        <w:t>מרבית</w:t>
      </w:r>
      <w:r w:rsidRPr="00FC4566">
        <w:rPr>
          <w:rFonts w:ascii="FrankRuehl" w:hAnsi="FrankRuehl" w:cs="FrankRuehl" w:hint="cs"/>
          <w:sz w:val="24"/>
          <w:szCs w:val="24"/>
          <w:rtl/>
        </w:rPr>
        <w:t xml:space="preserve"> המוזהרים מילאו בזמן האסון </w:t>
      </w:r>
      <w:r w:rsidR="004916F6">
        <w:rPr>
          <w:rFonts w:ascii="FrankRuehl" w:hAnsi="FrankRuehl" w:cs="FrankRuehl" w:hint="cs"/>
          <w:sz w:val="24"/>
          <w:szCs w:val="24"/>
          <w:rtl/>
        </w:rPr>
        <w:t>תפקיד ציבורי</w:t>
      </w:r>
      <w:r w:rsidRPr="00FC4566">
        <w:rPr>
          <w:rFonts w:ascii="FrankRuehl" w:hAnsi="FrankRuehl" w:cs="FrankRuehl" w:hint="cs"/>
          <w:sz w:val="24"/>
          <w:szCs w:val="24"/>
          <w:rtl/>
        </w:rPr>
        <w:t xml:space="preserve">, בין בדרג המדיני ובין בדרג המבצע, והאחריות המיוחסת להם נוגעת לאופן מילוי תפקידם האמור. </w:t>
      </w:r>
      <w:r>
        <w:rPr>
          <w:rFonts w:ascii="FrankRuehl" w:hAnsi="FrankRuehl" w:cs="FrankRuehl" w:hint="cs"/>
          <w:sz w:val="24"/>
          <w:szCs w:val="24"/>
          <w:rtl/>
        </w:rPr>
        <w:t xml:space="preserve">בהחלטה בדבר שליחת הודעות האזהרה נכתב: </w:t>
      </w:r>
    </w:p>
    <w:p w:rsidR="003C4E29" w:rsidRPr="00FC4566" w:rsidRDefault="003C4E29" w:rsidP="003C4E29">
      <w:pPr>
        <w:pStyle w:val="a5"/>
        <w:rPr>
          <w:rFonts w:ascii="Miriam" w:hAnsi="Miriam" w:cs="Miriam"/>
          <w:i w:val="0"/>
          <w:iCs w:val="0"/>
          <w:sz w:val="24"/>
        </w:rPr>
      </w:pPr>
      <w:r w:rsidRPr="00FC4566">
        <w:rPr>
          <w:rFonts w:ascii="Miriam" w:hAnsi="Miriam" w:cs="Miriam"/>
          <w:i w:val="0"/>
          <w:iCs w:val="0"/>
          <w:rtl/>
        </w:rPr>
        <w:t>ביקשנו להביא לידי ביטוי את תפיסתנו, לפיה בעלי תפקידים ציבוריים בכירים, להם מוענקות סמכויות נרחבות ומשמעותיות, נדרשים לשאת באחריות בהתאם. בנוסף, בכל הנוגע לנושאים בתפקידים ציבוריים בכירים, ראינו חשיבות יתרה בהבהרת נורמות ההתנהגות המצופות מהם, כל אחד לפי תפקידו ולפי העניין. זאת, על מנת שנורמות אלה יעמדו לנגד עיניו של כל הנושא בתפקיד ציבורי. לצד זאת, סברנו כי נכון שנעסוק גם בגורמים נוספים, אשר בתפקודם היו, לכאורה, כשלים חמורים ובעלי נגיעה ישירה לאירוע</w:t>
      </w:r>
      <w:r w:rsidR="00BA316C">
        <w:rPr>
          <w:rFonts w:ascii="Miriam" w:hAnsi="Miriam" w:cs="Miriam" w:hint="cs"/>
          <w:i w:val="0"/>
          <w:iCs w:val="0"/>
          <w:sz w:val="24"/>
          <w:rtl/>
        </w:rPr>
        <w:t>.</w:t>
      </w:r>
    </w:p>
    <w:p w:rsidR="003C4E29" w:rsidRDefault="003C4E29" w:rsidP="003C4E29">
      <w:pPr>
        <w:spacing w:after="120" w:line="360" w:lineRule="auto"/>
        <w:contextualSpacing/>
        <w:jc w:val="both"/>
        <w:rPr>
          <w:rFonts w:ascii="FrankRuehl" w:hAnsi="FrankRuehl" w:cs="FrankRuehl"/>
          <w:sz w:val="24"/>
          <w:szCs w:val="24"/>
          <w:rtl/>
        </w:rPr>
      </w:pPr>
    </w:p>
    <w:p w:rsidR="003C4E29" w:rsidRDefault="003C4E29" w:rsidP="003C4E29">
      <w:pPr>
        <w:spacing w:after="120" w:line="360" w:lineRule="auto"/>
        <w:contextualSpacing/>
        <w:jc w:val="both"/>
        <w:rPr>
          <w:rFonts w:ascii="FrankRuehl" w:hAnsi="FrankRuehl" w:cs="FrankRuehl"/>
          <w:sz w:val="24"/>
          <w:szCs w:val="24"/>
          <w:rtl/>
        </w:rPr>
      </w:pPr>
      <w:r>
        <w:rPr>
          <w:rFonts w:ascii="FrankRuehl" w:hAnsi="FrankRuehl" w:cs="FrankRuehl" w:hint="cs"/>
          <w:sz w:val="24"/>
          <w:szCs w:val="24"/>
          <w:rtl/>
        </w:rPr>
        <w:t>כאמור לעיל, לאחר שליחת הודעות האזהרה הציג כל אחד מן המוזהרים לוועדה את תגובתו להודעת האזהרה שנשלחה אליו, ואת תפיסתו לגבי אחריותו לאירוע. על כך כותבת הוועדה:</w:t>
      </w:r>
    </w:p>
    <w:p w:rsidR="003C4E29" w:rsidRPr="00FC4566" w:rsidRDefault="003C4E29" w:rsidP="003C4E29">
      <w:pPr>
        <w:pStyle w:val="a5"/>
        <w:rPr>
          <w:rFonts w:ascii="Miriam" w:hAnsi="Miriam" w:cs="Miriam"/>
          <w:i w:val="0"/>
          <w:iCs w:val="0"/>
          <w:rtl/>
        </w:rPr>
      </w:pPr>
      <w:r w:rsidRPr="00FC4566">
        <w:rPr>
          <w:rFonts w:ascii="Miriam" w:hAnsi="Miriam" w:cs="Miriam" w:hint="eastAsia"/>
          <w:i w:val="0"/>
          <w:iCs w:val="0"/>
          <w:rtl/>
        </w:rPr>
        <w:t>ככלל</w:t>
      </w:r>
      <w:r w:rsidRPr="00FC4566">
        <w:rPr>
          <w:rFonts w:ascii="Miriam" w:hAnsi="Miriam" w:cs="Miriam"/>
          <w:i w:val="0"/>
          <w:iCs w:val="0"/>
          <w:rtl/>
        </w:rPr>
        <w:t xml:space="preserve">, ובלי להתייחס למוזהר זה או אחר, אין בידינו לקבל את הגישה שעלתה מתפיסת האחריות שהוצגה לנו. האחריות היא ערך יסוד בדמותו הראויה של נושא משרה ציבורית. היא אבן הראשה המחזיקה יחדיו את ערכי השירות הציבורי. התגלתה </w:t>
      </w:r>
      <w:r w:rsidRPr="00FC4566">
        <w:rPr>
          <w:rFonts w:ascii="Miriam" w:hAnsi="Miriam" w:cs="Miriam" w:hint="cs"/>
          <w:i w:val="0"/>
          <w:iCs w:val="0"/>
          <w:rtl/>
        </w:rPr>
        <w:t xml:space="preserve">לנו </w:t>
      </w:r>
      <w:r w:rsidRPr="00FC4566">
        <w:rPr>
          <w:rFonts w:ascii="Miriam" w:hAnsi="Miriam" w:cs="Miriam"/>
          <w:i w:val="0"/>
          <w:iCs w:val="0"/>
          <w:rtl/>
        </w:rPr>
        <w:t>תמונה עגומה בנושא הנשיאה באחריות.</w:t>
      </w:r>
    </w:p>
    <w:p w:rsidR="003C4E29" w:rsidRDefault="003C4E29" w:rsidP="00111CCA">
      <w:pPr>
        <w:spacing w:after="120" w:line="360" w:lineRule="auto"/>
        <w:contextualSpacing/>
        <w:jc w:val="both"/>
        <w:rPr>
          <w:rFonts w:ascii="FrankRuehl" w:hAnsi="FrankRuehl" w:cs="FrankRuehl"/>
          <w:sz w:val="24"/>
          <w:szCs w:val="24"/>
          <w:rtl/>
        </w:rPr>
      </w:pPr>
      <w:r>
        <w:rPr>
          <w:rFonts w:ascii="FrankRuehl" w:hAnsi="FrankRuehl" w:cs="FrankRuehl" w:hint="cs"/>
          <w:sz w:val="24"/>
          <w:szCs w:val="24"/>
          <w:rtl/>
        </w:rPr>
        <w:t>הוועדה הדגישה כי היא מתייחסת לאחריות במובנה הערכי הרחב, ולא כפי שהיא נקבעת בענף משפט זה או אחר</w:t>
      </w:r>
      <w:r w:rsidR="00111CCA">
        <w:rPr>
          <w:rFonts w:ascii="FrankRuehl" w:hAnsi="FrankRuehl" w:cs="FrankRuehl" w:hint="cs"/>
          <w:sz w:val="24"/>
          <w:szCs w:val="24"/>
          <w:rtl/>
        </w:rPr>
        <w:t xml:space="preserve">, וכי </w:t>
      </w:r>
      <w:r>
        <w:rPr>
          <w:rFonts w:ascii="FrankRuehl" w:hAnsi="FrankRuehl" w:cs="FrankRuehl" w:hint="cs"/>
          <w:sz w:val="24"/>
          <w:szCs w:val="24"/>
          <w:rtl/>
        </w:rPr>
        <w:t xml:space="preserve">באחריות בה דנה הוועדה מובאים בחשבון היבטים ערכיים וציבוריים. הוועדה ביקשה להביע את עמדתה כי "האתיקה חשובה יותר מן המשפט", וכי האחריות במובנה הציבורי היא ערך יסוד בהתנהלותה של חברה מתוקנת. </w:t>
      </w:r>
    </w:p>
    <w:p w:rsidR="003C4E29" w:rsidRDefault="003C4E29" w:rsidP="003C4E29">
      <w:pPr>
        <w:spacing w:after="240" w:line="360" w:lineRule="auto"/>
        <w:jc w:val="both"/>
        <w:rPr>
          <w:rFonts w:ascii="FrankRuehl" w:hAnsi="FrankRuehl" w:cs="FrankRuehl"/>
          <w:sz w:val="24"/>
          <w:szCs w:val="24"/>
          <w:rtl/>
        </w:rPr>
      </w:pPr>
      <w:r w:rsidRPr="00A41EC4">
        <w:rPr>
          <w:rFonts w:ascii="FrankRuehl" w:hAnsi="FrankRuehl" w:cs="FrankRuehl" w:hint="cs"/>
          <w:sz w:val="24"/>
          <w:szCs w:val="24"/>
          <w:rtl/>
        </w:rPr>
        <w:t>כ</w:t>
      </w:r>
      <w:bookmarkStart w:id="0" w:name="_GoBack"/>
      <w:bookmarkEnd w:id="0"/>
      <w:r w:rsidRPr="00A41EC4">
        <w:rPr>
          <w:rFonts w:ascii="FrankRuehl" w:hAnsi="FrankRuehl" w:cs="FrankRuehl" w:hint="cs"/>
          <w:sz w:val="24"/>
          <w:szCs w:val="24"/>
          <w:rtl/>
        </w:rPr>
        <w:t xml:space="preserve">מקובל בוועדות חקירה, ובשים לב לכך שלממצאים ולמסקנות עשויות להיות השלכות אישיות משמעותיות, הנחתה הוועדה עצמה לבסס את הממצאים על </w:t>
      </w:r>
      <w:r w:rsidRPr="00A41EC4">
        <w:rPr>
          <w:rFonts w:ascii="FrankRuehl" w:hAnsi="FrankRuehl" w:cs="FrankRuehl"/>
          <w:sz w:val="24"/>
          <w:szCs w:val="24"/>
          <w:rtl/>
        </w:rPr>
        <w:t>ראיות משכנעות ומהימנות</w:t>
      </w:r>
      <w:r w:rsidRPr="00A41EC4">
        <w:rPr>
          <w:rFonts w:ascii="FrankRuehl" w:hAnsi="FrankRuehl" w:cs="FrankRuehl" w:hint="cs"/>
          <w:sz w:val="24"/>
          <w:szCs w:val="24"/>
          <w:rtl/>
        </w:rPr>
        <w:t xml:space="preserve">. בכל מקום שנותר ספק ממשי בעניין שעלול להוביל לפגיעה בלתי מוצדקת במי מהמוזהרים, </w:t>
      </w:r>
      <w:r>
        <w:rPr>
          <w:rFonts w:ascii="FrankRuehl" w:hAnsi="FrankRuehl" w:cs="FrankRuehl" w:hint="cs"/>
          <w:sz w:val="24"/>
          <w:szCs w:val="24"/>
          <w:rtl/>
        </w:rPr>
        <w:t>הפעילה</w:t>
      </w:r>
      <w:r w:rsidRPr="00A41EC4">
        <w:rPr>
          <w:rFonts w:ascii="FrankRuehl" w:hAnsi="FrankRuehl" w:cs="FrankRuehl" w:hint="cs"/>
          <w:sz w:val="24"/>
          <w:szCs w:val="24"/>
          <w:rtl/>
        </w:rPr>
        <w:t xml:space="preserve"> את הספק לטובתו.</w:t>
      </w:r>
    </w:p>
    <w:p w:rsidR="003C4E29" w:rsidRDefault="003C4E29" w:rsidP="003C4E29">
      <w:pPr>
        <w:spacing w:after="240" w:line="360" w:lineRule="auto"/>
        <w:jc w:val="both"/>
        <w:rPr>
          <w:rFonts w:ascii="FrankRuehl" w:hAnsi="FrankRuehl" w:cs="FrankRuehl"/>
          <w:sz w:val="24"/>
          <w:szCs w:val="24"/>
          <w:rtl/>
        </w:rPr>
      </w:pPr>
      <w:r w:rsidRPr="003A2C84">
        <w:rPr>
          <w:rFonts w:ascii="FrankRuehl" w:hAnsi="FrankRuehl" w:cs="FrankRuehl"/>
          <w:sz w:val="24"/>
          <w:szCs w:val="24"/>
          <w:rtl/>
        </w:rPr>
        <w:t xml:space="preserve">הוועדה מביעה תקווה כי </w:t>
      </w:r>
      <w:r>
        <w:rPr>
          <w:rFonts w:ascii="FrankRuehl" w:hAnsi="FrankRuehl" w:cs="FrankRuehl" w:hint="cs"/>
          <w:sz w:val="24"/>
          <w:szCs w:val="24"/>
          <w:rtl/>
        </w:rPr>
        <w:t>יישום ההמלצות</w:t>
      </w:r>
      <w:r w:rsidRPr="003A2C84">
        <w:rPr>
          <w:rFonts w:ascii="FrankRuehl" w:hAnsi="FrankRuehl" w:cs="FrankRuehl"/>
          <w:sz w:val="24"/>
          <w:szCs w:val="24"/>
          <w:rtl/>
        </w:rPr>
        <w:t xml:space="preserve"> יוביל לשינוי ותיקון במישורים נרחבים, בכלל זה גם בשינוי התרבות הארגונית של גופים ציבוריים במדינה ובביסוס נורמות ראויות של אחריות ציבורית.  </w:t>
      </w:r>
    </w:p>
    <w:p w:rsidR="003C4E29" w:rsidRPr="00EE25E3" w:rsidRDefault="003C4E29" w:rsidP="003C4E29">
      <w:pPr>
        <w:spacing w:after="120" w:line="360" w:lineRule="auto"/>
        <w:contextualSpacing/>
        <w:jc w:val="both"/>
        <w:rPr>
          <w:rFonts w:ascii="FrankRuehl" w:hAnsi="FrankRuehl" w:cs="FrankRuehl"/>
          <w:b/>
          <w:bCs/>
          <w:sz w:val="24"/>
          <w:szCs w:val="24"/>
        </w:rPr>
      </w:pPr>
      <w:r w:rsidRPr="00EE25E3">
        <w:rPr>
          <w:rFonts w:ascii="FrankRuehl" w:hAnsi="FrankRuehl" w:cs="FrankRuehl" w:hint="cs"/>
          <w:b/>
          <w:bCs/>
          <w:sz w:val="24"/>
          <w:szCs w:val="24"/>
          <w:rtl/>
        </w:rPr>
        <w:t>בדברי הסיכום</w:t>
      </w:r>
      <w:r w:rsidR="00EE25E3">
        <w:rPr>
          <w:rFonts w:ascii="FrankRuehl" w:hAnsi="FrankRuehl" w:cs="FrankRuehl" w:hint="cs"/>
          <w:b/>
          <w:bCs/>
          <w:sz w:val="24"/>
          <w:szCs w:val="24"/>
          <w:rtl/>
        </w:rPr>
        <w:t xml:space="preserve"> לדו"ח</w:t>
      </w:r>
      <w:r w:rsidRPr="00EE25E3">
        <w:rPr>
          <w:rFonts w:ascii="FrankRuehl" w:hAnsi="FrankRuehl" w:cs="FrankRuehl" w:hint="cs"/>
          <w:b/>
          <w:bCs/>
          <w:sz w:val="24"/>
          <w:szCs w:val="24"/>
          <w:rtl/>
        </w:rPr>
        <w:t xml:space="preserve"> נכתב: </w:t>
      </w:r>
    </w:p>
    <w:p w:rsidR="003C4E29" w:rsidRPr="00BA316C" w:rsidRDefault="003C4E29" w:rsidP="00111CCA">
      <w:pPr>
        <w:spacing w:after="120" w:line="360" w:lineRule="auto"/>
        <w:contextualSpacing/>
        <w:jc w:val="both"/>
        <w:rPr>
          <w:rFonts w:ascii="FrankRuehl" w:hAnsi="FrankRuehl" w:cs="FrankRuehl"/>
          <w:b/>
          <w:bCs/>
          <w:sz w:val="24"/>
          <w:szCs w:val="24"/>
        </w:rPr>
      </w:pPr>
      <w:r w:rsidRPr="00BA316C">
        <w:rPr>
          <w:rFonts w:ascii="FrankRuehl" w:hAnsi="FrankRuehl" w:cs="FrankRuehl" w:hint="cs"/>
          <w:b/>
          <w:bCs/>
          <w:sz w:val="24"/>
          <w:szCs w:val="24"/>
          <w:rtl/>
        </w:rPr>
        <w:t>"תרבות רעה מצאנו בתוך ביתנו. בתוך גופים ציבוריים</w:t>
      </w:r>
      <w:r w:rsidRPr="00BA316C">
        <w:rPr>
          <w:rFonts w:ascii="FrankRuehl" w:hAnsi="FrankRuehl" w:cs="FrankRuehl"/>
          <w:b/>
          <w:bCs/>
          <w:sz w:val="24"/>
          <w:szCs w:val="24"/>
        </w:rPr>
        <w:t>,</w:t>
      </w:r>
      <w:r w:rsidRPr="00BA316C">
        <w:rPr>
          <w:rFonts w:ascii="FrankRuehl" w:hAnsi="FrankRuehl" w:cs="FrankRuehl" w:hint="cs"/>
          <w:b/>
          <w:bCs/>
          <w:sz w:val="24"/>
          <w:szCs w:val="24"/>
          <w:rtl/>
        </w:rPr>
        <w:t xml:space="preserve"> ברשויות שלטוניות ובקרב שליחי ציבור – נבחרים וממונים, שהציבור הפקיד בידיהם את שלומו ואת ביטחונו</w:t>
      </w:r>
      <w:r w:rsidR="00111CCA" w:rsidRPr="00BA316C">
        <w:rPr>
          <w:rFonts w:ascii="FrankRuehl" w:hAnsi="FrankRuehl" w:cs="FrankRuehl" w:hint="cs"/>
          <w:b/>
          <w:bCs/>
          <w:sz w:val="24"/>
          <w:szCs w:val="24"/>
          <w:rtl/>
        </w:rPr>
        <w:t>...</w:t>
      </w:r>
      <w:r w:rsidR="00111CCA" w:rsidRPr="00BA316C" w:rsidDel="00111CCA">
        <w:rPr>
          <w:rFonts w:ascii="FrankRuehl" w:hAnsi="FrankRuehl" w:cs="FrankRuehl" w:hint="cs"/>
          <w:b/>
          <w:bCs/>
          <w:sz w:val="24"/>
          <w:szCs w:val="24"/>
          <w:rtl/>
        </w:rPr>
        <w:t xml:space="preserve"> </w:t>
      </w:r>
      <w:r w:rsidRPr="00BA316C">
        <w:rPr>
          <w:rFonts w:ascii="FrankRuehl" w:hAnsi="FrankRuehl" w:cs="FrankRuehl" w:hint="cs"/>
          <w:b/>
          <w:bCs/>
          <w:sz w:val="24"/>
          <w:szCs w:val="24"/>
          <w:rtl/>
        </w:rPr>
        <w:t xml:space="preserve">תרבות רעה זו הובילה לאסון הנורא בהר מירון בל"ג בעומר </w:t>
      </w:r>
      <w:proofErr w:type="spellStart"/>
      <w:r w:rsidRPr="00BA316C">
        <w:rPr>
          <w:rFonts w:ascii="FrankRuehl" w:hAnsi="FrankRuehl" w:cs="FrankRuehl" w:hint="cs"/>
          <w:b/>
          <w:bCs/>
          <w:sz w:val="24"/>
          <w:szCs w:val="24"/>
          <w:rtl/>
        </w:rPr>
        <w:t>התשפ"א</w:t>
      </w:r>
      <w:proofErr w:type="spellEnd"/>
      <w:r w:rsidRPr="00BA316C">
        <w:rPr>
          <w:rFonts w:ascii="FrankRuehl" w:hAnsi="FrankRuehl" w:cs="FrankRuehl" w:hint="cs"/>
          <w:b/>
          <w:bCs/>
          <w:sz w:val="24"/>
          <w:szCs w:val="24"/>
          <w:rtl/>
        </w:rPr>
        <w:t xml:space="preserve">. </w:t>
      </w:r>
      <w:r w:rsidRPr="00BA316C">
        <w:rPr>
          <w:rFonts w:ascii="FrankRuehl" w:hAnsi="FrankRuehl" w:cs="FrankRuehl"/>
          <w:b/>
          <w:bCs/>
          <w:sz w:val="24"/>
          <w:szCs w:val="24"/>
          <w:rtl/>
        </w:rPr>
        <w:t>"הכתובת הייתה על הק</w:t>
      </w:r>
      <w:r w:rsidRPr="00BA316C">
        <w:rPr>
          <w:rFonts w:ascii="FrankRuehl" w:hAnsi="FrankRuehl" w:cs="FrankRuehl" w:hint="eastAsia"/>
          <w:b/>
          <w:bCs/>
          <w:sz w:val="24"/>
          <w:szCs w:val="24"/>
          <w:rtl/>
        </w:rPr>
        <w:t>יר</w:t>
      </w:r>
      <w:r w:rsidRPr="00BA316C">
        <w:rPr>
          <w:rFonts w:ascii="FrankRuehl" w:hAnsi="FrankRuehl" w:cs="FrankRuehl"/>
          <w:b/>
          <w:bCs/>
          <w:sz w:val="24"/>
          <w:szCs w:val="24"/>
          <w:rtl/>
        </w:rPr>
        <w:t>"</w:t>
      </w:r>
      <w:r w:rsidRPr="00BA316C">
        <w:rPr>
          <w:rFonts w:ascii="FrankRuehl" w:hAnsi="FrankRuehl" w:cs="FrankRuehl" w:hint="cs"/>
          <w:b/>
          <w:bCs/>
          <w:sz w:val="24"/>
          <w:szCs w:val="24"/>
          <w:rtl/>
        </w:rPr>
        <w:t>,</w:t>
      </w:r>
      <w:r w:rsidRPr="00BA316C">
        <w:rPr>
          <w:rFonts w:ascii="FrankRuehl" w:hAnsi="FrankRuehl" w:cs="FrankRuehl"/>
          <w:b/>
          <w:bCs/>
          <w:sz w:val="24"/>
          <w:szCs w:val="24"/>
          <w:rtl/>
        </w:rPr>
        <w:t xml:space="preserve"> </w:t>
      </w:r>
      <w:r w:rsidRPr="00BA316C">
        <w:rPr>
          <w:rFonts w:ascii="FrankRuehl" w:hAnsi="FrankRuehl" w:cs="FrankRuehl" w:hint="eastAsia"/>
          <w:b/>
          <w:bCs/>
          <w:sz w:val="24"/>
          <w:szCs w:val="24"/>
          <w:rtl/>
        </w:rPr>
        <w:t>ידועה</w:t>
      </w:r>
      <w:r w:rsidRPr="00BA316C">
        <w:rPr>
          <w:rFonts w:ascii="FrankRuehl" w:hAnsi="FrankRuehl" w:cs="FrankRuehl"/>
          <w:b/>
          <w:bCs/>
          <w:sz w:val="24"/>
          <w:szCs w:val="24"/>
          <w:rtl/>
        </w:rPr>
        <w:t xml:space="preserve"> לרבים </w:t>
      </w:r>
      <w:r w:rsidRPr="00BA316C">
        <w:rPr>
          <w:rFonts w:ascii="FrankRuehl" w:hAnsi="FrankRuehl" w:cs="FrankRuehl" w:hint="cs"/>
          <w:b/>
          <w:bCs/>
          <w:sz w:val="24"/>
          <w:szCs w:val="24"/>
          <w:rtl/>
        </w:rPr>
        <w:t xml:space="preserve">במשך </w:t>
      </w:r>
      <w:r w:rsidRPr="00BA316C">
        <w:rPr>
          <w:rFonts w:ascii="FrankRuehl" w:hAnsi="FrankRuehl" w:cs="FrankRuehl" w:hint="eastAsia"/>
          <w:b/>
          <w:bCs/>
          <w:sz w:val="24"/>
          <w:szCs w:val="24"/>
          <w:rtl/>
        </w:rPr>
        <w:t>שנים</w:t>
      </w:r>
      <w:r w:rsidRPr="00BA316C">
        <w:rPr>
          <w:rFonts w:ascii="FrankRuehl" w:hAnsi="FrankRuehl" w:cs="FrankRuehl"/>
          <w:b/>
          <w:bCs/>
          <w:sz w:val="24"/>
          <w:szCs w:val="24"/>
          <w:rtl/>
        </w:rPr>
        <w:t xml:space="preserve"> רבות. </w:t>
      </w:r>
      <w:r w:rsidRPr="00BA316C">
        <w:rPr>
          <w:rFonts w:ascii="FrankRuehl" w:hAnsi="FrankRuehl" w:cs="FrankRuehl" w:hint="cs"/>
          <w:b/>
          <w:bCs/>
          <w:sz w:val="24"/>
          <w:szCs w:val="24"/>
          <w:rtl/>
        </w:rPr>
        <w:t>את ה</w:t>
      </w:r>
      <w:r w:rsidRPr="00BA316C">
        <w:rPr>
          <w:rFonts w:ascii="FrankRuehl" w:hAnsi="FrankRuehl" w:cs="FrankRuehl" w:hint="eastAsia"/>
          <w:b/>
          <w:bCs/>
          <w:sz w:val="24"/>
          <w:szCs w:val="24"/>
          <w:rtl/>
        </w:rPr>
        <w:t>אסון</w:t>
      </w:r>
      <w:r w:rsidRPr="00BA316C">
        <w:rPr>
          <w:rFonts w:ascii="FrankRuehl" w:hAnsi="FrankRuehl" w:cs="FrankRuehl"/>
          <w:b/>
          <w:bCs/>
          <w:sz w:val="24"/>
          <w:szCs w:val="24"/>
          <w:rtl/>
        </w:rPr>
        <w:t xml:space="preserve"> </w:t>
      </w:r>
      <w:r w:rsidRPr="00BA316C">
        <w:rPr>
          <w:rFonts w:ascii="FrankRuehl" w:hAnsi="FrankRuehl" w:cs="FrankRuehl" w:hint="cs"/>
          <w:b/>
          <w:bCs/>
          <w:sz w:val="24"/>
          <w:szCs w:val="24"/>
          <w:rtl/>
        </w:rPr>
        <w:t xml:space="preserve">הזה </w:t>
      </w:r>
      <w:r w:rsidRPr="00BA316C">
        <w:rPr>
          <w:rFonts w:ascii="FrankRuehl" w:hAnsi="FrankRuehl" w:cs="FrankRuehl" w:hint="eastAsia"/>
          <w:b/>
          <w:bCs/>
          <w:sz w:val="24"/>
          <w:szCs w:val="24"/>
          <w:rtl/>
        </w:rPr>
        <w:t>ניתן</w:t>
      </w:r>
      <w:r w:rsidRPr="00BA316C">
        <w:rPr>
          <w:rFonts w:ascii="FrankRuehl" w:hAnsi="FrankRuehl" w:cs="FrankRuehl" w:hint="cs"/>
          <w:b/>
          <w:bCs/>
          <w:sz w:val="24"/>
          <w:szCs w:val="24"/>
          <w:rtl/>
        </w:rPr>
        <w:t xml:space="preserve"> </w:t>
      </w:r>
      <w:r w:rsidRPr="00BA316C">
        <w:rPr>
          <w:rFonts w:ascii="FrankRuehl" w:hAnsi="FrankRuehl" w:cs="FrankRuehl"/>
          <w:b/>
          <w:bCs/>
          <w:sz w:val="24"/>
          <w:szCs w:val="24"/>
          <w:rtl/>
        </w:rPr>
        <w:t xml:space="preserve">היה </w:t>
      </w:r>
      <w:r w:rsidR="007513E1" w:rsidRPr="00BA316C">
        <w:rPr>
          <w:rFonts w:ascii="FrankRuehl" w:hAnsi="FrankRuehl" w:cs="FrankRuehl" w:hint="cs"/>
          <w:b/>
          <w:bCs/>
          <w:sz w:val="24"/>
          <w:szCs w:val="24"/>
          <w:rtl/>
        </w:rPr>
        <w:t>למנוע, וחובה הייתה למ</w:t>
      </w:r>
      <w:r w:rsidRPr="00BA316C">
        <w:rPr>
          <w:rFonts w:ascii="FrankRuehl" w:hAnsi="FrankRuehl" w:cs="FrankRuehl" w:hint="cs"/>
          <w:b/>
          <w:bCs/>
          <w:sz w:val="24"/>
          <w:szCs w:val="24"/>
          <w:rtl/>
        </w:rPr>
        <w:t>נעו</w:t>
      </w:r>
      <w:r w:rsidRPr="00BA316C">
        <w:rPr>
          <w:rFonts w:ascii="FrankRuehl" w:hAnsi="FrankRuehl" w:cs="FrankRuehl"/>
          <w:b/>
          <w:bCs/>
          <w:sz w:val="24"/>
          <w:szCs w:val="24"/>
          <w:rtl/>
        </w:rPr>
        <w:t>.</w:t>
      </w:r>
    </w:p>
    <w:p w:rsidR="003C4E29" w:rsidRPr="00BA316C" w:rsidRDefault="003C4E29" w:rsidP="003C4E29">
      <w:pPr>
        <w:spacing w:after="120" w:line="360" w:lineRule="auto"/>
        <w:contextualSpacing/>
        <w:jc w:val="both"/>
        <w:rPr>
          <w:rFonts w:ascii="FrankRuehl" w:hAnsi="FrankRuehl" w:cs="FrankRuehl"/>
          <w:b/>
          <w:bCs/>
          <w:sz w:val="24"/>
          <w:szCs w:val="24"/>
        </w:rPr>
      </w:pPr>
      <w:r w:rsidRPr="00BA316C">
        <w:rPr>
          <w:rFonts w:ascii="FrankRuehl" w:hAnsi="FrankRuehl" w:cs="FrankRuehl" w:hint="eastAsia"/>
          <w:b/>
          <w:bCs/>
          <w:sz w:val="24"/>
          <w:szCs w:val="24"/>
          <w:rtl/>
        </w:rPr>
        <w:t>כדי</w:t>
      </w:r>
      <w:r w:rsidRPr="00BA316C">
        <w:rPr>
          <w:rFonts w:ascii="FrankRuehl" w:hAnsi="FrankRuehl" w:cs="FrankRuehl"/>
          <w:b/>
          <w:bCs/>
          <w:sz w:val="24"/>
          <w:szCs w:val="24"/>
          <w:rtl/>
        </w:rPr>
        <w:t xml:space="preserve"> למנוע את האסון</w:t>
      </w:r>
      <w:r w:rsidRPr="00BA316C">
        <w:rPr>
          <w:rFonts w:ascii="FrankRuehl" w:hAnsi="FrankRuehl" w:cs="FrankRuehl" w:hint="cs"/>
          <w:b/>
          <w:bCs/>
          <w:sz w:val="24"/>
          <w:szCs w:val="24"/>
          <w:rtl/>
        </w:rPr>
        <w:t xml:space="preserve"> </w:t>
      </w:r>
      <w:r w:rsidRPr="00BA316C">
        <w:rPr>
          <w:rFonts w:ascii="FrankRuehl" w:hAnsi="FrankRuehl" w:cs="FrankRuehl" w:hint="eastAsia"/>
          <w:b/>
          <w:bCs/>
          <w:sz w:val="24"/>
          <w:szCs w:val="24"/>
          <w:rtl/>
        </w:rPr>
        <w:t>נדרשה</w:t>
      </w:r>
      <w:r w:rsidRPr="00BA316C">
        <w:rPr>
          <w:rFonts w:ascii="FrankRuehl" w:hAnsi="FrankRuehl" w:cs="FrankRuehl"/>
          <w:b/>
          <w:bCs/>
          <w:sz w:val="24"/>
          <w:szCs w:val="24"/>
          <w:rtl/>
        </w:rPr>
        <w:t xml:space="preserve"> </w:t>
      </w:r>
      <w:r w:rsidRPr="00BA316C">
        <w:rPr>
          <w:rFonts w:ascii="FrankRuehl" w:hAnsi="FrankRuehl" w:cs="FrankRuehl" w:hint="eastAsia"/>
          <w:b/>
          <w:bCs/>
          <w:sz w:val="24"/>
          <w:szCs w:val="24"/>
          <w:rtl/>
        </w:rPr>
        <w:t>תרבות</w:t>
      </w:r>
      <w:r w:rsidRPr="00BA316C">
        <w:rPr>
          <w:rFonts w:ascii="FrankRuehl" w:hAnsi="FrankRuehl" w:cs="FrankRuehl"/>
          <w:b/>
          <w:bCs/>
          <w:sz w:val="24"/>
          <w:szCs w:val="24"/>
          <w:rtl/>
        </w:rPr>
        <w:t xml:space="preserve"> </w:t>
      </w:r>
      <w:r w:rsidRPr="00BA316C">
        <w:rPr>
          <w:rFonts w:ascii="FrankRuehl" w:hAnsi="FrankRuehl" w:cs="FrankRuehl" w:hint="eastAsia"/>
          <w:b/>
          <w:bCs/>
          <w:sz w:val="24"/>
          <w:szCs w:val="24"/>
          <w:rtl/>
        </w:rPr>
        <w:t>מתוקנת</w:t>
      </w:r>
      <w:r w:rsidRPr="00BA316C">
        <w:rPr>
          <w:rFonts w:ascii="FrankRuehl" w:hAnsi="FrankRuehl" w:cs="FrankRuehl"/>
          <w:b/>
          <w:bCs/>
          <w:sz w:val="24"/>
          <w:szCs w:val="24"/>
          <w:rtl/>
        </w:rPr>
        <w:t xml:space="preserve">. </w:t>
      </w:r>
      <w:r w:rsidRPr="00BA316C">
        <w:rPr>
          <w:rFonts w:ascii="FrankRuehl" w:hAnsi="FrankRuehl" w:cs="FrankRuehl" w:hint="eastAsia"/>
          <w:b/>
          <w:bCs/>
          <w:sz w:val="24"/>
          <w:szCs w:val="24"/>
          <w:rtl/>
        </w:rPr>
        <w:t>נדרשו</w:t>
      </w:r>
      <w:r w:rsidRPr="00BA316C">
        <w:rPr>
          <w:rFonts w:ascii="FrankRuehl" w:hAnsi="FrankRuehl" w:cs="FrankRuehl"/>
          <w:b/>
          <w:bCs/>
          <w:sz w:val="24"/>
          <w:szCs w:val="24"/>
          <w:rtl/>
        </w:rPr>
        <w:t xml:space="preserve"> </w:t>
      </w:r>
      <w:r w:rsidRPr="00BA316C">
        <w:rPr>
          <w:rFonts w:ascii="FrankRuehl" w:hAnsi="FrankRuehl" w:cs="FrankRuehl" w:hint="cs"/>
          <w:b/>
          <w:bCs/>
          <w:sz w:val="24"/>
          <w:szCs w:val="24"/>
          <w:rtl/>
        </w:rPr>
        <w:t xml:space="preserve">נושאי משרה </w:t>
      </w:r>
      <w:r w:rsidRPr="00BA316C">
        <w:rPr>
          <w:rFonts w:ascii="FrankRuehl" w:hAnsi="FrankRuehl" w:cs="FrankRuehl" w:hint="eastAsia"/>
          <w:b/>
          <w:bCs/>
          <w:sz w:val="24"/>
          <w:szCs w:val="24"/>
          <w:rtl/>
        </w:rPr>
        <w:t>וגופים</w:t>
      </w:r>
      <w:r w:rsidRPr="00BA316C">
        <w:rPr>
          <w:rFonts w:ascii="FrankRuehl" w:hAnsi="FrankRuehl" w:cs="FrankRuehl"/>
          <w:b/>
          <w:bCs/>
          <w:sz w:val="24"/>
          <w:szCs w:val="24"/>
          <w:rtl/>
        </w:rPr>
        <w:t xml:space="preserve"> </w:t>
      </w:r>
      <w:r w:rsidRPr="00BA316C">
        <w:rPr>
          <w:rFonts w:ascii="FrankRuehl" w:hAnsi="FrankRuehl" w:cs="FrankRuehl" w:hint="eastAsia"/>
          <w:b/>
          <w:bCs/>
          <w:sz w:val="24"/>
          <w:szCs w:val="24"/>
          <w:rtl/>
        </w:rPr>
        <w:t>הפועלים</w:t>
      </w:r>
      <w:r w:rsidRPr="00BA316C">
        <w:rPr>
          <w:rFonts w:ascii="FrankRuehl" w:hAnsi="FrankRuehl" w:cs="FrankRuehl" w:hint="cs"/>
          <w:b/>
          <w:bCs/>
          <w:sz w:val="24"/>
          <w:szCs w:val="24"/>
          <w:rtl/>
        </w:rPr>
        <w:t xml:space="preserve"> בראש ובראשונה מתוך חובת נאמנות להיותם שליחי ציבור </w:t>
      </w:r>
      <w:r w:rsidRPr="00BA316C">
        <w:rPr>
          <w:rFonts w:ascii="FrankRuehl" w:hAnsi="FrankRuehl" w:cs="FrankRuehl"/>
          <w:b/>
          <w:bCs/>
          <w:sz w:val="24"/>
          <w:szCs w:val="24"/>
          <w:rtl/>
        </w:rPr>
        <w:t>–</w:t>
      </w:r>
      <w:r w:rsidRPr="00BA316C">
        <w:rPr>
          <w:rFonts w:ascii="FrankRuehl" w:hAnsi="FrankRuehl" w:cs="FrankRuehl" w:hint="cs"/>
          <w:b/>
          <w:bCs/>
          <w:sz w:val="24"/>
          <w:szCs w:val="24"/>
          <w:rtl/>
        </w:rPr>
        <w:t xml:space="preserve"> באחריות ו</w:t>
      </w:r>
      <w:r w:rsidRPr="00BA316C">
        <w:rPr>
          <w:rFonts w:ascii="FrankRuehl" w:hAnsi="FrankRuehl" w:cs="FrankRuehl" w:hint="eastAsia"/>
          <w:b/>
          <w:bCs/>
          <w:sz w:val="24"/>
          <w:szCs w:val="24"/>
          <w:rtl/>
        </w:rPr>
        <w:t>במקצועיות</w:t>
      </w:r>
      <w:r w:rsidRPr="00BA316C">
        <w:rPr>
          <w:rFonts w:ascii="FrankRuehl" w:hAnsi="FrankRuehl" w:cs="FrankRuehl" w:hint="cs"/>
          <w:b/>
          <w:bCs/>
          <w:sz w:val="24"/>
          <w:szCs w:val="24"/>
          <w:rtl/>
        </w:rPr>
        <w:t xml:space="preserve">, נושאי משרה הנוהגים לפי הכלל הבסיסי ש"במקום שאין </w:t>
      </w:r>
      <w:r w:rsidRPr="00BA316C">
        <w:rPr>
          <w:rFonts w:ascii="FrankRuehl" w:hAnsi="FrankRuehl" w:cs="FrankRuehl" w:hint="cs"/>
          <w:b/>
          <w:bCs/>
          <w:sz w:val="24"/>
          <w:szCs w:val="24"/>
          <w:rtl/>
        </w:rPr>
        <w:lastRenderedPageBreak/>
        <w:t xml:space="preserve">איש </w:t>
      </w:r>
      <w:r w:rsidRPr="00BA316C">
        <w:rPr>
          <w:rFonts w:ascii="FrankRuehl" w:hAnsi="FrankRuehl" w:cs="FrankRuehl"/>
          <w:b/>
          <w:bCs/>
          <w:sz w:val="24"/>
          <w:szCs w:val="24"/>
          <w:rtl/>
        </w:rPr>
        <w:t>–</w:t>
      </w:r>
      <w:r w:rsidRPr="00BA316C">
        <w:rPr>
          <w:rFonts w:ascii="FrankRuehl" w:hAnsi="FrankRuehl" w:cs="FrankRuehl" w:hint="cs"/>
          <w:b/>
          <w:bCs/>
          <w:sz w:val="24"/>
          <w:szCs w:val="24"/>
          <w:rtl/>
        </w:rPr>
        <w:t xml:space="preserve"> השתדל להיות איש".</w:t>
      </w:r>
      <w:r w:rsidRPr="00BA316C">
        <w:rPr>
          <w:rFonts w:ascii="FrankRuehl" w:hAnsi="FrankRuehl" w:cs="FrankRuehl"/>
          <w:b/>
          <w:bCs/>
          <w:sz w:val="24"/>
          <w:szCs w:val="24"/>
          <w:rtl/>
        </w:rPr>
        <w:t xml:space="preserve"> </w:t>
      </w:r>
      <w:r w:rsidRPr="00BA316C">
        <w:rPr>
          <w:rFonts w:ascii="FrankRuehl" w:hAnsi="FrankRuehl" w:cs="FrankRuehl" w:hint="cs"/>
          <w:b/>
          <w:bCs/>
          <w:sz w:val="24"/>
          <w:szCs w:val="24"/>
          <w:rtl/>
        </w:rPr>
        <w:t xml:space="preserve">נושאי משרה </w:t>
      </w:r>
      <w:r w:rsidRPr="00BA316C">
        <w:rPr>
          <w:rFonts w:ascii="FrankRuehl" w:hAnsi="FrankRuehl" w:cs="FrankRuehl"/>
          <w:b/>
          <w:bCs/>
          <w:sz w:val="24"/>
          <w:szCs w:val="24"/>
          <w:rtl/>
        </w:rPr>
        <w:t>ה</w:t>
      </w:r>
      <w:r w:rsidRPr="00BA316C">
        <w:rPr>
          <w:rFonts w:ascii="FrankRuehl" w:hAnsi="FrankRuehl" w:cs="FrankRuehl" w:hint="eastAsia"/>
          <w:b/>
          <w:bCs/>
          <w:sz w:val="24"/>
          <w:szCs w:val="24"/>
          <w:rtl/>
        </w:rPr>
        <w:t>פועלים</w:t>
      </w:r>
      <w:r w:rsidRPr="00BA316C">
        <w:rPr>
          <w:rFonts w:ascii="FrankRuehl" w:hAnsi="FrankRuehl" w:cs="FrankRuehl"/>
          <w:b/>
          <w:bCs/>
          <w:sz w:val="24"/>
          <w:szCs w:val="24"/>
          <w:rtl/>
        </w:rPr>
        <w:t xml:space="preserve"> </w:t>
      </w:r>
      <w:r w:rsidRPr="00BA316C">
        <w:rPr>
          <w:rFonts w:ascii="FrankRuehl" w:hAnsi="FrankRuehl" w:cs="FrankRuehl" w:hint="cs"/>
          <w:b/>
          <w:bCs/>
          <w:sz w:val="24"/>
          <w:szCs w:val="24"/>
          <w:rtl/>
        </w:rPr>
        <w:t>בחרדת קודש כדי</w:t>
      </w:r>
      <w:r w:rsidRPr="00BA316C">
        <w:rPr>
          <w:rFonts w:ascii="FrankRuehl" w:hAnsi="FrankRuehl" w:cs="FrankRuehl"/>
          <w:b/>
          <w:bCs/>
          <w:sz w:val="24"/>
          <w:szCs w:val="24"/>
          <w:rtl/>
        </w:rPr>
        <w:t xml:space="preserve"> </w:t>
      </w:r>
      <w:r w:rsidRPr="00BA316C">
        <w:rPr>
          <w:rFonts w:ascii="FrankRuehl" w:hAnsi="FrankRuehl" w:cs="FrankRuehl" w:hint="eastAsia"/>
          <w:b/>
          <w:bCs/>
          <w:sz w:val="24"/>
          <w:szCs w:val="24"/>
          <w:rtl/>
        </w:rPr>
        <w:t>לממש</w:t>
      </w:r>
      <w:r w:rsidRPr="00BA316C">
        <w:rPr>
          <w:rFonts w:ascii="FrankRuehl" w:hAnsi="FrankRuehl" w:cs="FrankRuehl"/>
          <w:b/>
          <w:bCs/>
          <w:sz w:val="24"/>
          <w:szCs w:val="24"/>
          <w:rtl/>
        </w:rPr>
        <w:t xml:space="preserve"> </w:t>
      </w:r>
      <w:r w:rsidRPr="00BA316C">
        <w:rPr>
          <w:rFonts w:ascii="FrankRuehl" w:hAnsi="FrankRuehl" w:cs="FrankRuehl" w:hint="eastAsia"/>
          <w:b/>
          <w:bCs/>
          <w:sz w:val="24"/>
          <w:szCs w:val="24"/>
          <w:rtl/>
        </w:rPr>
        <w:t>כראוי</w:t>
      </w:r>
      <w:r w:rsidRPr="00BA316C">
        <w:rPr>
          <w:rFonts w:ascii="FrankRuehl" w:hAnsi="FrankRuehl" w:cs="FrankRuehl"/>
          <w:b/>
          <w:bCs/>
          <w:sz w:val="24"/>
          <w:szCs w:val="24"/>
          <w:rtl/>
        </w:rPr>
        <w:t xml:space="preserve"> </w:t>
      </w:r>
      <w:r w:rsidRPr="00BA316C">
        <w:rPr>
          <w:rFonts w:ascii="FrankRuehl" w:hAnsi="FrankRuehl" w:cs="FrankRuehl" w:hint="eastAsia"/>
          <w:b/>
          <w:bCs/>
          <w:sz w:val="24"/>
          <w:szCs w:val="24"/>
          <w:rtl/>
        </w:rPr>
        <w:t>את</w:t>
      </w:r>
      <w:r w:rsidRPr="00BA316C">
        <w:rPr>
          <w:rFonts w:ascii="FrankRuehl" w:hAnsi="FrankRuehl" w:cs="FrankRuehl"/>
          <w:b/>
          <w:bCs/>
          <w:sz w:val="24"/>
          <w:szCs w:val="24"/>
          <w:rtl/>
        </w:rPr>
        <w:t xml:space="preserve"> </w:t>
      </w:r>
      <w:r w:rsidRPr="00BA316C">
        <w:rPr>
          <w:rFonts w:ascii="FrankRuehl" w:hAnsi="FrankRuehl" w:cs="FrankRuehl" w:hint="cs"/>
          <w:b/>
          <w:bCs/>
          <w:sz w:val="24"/>
          <w:szCs w:val="24"/>
          <w:rtl/>
        </w:rPr>
        <w:t xml:space="preserve">האחריות והסמכות שניתנו בידם לטובת </w:t>
      </w:r>
      <w:r w:rsidRPr="00BA316C">
        <w:rPr>
          <w:rFonts w:ascii="FrankRuehl" w:hAnsi="FrankRuehl" w:cs="FrankRuehl" w:hint="eastAsia"/>
          <w:b/>
          <w:bCs/>
          <w:sz w:val="24"/>
          <w:szCs w:val="24"/>
          <w:rtl/>
        </w:rPr>
        <w:t>הציבור</w:t>
      </w:r>
      <w:r w:rsidRPr="00BA316C">
        <w:rPr>
          <w:rFonts w:ascii="FrankRuehl" w:hAnsi="FrankRuehl" w:cs="FrankRuehl" w:hint="cs"/>
          <w:b/>
          <w:bCs/>
          <w:sz w:val="24"/>
          <w:szCs w:val="24"/>
          <w:rtl/>
        </w:rPr>
        <w:t xml:space="preserve"> ולשלומו.</w:t>
      </w:r>
    </w:p>
    <w:p w:rsidR="009C4D3F" w:rsidRPr="00BA316C" w:rsidRDefault="003C4E29" w:rsidP="003C4E29">
      <w:pPr>
        <w:spacing w:after="120" w:line="360" w:lineRule="auto"/>
        <w:contextualSpacing/>
        <w:jc w:val="both"/>
        <w:rPr>
          <w:rFonts w:ascii="FrankRuehl" w:hAnsi="FrankRuehl" w:cs="FrankRuehl"/>
          <w:b/>
          <w:bCs/>
          <w:sz w:val="24"/>
          <w:szCs w:val="24"/>
          <w:rtl/>
        </w:rPr>
      </w:pPr>
      <w:r w:rsidRPr="00BA316C">
        <w:rPr>
          <w:rFonts w:ascii="FrankRuehl" w:hAnsi="FrankRuehl" w:cs="FrankRuehl" w:hint="cs"/>
          <w:b/>
          <w:bCs/>
          <w:sz w:val="24"/>
          <w:szCs w:val="24"/>
          <w:rtl/>
        </w:rPr>
        <w:t xml:space="preserve">זוהי עת לחשבון נפש, אך גם שעת רצון והזדמנות לתיקון ולשיפור. אל לנו </w:t>
      </w:r>
      <w:proofErr w:type="spellStart"/>
      <w:r w:rsidRPr="00BA316C">
        <w:rPr>
          <w:rFonts w:ascii="FrankRuehl" w:hAnsi="FrankRuehl" w:cs="FrankRuehl" w:hint="cs"/>
          <w:b/>
          <w:bCs/>
          <w:sz w:val="24"/>
          <w:szCs w:val="24"/>
          <w:rtl/>
        </w:rPr>
        <w:t>להחמיצה</w:t>
      </w:r>
      <w:proofErr w:type="spellEnd"/>
      <w:r w:rsidRPr="00BA316C">
        <w:rPr>
          <w:rFonts w:ascii="FrankRuehl" w:hAnsi="FrankRuehl" w:cs="FrankRuehl" w:hint="cs"/>
          <w:b/>
          <w:bCs/>
          <w:sz w:val="24"/>
          <w:szCs w:val="24"/>
          <w:rtl/>
        </w:rPr>
        <w:t xml:space="preserve">! </w:t>
      </w:r>
      <w:r w:rsidRPr="00BA316C">
        <w:rPr>
          <w:rFonts w:ascii="Times New Roman" w:hAnsi="Times New Roman" w:cs="FrankRuehl" w:hint="cs"/>
          <w:b/>
          <w:bCs/>
          <w:sz w:val="24"/>
          <w:szCs w:val="24"/>
          <w:rtl/>
        </w:rPr>
        <w:t>כך, בנוגע לאתר קבר הרשב"י וכך בנוגע למקומות אחרים ולנושאים אחרים שהדברים בדוח זה נכונים להם".</w:t>
      </w:r>
    </w:p>
    <w:p w:rsidR="008B7435" w:rsidRPr="00BA316C" w:rsidRDefault="008B7435" w:rsidP="003C4E29">
      <w:pPr>
        <w:spacing w:after="120" w:line="360" w:lineRule="auto"/>
        <w:contextualSpacing/>
        <w:jc w:val="both"/>
        <w:rPr>
          <w:rFonts w:ascii="FrankRuehl" w:hAnsi="FrankRuehl" w:cs="FrankRuehl"/>
          <w:b/>
          <w:bCs/>
          <w:sz w:val="24"/>
          <w:szCs w:val="24"/>
          <w:rtl/>
        </w:rPr>
      </w:pPr>
    </w:p>
    <w:p w:rsidR="008B7435" w:rsidRPr="00BA316C" w:rsidRDefault="008B7435" w:rsidP="003C4E29">
      <w:pPr>
        <w:spacing w:after="120" w:line="360" w:lineRule="auto"/>
        <w:contextualSpacing/>
        <w:jc w:val="both"/>
        <w:rPr>
          <w:rFonts w:ascii="FrankRuehl" w:hAnsi="FrankRuehl" w:cs="FrankRuehl"/>
          <w:sz w:val="24"/>
          <w:szCs w:val="24"/>
          <w:rtl/>
        </w:rPr>
      </w:pPr>
      <w:r w:rsidRPr="00BA316C">
        <w:rPr>
          <w:rFonts w:ascii="FrankRuehl" w:hAnsi="FrankRuehl" w:cs="FrankRuehl" w:hint="cs"/>
          <w:sz w:val="24"/>
          <w:szCs w:val="24"/>
          <w:rtl/>
        </w:rPr>
        <w:t xml:space="preserve">מצורף הדו"ח אשר הוגש היום לממשלה. </w:t>
      </w:r>
    </w:p>
    <w:p w:rsidR="00872EDA" w:rsidRDefault="008B7435" w:rsidP="00155686">
      <w:pPr>
        <w:spacing w:after="120" w:line="360" w:lineRule="auto"/>
        <w:contextualSpacing/>
        <w:jc w:val="both"/>
        <w:rPr>
          <w:rFonts w:ascii="FrankRuehl" w:hAnsi="FrankRuehl" w:cs="FrankRuehl"/>
          <w:sz w:val="24"/>
          <w:szCs w:val="24"/>
          <w:rtl/>
        </w:rPr>
      </w:pPr>
      <w:r w:rsidRPr="008B7435">
        <w:rPr>
          <w:rFonts w:ascii="FrankRuehl" w:hAnsi="FrankRuehl" w:cs="FrankRuehl"/>
          <w:sz w:val="24"/>
          <w:szCs w:val="24"/>
          <w:rtl/>
        </w:rPr>
        <w:tab/>
      </w:r>
      <w:r w:rsidRPr="008B7435">
        <w:rPr>
          <w:rFonts w:ascii="FrankRuehl" w:hAnsi="FrankRuehl" w:cs="FrankRuehl"/>
          <w:sz w:val="24"/>
          <w:szCs w:val="24"/>
          <w:rtl/>
        </w:rPr>
        <w:tab/>
      </w:r>
      <w:r w:rsidRPr="008B7435">
        <w:rPr>
          <w:rFonts w:ascii="FrankRuehl" w:hAnsi="FrankRuehl" w:cs="FrankRuehl"/>
          <w:sz w:val="24"/>
          <w:szCs w:val="24"/>
          <w:rtl/>
        </w:rPr>
        <w:tab/>
      </w:r>
      <w:r w:rsidRPr="008B7435">
        <w:rPr>
          <w:rFonts w:ascii="FrankRuehl" w:hAnsi="FrankRuehl" w:cs="FrankRuehl"/>
          <w:sz w:val="24"/>
          <w:szCs w:val="24"/>
          <w:rtl/>
        </w:rPr>
        <w:tab/>
      </w:r>
      <w:r w:rsidR="00155686">
        <w:rPr>
          <w:rFonts w:ascii="FrankRuehl" w:hAnsi="FrankRuehl" w:cs="FrankRuehl"/>
          <w:sz w:val="24"/>
          <w:szCs w:val="24"/>
          <w:rtl/>
        </w:rPr>
        <w:tab/>
      </w:r>
      <w:r w:rsidR="00155686">
        <w:rPr>
          <w:rFonts w:ascii="FrankRuehl" w:hAnsi="FrankRuehl" w:cs="FrankRuehl"/>
          <w:sz w:val="24"/>
          <w:szCs w:val="24"/>
          <w:rtl/>
        </w:rPr>
        <w:tab/>
      </w:r>
      <w:r w:rsidR="00155686">
        <w:rPr>
          <w:rFonts w:ascii="FrankRuehl" w:hAnsi="FrankRuehl" w:cs="FrankRuehl"/>
          <w:sz w:val="24"/>
          <w:szCs w:val="24"/>
          <w:rtl/>
        </w:rPr>
        <w:tab/>
      </w:r>
      <w:r w:rsidR="00155686">
        <w:rPr>
          <w:rFonts w:ascii="FrankRuehl" w:hAnsi="FrankRuehl" w:cs="FrankRuehl"/>
          <w:sz w:val="24"/>
          <w:szCs w:val="24"/>
          <w:rtl/>
        </w:rPr>
        <w:tab/>
      </w:r>
    </w:p>
    <w:p w:rsidR="00872EDA" w:rsidRDefault="00872EDA" w:rsidP="00155686">
      <w:pPr>
        <w:spacing w:after="120" w:line="360" w:lineRule="auto"/>
        <w:contextualSpacing/>
        <w:jc w:val="both"/>
        <w:rPr>
          <w:rFonts w:ascii="FrankRuehl" w:hAnsi="FrankRuehl" w:cs="FrankRuehl"/>
          <w:sz w:val="24"/>
          <w:szCs w:val="24"/>
          <w:rtl/>
        </w:rPr>
      </w:pPr>
    </w:p>
    <w:p w:rsidR="008B7435" w:rsidRDefault="00155686" w:rsidP="00872EDA">
      <w:pPr>
        <w:spacing w:after="120" w:line="360" w:lineRule="auto"/>
        <w:ind w:left="5040" w:firstLine="720"/>
        <w:contextualSpacing/>
        <w:jc w:val="both"/>
        <w:rPr>
          <w:rFonts w:ascii="FrankRuehl" w:hAnsi="FrankRuehl" w:cs="FrankRuehl"/>
          <w:sz w:val="24"/>
          <w:szCs w:val="24"/>
          <w:rtl/>
        </w:rPr>
      </w:pPr>
      <w:r>
        <w:rPr>
          <w:rFonts w:ascii="FrankRuehl" w:hAnsi="FrankRuehl" w:cs="FrankRuehl" w:hint="cs"/>
          <w:sz w:val="24"/>
          <w:szCs w:val="24"/>
          <w:rtl/>
        </w:rPr>
        <w:t>נ</w:t>
      </w:r>
      <w:r w:rsidR="008B7435" w:rsidRPr="008B7435">
        <w:rPr>
          <w:rFonts w:ascii="FrankRuehl" w:hAnsi="FrankRuehl" w:cs="FrankRuehl" w:hint="cs"/>
          <w:sz w:val="24"/>
          <w:szCs w:val="24"/>
          <w:rtl/>
        </w:rPr>
        <w:t>עמה שחר</w:t>
      </w:r>
      <w:r w:rsidR="008B7435">
        <w:rPr>
          <w:rFonts w:ascii="FrankRuehl" w:hAnsi="FrankRuehl" w:cs="FrankRuehl" w:hint="cs"/>
          <w:sz w:val="24"/>
          <w:szCs w:val="24"/>
          <w:rtl/>
        </w:rPr>
        <w:t>, עו"ד</w:t>
      </w:r>
    </w:p>
    <w:p w:rsidR="00EE25E3" w:rsidRPr="003C4E29" w:rsidRDefault="008B7435" w:rsidP="008B7435">
      <w:pPr>
        <w:spacing w:after="120" w:line="360" w:lineRule="auto"/>
        <w:contextualSpacing/>
        <w:jc w:val="both"/>
        <w:rPr>
          <w:rFonts w:ascii="FrankRuehl" w:hAnsi="FrankRuehl" w:cs="FrankRuehl"/>
          <w:sz w:val="24"/>
          <w:szCs w:val="24"/>
        </w:rPr>
      </w:pPr>
      <w:r>
        <w:rPr>
          <w:rFonts w:ascii="FrankRuehl" w:hAnsi="FrankRuehl" w:cs="FrankRuehl"/>
          <w:sz w:val="24"/>
          <w:szCs w:val="24"/>
          <w:rtl/>
        </w:rPr>
        <w:tab/>
      </w:r>
      <w:r>
        <w:rPr>
          <w:rFonts w:ascii="FrankRuehl" w:hAnsi="FrankRuehl" w:cs="FrankRuehl"/>
          <w:sz w:val="24"/>
          <w:szCs w:val="24"/>
          <w:rtl/>
        </w:rPr>
        <w:tab/>
      </w:r>
      <w:r>
        <w:rPr>
          <w:rFonts w:ascii="FrankRuehl" w:hAnsi="FrankRuehl" w:cs="FrankRuehl"/>
          <w:sz w:val="24"/>
          <w:szCs w:val="24"/>
          <w:rtl/>
        </w:rPr>
        <w:tab/>
      </w:r>
      <w:r w:rsidRPr="008B7435">
        <w:rPr>
          <w:rFonts w:ascii="FrankRuehl" w:hAnsi="FrankRuehl" w:cs="FrankRuehl" w:hint="cs"/>
          <w:sz w:val="24"/>
          <w:szCs w:val="24"/>
          <w:rtl/>
        </w:rPr>
        <w:t xml:space="preserve"> </w:t>
      </w:r>
      <w:r>
        <w:rPr>
          <w:rFonts w:ascii="FrankRuehl" w:hAnsi="FrankRuehl" w:cs="FrankRuehl"/>
          <w:sz w:val="24"/>
          <w:szCs w:val="24"/>
          <w:rtl/>
        </w:rPr>
        <w:tab/>
      </w:r>
      <w:r>
        <w:rPr>
          <w:rFonts w:ascii="FrankRuehl" w:hAnsi="FrankRuehl" w:cs="FrankRuehl"/>
          <w:sz w:val="24"/>
          <w:szCs w:val="24"/>
          <w:rtl/>
        </w:rPr>
        <w:tab/>
      </w:r>
      <w:r>
        <w:rPr>
          <w:rFonts w:ascii="FrankRuehl" w:hAnsi="FrankRuehl" w:cs="FrankRuehl"/>
          <w:sz w:val="24"/>
          <w:szCs w:val="24"/>
          <w:rtl/>
        </w:rPr>
        <w:tab/>
      </w:r>
      <w:r>
        <w:rPr>
          <w:rFonts w:ascii="FrankRuehl" w:hAnsi="FrankRuehl" w:cs="FrankRuehl"/>
          <w:sz w:val="24"/>
          <w:szCs w:val="24"/>
          <w:rtl/>
        </w:rPr>
        <w:tab/>
      </w:r>
      <w:r>
        <w:rPr>
          <w:rFonts w:ascii="FrankRuehl" w:hAnsi="FrankRuehl" w:cs="FrankRuehl"/>
          <w:sz w:val="24"/>
          <w:szCs w:val="24"/>
          <w:rtl/>
        </w:rPr>
        <w:tab/>
      </w:r>
      <w:r>
        <w:rPr>
          <w:rFonts w:ascii="FrankRuehl" w:hAnsi="FrankRuehl" w:cs="FrankRuehl" w:hint="cs"/>
          <w:sz w:val="24"/>
          <w:szCs w:val="24"/>
          <w:rtl/>
        </w:rPr>
        <w:t>דוברת הוועדה</w:t>
      </w:r>
    </w:p>
    <w:sectPr w:rsidR="00EE25E3" w:rsidRPr="003C4E29" w:rsidSect="00880C1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DA" w:rsidRDefault="00872EDA" w:rsidP="00872EDA">
      <w:pPr>
        <w:spacing w:after="0" w:line="240" w:lineRule="auto"/>
      </w:pPr>
      <w:r>
        <w:separator/>
      </w:r>
    </w:p>
  </w:endnote>
  <w:endnote w:type="continuationSeparator" w:id="0">
    <w:p w:rsidR="00872EDA" w:rsidRDefault="00872EDA" w:rsidP="0087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DA" w:rsidRDefault="00872EDA" w:rsidP="00872EDA">
      <w:pPr>
        <w:spacing w:after="0" w:line="240" w:lineRule="auto"/>
      </w:pPr>
      <w:r>
        <w:separator/>
      </w:r>
    </w:p>
  </w:footnote>
  <w:footnote w:type="continuationSeparator" w:id="0">
    <w:p w:rsidR="00872EDA" w:rsidRDefault="00872EDA" w:rsidP="0087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EDA" w:rsidRPr="007D5856" w:rsidRDefault="00872EDA" w:rsidP="00872EDA">
    <w:pPr>
      <w:tabs>
        <w:tab w:val="center" w:pos="4153"/>
        <w:tab w:val="right" w:pos="8306"/>
      </w:tabs>
      <w:spacing w:after="0" w:line="240" w:lineRule="auto"/>
      <w:jc w:val="center"/>
      <w:rPr>
        <w:rFonts w:ascii="Calibri" w:eastAsia="Calibri" w:hAnsi="Calibri" w:cs="Arial"/>
        <w:rtl/>
      </w:rPr>
    </w:pPr>
    <w:r w:rsidRPr="007D5856">
      <w:rPr>
        <w:rFonts w:ascii="Calibri" w:eastAsia="Calibri" w:hAnsi="Calibri" w:cs="Arial"/>
        <w:noProof/>
      </w:rPr>
      <w:drawing>
        <wp:inline distT="0" distB="0" distL="0" distR="0" wp14:anchorId="4E59E26D" wp14:editId="695041CB">
          <wp:extent cx="524510" cy="620395"/>
          <wp:effectExtent l="0" t="0" r="8890" b="8255"/>
          <wp:docPr id="60" name="תמונה 60"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 descr="seme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4510" cy="620395"/>
                  </a:xfrm>
                  <a:prstGeom prst="rect">
                    <a:avLst/>
                  </a:prstGeom>
                  <a:noFill/>
                  <a:ln>
                    <a:noFill/>
                  </a:ln>
                </pic:spPr>
              </pic:pic>
            </a:graphicData>
          </a:graphic>
        </wp:inline>
      </w:drawing>
    </w:r>
  </w:p>
  <w:p w:rsidR="00872EDA" w:rsidRPr="007D5856" w:rsidRDefault="00872EDA" w:rsidP="00872EDA">
    <w:pPr>
      <w:tabs>
        <w:tab w:val="center" w:pos="4153"/>
        <w:tab w:val="right" w:pos="8306"/>
      </w:tabs>
      <w:spacing w:after="0" w:line="240" w:lineRule="auto"/>
      <w:jc w:val="center"/>
      <w:rPr>
        <w:rFonts w:ascii="Calibri" w:eastAsia="Calibri" w:hAnsi="Calibri" w:cs="Arial"/>
        <w:rtl/>
      </w:rPr>
    </w:pPr>
    <w:r w:rsidRPr="007D5856">
      <w:rPr>
        <w:rFonts w:ascii="Calibri" w:eastAsia="Calibri" w:hAnsi="Calibri" w:cs="FrankRuehl" w:hint="cs"/>
        <w:color w:val="000080"/>
        <w:spacing w:val="10"/>
        <w:kern w:val="22"/>
        <w:sz w:val="28"/>
        <w:szCs w:val="28"/>
        <w:rtl/>
      </w:rPr>
      <w:t>ועדת החקירה הממלכתית לחקר אסון הר מירון</w:t>
    </w:r>
    <w:r w:rsidRPr="007D5856">
      <w:rPr>
        <w:rFonts w:ascii="Calibri" w:eastAsia="Calibri" w:hAnsi="Calibri" w:cs="FrankRuehl"/>
        <w:color w:val="000080"/>
        <w:spacing w:val="10"/>
        <w:sz w:val="20"/>
        <w:szCs w:val="24"/>
        <w:rtl/>
      </w:rPr>
      <w:t xml:space="preserve"> </w:t>
    </w:r>
  </w:p>
  <w:p w:rsidR="00872EDA" w:rsidRDefault="00872ED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C31C1"/>
    <w:multiLevelType w:val="multilevel"/>
    <w:tmpl w:val="BFBAF4FA"/>
    <w:lvl w:ilvl="0">
      <w:start w:val="1"/>
      <w:numFmt w:val="decimal"/>
      <w:lvlText w:val="%1)"/>
      <w:lvlJc w:val="left"/>
      <w:pPr>
        <w:ind w:left="360" w:hanging="360"/>
      </w:pPr>
      <w:rPr>
        <w:rFonts w:hint="default"/>
        <w:b w:val="0"/>
        <w:bCs w:val="0"/>
        <w:color w:val="auto"/>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8A472BD"/>
    <w:multiLevelType w:val="hybridMultilevel"/>
    <w:tmpl w:val="A748E12A"/>
    <w:lvl w:ilvl="0" w:tplc="CE0C1B04">
      <w:start w:val="1"/>
      <w:numFmt w:val="decimal"/>
      <w:lvlText w:val="%1."/>
      <w:lvlJc w:val="left"/>
      <w:pPr>
        <w:ind w:left="360" w:hanging="360"/>
      </w:pPr>
      <w:rPr>
        <w:rFonts w:ascii="FrankRuehl" w:hAnsi="FrankRuehl" w:cs="FrankRuehl" w:hint="default"/>
        <w:color w:val="auto"/>
      </w:rPr>
    </w:lvl>
    <w:lvl w:ilvl="1" w:tplc="EF88CD3E" w:tentative="1">
      <w:start w:val="1"/>
      <w:numFmt w:val="lowerLetter"/>
      <w:lvlText w:val="%2."/>
      <w:lvlJc w:val="left"/>
      <w:pPr>
        <w:ind w:left="1080" w:hanging="360"/>
      </w:pPr>
    </w:lvl>
    <w:lvl w:ilvl="2" w:tplc="5F4A2BD6" w:tentative="1">
      <w:start w:val="1"/>
      <w:numFmt w:val="lowerRoman"/>
      <w:lvlText w:val="%3."/>
      <w:lvlJc w:val="right"/>
      <w:pPr>
        <w:ind w:left="1800" w:hanging="180"/>
      </w:pPr>
    </w:lvl>
    <w:lvl w:ilvl="3" w:tplc="1A34C3F6" w:tentative="1">
      <w:start w:val="1"/>
      <w:numFmt w:val="decimal"/>
      <w:lvlText w:val="%4."/>
      <w:lvlJc w:val="left"/>
      <w:pPr>
        <w:ind w:left="2520" w:hanging="360"/>
      </w:pPr>
    </w:lvl>
    <w:lvl w:ilvl="4" w:tplc="51E4167E" w:tentative="1">
      <w:start w:val="1"/>
      <w:numFmt w:val="lowerLetter"/>
      <w:lvlText w:val="%5."/>
      <w:lvlJc w:val="left"/>
      <w:pPr>
        <w:ind w:left="3240" w:hanging="360"/>
      </w:pPr>
    </w:lvl>
    <w:lvl w:ilvl="5" w:tplc="29669E02" w:tentative="1">
      <w:start w:val="1"/>
      <w:numFmt w:val="lowerRoman"/>
      <w:lvlText w:val="%6."/>
      <w:lvlJc w:val="right"/>
      <w:pPr>
        <w:ind w:left="3960" w:hanging="180"/>
      </w:pPr>
    </w:lvl>
    <w:lvl w:ilvl="6" w:tplc="26224B82" w:tentative="1">
      <w:start w:val="1"/>
      <w:numFmt w:val="decimal"/>
      <w:lvlText w:val="%7."/>
      <w:lvlJc w:val="left"/>
      <w:pPr>
        <w:ind w:left="4680" w:hanging="360"/>
      </w:pPr>
    </w:lvl>
    <w:lvl w:ilvl="7" w:tplc="4A02B56C" w:tentative="1">
      <w:start w:val="1"/>
      <w:numFmt w:val="lowerLetter"/>
      <w:lvlText w:val="%8."/>
      <w:lvlJc w:val="left"/>
      <w:pPr>
        <w:ind w:left="5400" w:hanging="360"/>
      </w:pPr>
    </w:lvl>
    <w:lvl w:ilvl="8" w:tplc="8DDEF07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29"/>
    <w:rsid w:val="0000132C"/>
    <w:rsid w:val="000854CD"/>
    <w:rsid w:val="000A71CC"/>
    <w:rsid w:val="00111CCA"/>
    <w:rsid w:val="00155686"/>
    <w:rsid w:val="001A61D9"/>
    <w:rsid w:val="00297442"/>
    <w:rsid w:val="003C4E29"/>
    <w:rsid w:val="004916F6"/>
    <w:rsid w:val="006477A1"/>
    <w:rsid w:val="007375DA"/>
    <w:rsid w:val="007513E1"/>
    <w:rsid w:val="00752713"/>
    <w:rsid w:val="0080457B"/>
    <w:rsid w:val="0082174B"/>
    <w:rsid w:val="00872EDA"/>
    <w:rsid w:val="00880C16"/>
    <w:rsid w:val="008B7435"/>
    <w:rsid w:val="009A6E33"/>
    <w:rsid w:val="009C4D3F"/>
    <w:rsid w:val="009F7435"/>
    <w:rsid w:val="00BA316C"/>
    <w:rsid w:val="00C066B3"/>
    <w:rsid w:val="00C622F4"/>
    <w:rsid w:val="00EE2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0ED4"/>
  <w15:chartTrackingRefBased/>
  <w15:docId w15:val="{32F51E31-AAA6-4AEF-AFA1-DEDAD823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E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E29"/>
    <w:pPr>
      <w:ind w:left="720"/>
      <w:contextualSpacing/>
    </w:pPr>
  </w:style>
  <w:style w:type="character" w:customStyle="1" w:styleId="a4">
    <w:name w:val="פיסקת רשימה תו"/>
    <w:basedOn w:val="a0"/>
    <w:link w:val="a3"/>
    <w:uiPriority w:val="34"/>
    <w:rsid w:val="003C4E29"/>
  </w:style>
  <w:style w:type="paragraph" w:styleId="a5">
    <w:name w:val="Quote"/>
    <w:basedOn w:val="a"/>
    <w:next w:val="a"/>
    <w:link w:val="a6"/>
    <w:uiPriority w:val="29"/>
    <w:qFormat/>
    <w:rsid w:val="003C4E29"/>
    <w:pPr>
      <w:spacing w:before="200"/>
      <w:ind w:left="864" w:right="864"/>
      <w:jc w:val="center"/>
    </w:pPr>
    <w:rPr>
      <w:i/>
      <w:iCs/>
      <w:color w:val="404040" w:themeColor="text1" w:themeTint="BF"/>
    </w:rPr>
  </w:style>
  <w:style w:type="character" w:customStyle="1" w:styleId="a6">
    <w:name w:val="ציטוט תו"/>
    <w:basedOn w:val="a0"/>
    <w:link w:val="a5"/>
    <w:uiPriority w:val="29"/>
    <w:rsid w:val="003C4E29"/>
    <w:rPr>
      <w:i/>
      <w:iCs/>
      <w:color w:val="404040" w:themeColor="text1" w:themeTint="BF"/>
    </w:rPr>
  </w:style>
  <w:style w:type="character" w:styleId="a7">
    <w:name w:val="annotation reference"/>
    <w:basedOn w:val="a0"/>
    <w:uiPriority w:val="99"/>
    <w:semiHidden/>
    <w:unhideWhenUsed/>
    <w:rsid w:val="000854CD"/>
    <w:rPr>
      <w:sz w:val="16"/>
      <w:szCs w:val="16"/>
    </w:rPr>
  </w:style>
  <w:style w:type="paragraph" w:styleId="a8">
    <w:name w:val="annotation text"/>
    <w:basedOn w:val="a"/>
    <w:link w:val="a9"/>
    <w:uiPriority w:val="99"/>
    <w:unhideWhenUsed/>
    <w:rsid w:val="000854CD"/>
    <w:pPr>
      <w:spacing w:line="240" w:lineRule="auto"/>
    </w:pPr>
    <w:rPr>
      <w:sz w:val="20"/>
      <w:szCs w:val="20"/>
    </w:rPr>
  </w:style>
  <w:style w:type="character" w:customStyle="1" w:styleId="a9">
    <w:name w:val="טקסט הערה תו"/>
    <w:basedOn w:val="a0"/>
    <w:link w:val="a8"/>
    <w:uiPriority w:val="99"/>
    <w:rsid w:val="000854CD"/>
    <w:rPr>
      <w:sz w:val="20"/>
      <w:szCs w:val="20"/>
    </w:rPr>
  </w:style>
  <w:style w:type="paragraph" w:styleId="aa">
    <w:name w:val="annotation subject"/>
    <w:basedOn w:val="a8"/>
    <w:next w:val="a8"/>
    <w:link w:val="ab"/>
    <w:uiPriority w:val="99"/>
    <w:semiHidden/>
    <w:unhideWhenUsed/>
    <w:rsid w:val="000854CD"/>
    <w:rPr>
      <w:b/>
      <w:bCs/>
    </w:rPr>
  </w:style>
  <w:style w:type="character" w:customStyle="1" w:styleId="ab">
    <w:name w:val="נושא הערה תו"/>
    <w:basedOn w:val="a9"/>
    <w:link w:val="aa"/>
    <w:uiPriority w:val="99"/>
    <w:semiHidden/>
    <w:rsid w:val="000854CD"/>
    <w:rPr>
      <w:b/>
      <w:bCs/>
      <w:sz w:val="20"/>
      <w:szCs w:val="20"/>
    </w:rPr>
  </w:style>
  <w:style w:type="paragraph" w:styleId="ac">
    <w:name w:val="Balloon Text"/>
    <w:basedOn w:val="a"/>
    <w:link w:val="ad"/>
    <w:uiPriority w:val="99"/>
    <w:semiHidden/>
    <w:unhideWhenUsed/>
    <w:rsid w:val="000854CD"/>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0854CD"/>
    <w:rPr>
      <w:rFonts w:ascii="Tahoma" w:hAnsi="Tahoma" w:cs="Tahoma"/>
      <w:sz w:val="18"/>
      <w:szCs w:val="18"/>
    </w:rPr>
  </w:style>
  <w:style w:type="paragraph" w:styleId="ae">
    <w:name w:val="Revision"/>
    <w:hidden/>
    <w:uiPriority w:val="99"/>
    <w:semiHidden/>
    <w:rsid w:val="0000132C"/>
    <w:pPr>
      <w:spacing w:after="0" w:line="240" w:lineRule="auto"/>
    </w:pPr>
  </w:style>
  <w:style w:type="paragraph" w:styleId="af">
    <w:name w:val="header"/>
    <w:basedOn w:val="a"/>
    <w:link w:val="af0"/>
    <w:uiPriority w:val="99"/>
    <w:unhideWhenUsed/>
    <w:rsid w:val="00872EDA"/>
    <w:pPr>
      <w:tabs>
        <w:tab w:val="center" w:pos="4153"/>
        <w:tab w:val="right" w:pos="8306"/>
      </w:tabs>
      <w:spacing w:after="0" w:line="240" w:lineRule="auto"/>
    </w:pPr>
  </w:style>
  <w:style w:type="character" w:customStyle="1" w:styleId="af0">
    <w:name w:val="כותרת עליונה תו"/>
    <w:basedOn w:val="a0"/>
    <w:link w:val="af"/>
    <w:uiPriority w:val="99"/>
    <w:rsid w:val="00872EDA"/>
  </w:style>
  <w:style w:type="paragraph" w:styleId="af1">
    <w:name w:val="footer"/>
    <w:basedOn w:val="a"/>
    <w:link w:val="af2"/>
    <w:uiPriority w:val="99"/>
    <w:unhideWhenUsed/>
    <w:rsid w:val="00872EDA"/>
    <w:pPr>
      <w:tabs>
        <w:tab w:val="center" w:pos="4153"/>
        <w:tab w:val="right" w:pos="8306"/>
      </w:tabs>
      <w:spacing w:after="0" w:line="240" w:lineRule="auto"/>
    </w:pPr>
  </w:style>
  <w:style w:type="character" w:customStyle="1" w:styleId="af2">
    <w:name w:val="כותרת תחתונה תו"/>
    <w:basedOn w:val="a0"/>
    <w:link w:val="af1"/>
    <w:uiPriority w:val="99"/>
    <w:rsid w:val="0087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8811</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נעמה שחר</dc:creator>
  <cp:keywords/>
  <dc:description/>
  <cp:lastModifiedBy>נעמה שחר</cp:lastModifiedBy>
  <cp:revision>2</cp:revision>
  <dcterms:created xsi:type="dcterms:W3CDTF">2024-03-06T07:45:00Z</dcterms:created>
  <dcterms:modified xsi:type="dcterms:W3CDTF">2024-03-06T07:45:00Z</dcterms:modified>
</cp:coreProperties>
</file>