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bidiVisual/>
        <w:tblW w:w="0" w:type="auto"/>
        <w:tblLook w:val="04A0" w:firstRow="1" w:lastRow="0" w:firstColumn="1" w:lastColumn="0" w:noHBand="0" w:noVBand="1"/>
      </w:tblPr>
      <w:tblGrid>
        <w:gridCol w:w="792"/>
        <w:gridCol w:w="1843"/>
        <w:gridCol w:w="5661"/>
      </w:tblGrid>
      <w:tr w:rsidR="00662475" w14:paraId="5B5945E7" w14:textId="77777777" w:rsidTr="00A53E4F">
        <w:tc>
          <w:tcPr>
            <w:tcW w:w="8296" w:type="dxa"/>
            <w:gridSpan w:val="3"/>
            <w:shd w:val="clear" w:color="auto" w:fill="auto"/>
          </w:tcPr>
          <w:p w14:paraId="3783EE49" w14:textId="79C24B59" w:rsidR="00DB0887" w:rsidRPr="00B94C49" w:rsidRDefault="002C78A3" w:rsidP="00E01D6E">
            <w:pPr>
              <w:bidi w:val="0"/>
              <w:jc w:val="center"/>
              <w:rPr>
                <w:rFonts w:asciiTheme="majorBidi" w:hAnsiTheme="majorBidi" w:cstheme="majorBidi"/>
                <w:sz w:val="28"/>
                <w:szCs w:val="28"/>
              </w:rPr>
            </w:pPr>
            <w:r w:rsidRPr="00B94C49">
              <w:rPr>
                <w:rFonts w:asciiTheme="majorBidi" w:hAnsiTheme="majorBidi" w:cs="Times New Roman"/>
                <w:sz w:val="28"/>
                <w:szCs w:val="28"/>
              </w:rPr>
              <w:t xml:space="preserve">9.2024                          </w:t>
            </w:r>
            <w:r w:rsidRPr="00B94C49">
              <w:rPr>
                <w:rFonts w:asciiTheme="majorBidi" w:hAnsiTheme="majorBidi" w:cs="Times New Roman"/>
                <w:sz w:val="28"/>
                <w:szCs w:val="28"/>
                <w:rtl/>
              </w:rPr>
              <w:t>תיעדוף תרופות אונקולוגיות ע"י האיגוד האונקולוגי</w:t>
            </w:r>
            <w:r w:rsidRPr="00B94C49">
              <w:rPr>
                <w:rFonts w:asciiTheme="majorBidi" w:hAnsiTheme="majorBidi" w:cs="Times New Roman"/>
                <w:sz w:val="28"/>
                <w:szCs w:val="28"/>
              </w:rPr>
              <w:t xml:space="preserve"> </w:t>
            </w:r>
          </w:p>
        </w:tc>
      </w:tr>
      <w:tr w:rsidR="00662475" w14:paraId="75DF099D" w14:textId="77777777" w:rsidTr="00A53E4F">
        <w:tc>
          <w:tcPr>
            <w:tcW w:w="8296" w:type="dxa"/>
            <w:gridSpan w:val="3"/>
            <w:shd w:val="clear" w:color="auto" w:fill="auto"/>
          </w:tcPr>
          <w:p w14:paraId="6B27EDEA" w14:textId="0DF39820" w:rsidR="00B94C49" w:rsidRPr="00B94C49" w:rsidRDefault="002C78A3" w:rsidP="00B94C49">
            <w:pPr>
              <w:bidi w:val="0"/>
              <w:jc w:val="right"/>
              <w:rPr>
                <w:rFonts w:asciiTheme="majorBidi" w:hAnsiTheme="majorBidi" w:cs="Times New Roman"/>
                <w:b/>
                <w:bCs/>
                <w:sz w:val="24"/>
                <w:szCs w:val="24"/>
                <w:rtl/>
              </w:rPr>
            </w:pPr>
            <w:r w:rsidRPr="00B94C49">
              <w:rPr>
                <w:rFonts w:asciiTheme="majorBidi" w:hAnsiTheme="majorBidi" w:cs="Times New Roman" w:hint="cs"/>
                <w:b/>
                <w:bCs/>
                <w:sz w:val="24"/>
                <w:szCs w:val="24"/>
                <w:rtl/>
              </w:rPr>
              <w:t>דירוג תרופות</w:t>
            </w:r>
          </w:p>
        </w:tc>
      </w:tr>
      <w:tr w:rsidR="00662475" w14:paraId="47DC8E3C" w14:textId="77777777" w:rsidTr="00F455BE">
        <w:tc>
          <w:tcPr>
            <w:tcW w:w="792" w:type="dxa"/>
            <w:shd w:val="clear" w:color="auto" w:fill="auto"/>
          </w:tcPr>
          <w:p w14:paraId="56C6E9FA" w14:textId="767D76C2" w:rsidR="00F455BE" w:rsidRPr="00B94C49" w:rsidRDefault="002C78A3" w:rsidP="00E01D6E">
            <w:pPr>
              <w:bidi w:val="0"/>
              <w:jc w:val="center"/>
              <w:rPr>
                <w:rtl/>
              </w:rPr>
            </w:pPr>
            <w:r w:rsidRPr="00B94C49">
              <w:rPr>
                <w:rFonts w:asciiTheme="majorBidi" w:hAnsiTheme="majorBidi" w:cstheme="majorBidi"/>
              </w:rPr>
              <w:t>1</w:t>
            </w:r>
          </w:p>
        </w:tc>
        <w:tc>
          <w:tcPr>
            <w:tcW w:w="1843" w:type="dxa"/>
            <w:shd w:val="clear" w:color="auto" w:fill="auto"/>
          </w:tcPr>
          <w:p w14:paraId="280B11FC" w14:textId="4641E464" w:rsidR="00F455BE" w:rsidRPr="00B94C49" w:rsidRDefault="002C78A3" w:rsidP="00E01D6E">
            <w:pPr>
              <w:bidi w:val="0"/>
              <w:jc w:val="center"/>
              <w:rPr>
                <w:rtl/>
              </w:rPr>
            </w:pPr>
            <w:r w:rsidRPr="00B94C49">
              <w:rPr>
                <w:rFonts w:asciiTheme="majorBidi" w:hAnsiTheme="majorBidi" w:cstheme="majorBidi"/>
              </w:rPr>
              <w:t>Durvalumab</w:t>
            </w:r>
          </w:p>
        </w:tc>
        <w:tc>
          <w:tcPr>
            <w:tcW w:w="5661" w:type="dxa"/>
            <w:shd w:val="clear" w:color="auto" w:fill="auto"/>
          </w:tcPr>
          <w:p w14:paraId="4BBDB52E" w14:textId="68E3AA2A" w:rsidR="00F455BE" w:rsidRPr="00B94C49" w:rsidRDefault="002C78A3" w:rsidP="00E01D6E">
            <w:pPr>
              <w:bidi w:val="0"/>
              <w:jc w:val="center"/>
            </w:pPr>
            <w:r w:rsidRPr="00B94C49">
              <w:rPr>
                <w:rFonts w:asciiTheme="majorBidi" w:hAnsiTheme="majorBidi" w:cstheme="majorBidi"/>
              </w:rPr>
              <w:t>Imfinzi is indicated for the treatment of adult patients with limited-stage small cell lung cancer (LS-SCLC) whose disease has not progressed following platinum-based chemotherapy and radiation therapy (CRT).</w:t>
            </w:r>
          </w:p>
        </w:tc>
      </w:tr>
      <w:tr w:rsidR="00662475" w14:paraId="05F1F002" w14:textId="77777777" w:rsidTr="00F455BE">
        <w:tc>
          <w:tcPr>
            <w:tcW w:w="792" w:type="dxa"/>
          </w:tcPr>
          <w:p w14:paraId="73497C8B" w14:textId="4CD086A9" w:rsidR="00F455BE" w:rsidRPr="00B94C49" w:rsidRDefault="002C78A3" w:rsidP="00E01D6E">
            <w:pPr>
              <w:bidi w:val="0"/>
              <w:jc w:val="center"/>
              <w:rPr>
                <w:rtl/>
              </w:rPr>
            </w:pPr>
            <w:r w:rsidRPr="00B94C49">
              <w:rPr>
                <w:rFonts w:asciiTheme="majorBidi" w:hAnsiTheme="majorBidi" w:cstheme="majorBidi"/>
                <w:rtl/>
              </w:rPr>
              <w:t>2</w:t>
            </w:r>
          </w:p>
        </w:tc>
        <w:tc>
          <w:tcPr>
            <w:tcW w:w="1843" w:type="dxa"/>
          </w:tcPr>
          <w:p w14:paraId="653BDE26" w14:textId="76CADEAD" w:rsidR="00F455BE" w:rsidRPr="00B94C49" w:rsidRDefault="002C78A3" w:rsidP="00E01D6E">
            <w:pPr>
              <w:bidi w:val="0"/>
              <w:jc w:val="center"/>
              <w:rPr>
                <w:rtl/>
              </w:rPr>
            </w:pPr>
            <w:proofErr w:type="spellStart"/>
            <w:r w:rsidRPr="00B94C49">
              <w:rPr>
                <w:rFonts w:asciiTheme="majorBidi" w:hAnsiTheme="majorBidi" w:cstheme="majorBidi"/>
              </w:rPr>
              <w:t>Alectinib</w:t>
            </w:r>
            <w:proofErr w:type="spellEnd"/>
          </w:p>
        </w:tc>
        <w:tc>
          <w:tcPr>
            <w:tcW w:w="5661" w:type="dxa"/>
          </w:tcPr>
          <w:p w14:paraId="44C6492C" w14:textId="4DABB17E" w:rsidR="00F455BE" w:rsidRPr="00B94C49" w:rsidRDefault="002C78A3" w:rsidP="00E01D6E">
            <w:pPr>
              <w:bidi w:val="0"/>
              <w:jc w:val="center"/>
              <w:rPr>
                <w:rtl/>
              </w:rPr>
            </w:pPr>
            <w:proofErr w:type="spellStart"/>
            <w:r w:rsidRPr="00B94C49">
              <w:rPr>
                <w:rFonts w:asciiTheme="majorBidi" w:hAnsiTheme="majorBidi" w:cstheme="majorBidi"/>
              </w:rPr>
              <w:t>Alecensa</w:t>
            </w:r>
            <w:proofErr w:type="spellEnd"/>
            <w:r w:rsidRPr="00B94C49">
              <w:rPr>
                <w:rFonts w:asciiTheme="majorBidi" w:hAnsiTheme="majorBidi" w:cstheme="majorBidi"/>
              </w:rPr>
              <w:t xml:space="preserve"> is indicated as adjuvant treatment in adult patients following tumor resection of anaplastic lymphoma kinase (ALK)-positive non-small cell lung cancer (NSCLC) (tumors ≥ 4 cm or node positive), as detected by a validated test.</w:t>
            </w:r>
          </w:p>
        </w:tc>
      </w:tr>
      <w:tr w:rsidR="00662475" w14:paraId="05E12763" w14:textId="77777777" w:rsidTr="00F455BE">
        <w:tc>
          <w:tcPr>
            <w:tcW w:w="792" w:type="dxa"/>
          </w:tcPr>
          <w:p w14:paraId="2D913A18" w14:textId="5D28C730" w:rsidR="00F455BE" w:rsidRPr="00B94C49" w:rsidRDefault="002C78A3" w:rsidP="00E01D6E">
            <w:pPr>
              <w:bidi w:val="0"/>
              <w:jc w:val="center"/>
              <w:rPr>
                <w:rtl/>
              </w:rPr>
            </w:pPr>
            <w:r w:rsidRPr="00B94C49">
              <w:rPr>
                <w:rFonts w:asciiTheme="majorBidi" w:hAnsiTheme="majorBidi" w:cstheme="majorBidi" w:hint="cs"/>
                <w:rtl/>
              </w:rPr>
              <w:t>3</w:t>
            </w:r>
          </w:p>
        </w:tc>
        <w:tc>
          <w:tcPr>
            <w:tcW w:w="1843" w:type="dxa"/>
          </w:tcPr>
          <w:p w14:paraId="376E7B7E" w14:textId="4EC518F2" w:rsidR="00F455BE" w:rsidRPr="00B94C49" w:rsidRDefault="002C78A3" w:rsidP="00E01D6E">
            <w:pPr>
              <w:bidi w:val="0"/>
              <w:jc w:val="center"/>
              <w:rPr>
                <w:rtl/>
              </w:rPr>
            </w:pPr>
            <w:r w:rsidRPr="00B94C49">
              <w:rPr>
                <w:rFonts w:asciiTheme="majorBidi" w:eastAsia="Arial" w:hAnsiTheme="majorBidi" w:cstheme="majorBidi"/>
              </w:rPr>
              <w:t>Osimertinib</w:t>
            </w:r>
          </w:p>
        </w:tc>
        <w:tc>
          <w:tcPr>
            <w:tcW w:w="5661" w:type="dxa"/>
          </w:tcPr>
          <w:p w14:paraId="24846346" w14:textId="258EA0D8" w:rsidR="00F455BE" w:rsidRPr="00B94C49" w:rsidRDefault="002C78A3" w:rsidP="00E01D6E">
            <w:pPr>
              <w:bidi w:val="0"/>
              <w:jc w:val="center"/>
              <w:rPr>
                <w:rtl/>
              </w:rPr>
            </w:pPr>
            <w:proofErr w:type="spellStart"/>
            <w:r w:rsidRPr="00B94C49">
              <w:rPr>
                <w:rFonts w:asciiTheme="majorBidi" w:hAnsiTheme="majorBidi" w:cstheme="majorBidi"/>
              </w:rPr>
              <w:t>Tagrisso</w:t>
            </w:r>
            <w:proofErr w:type="spellEnd"/>
            <w:r w:rsidRPr="00B94C49">
              <w:rPr>
                <w:rFonts w:asciiTheme="majorBidi" w:hAnsiTheme="majorBidi" w:cstheme="majorBidi"/>
              </w:rPr>
              <w:t xml:space="preserve"> is indicated for the treatment of adult patients with locally advanced, unresectable (Stage III) NSCLC whose tumors have EGFR exon 19 deletions or exon 21 L858R mutations, and whose disease has not progressed following platinum-based chemoradiation therapy. (LAURA)</w:t>
            </w:r>
          </w:p>
        </w:tc>
      </w:tr>
      <w:tr w:rsidR="00662475" w14:paraId="06CE579A" w14:textId="77777777" w:rsidTr="00F455BE">
        <w:tc>
          <w:tcPr>
            <w:tcW w:w="792" w:type="dxa"/>
          </w:tcPr>
          <w:p w14:paraId="29B0A1DC" w14:textId="5129869A" w:rsidR="00F455BE" w:rsidRPr="00B94C49" w:rsidRDefault="002C78A3" w:rsidP="00E01D6E">
            <w:pPr>
              <w:bidi w:val="0"/>
              <w:jc w:val="center"/>
              <w:rPr>
                <w:rtl/>
              </w:rPr>
            </w:pPr>
            <w:r w:rsidRPr="00B94C49">
              <w:rPr>
                <w:rFonts w:asciiTheme="majorBidi" w:hAnsiTheme="majorBidi" w:cstheme="majorBidi" w:hint="cs"/>
                <w:rtl/>
              </w:rPr>
              <w:t>4</w:t>
            </w:r>
          </w:p>
        </w:tc>
        <w:tc>
          <w:tcPr>
            <w:tcW w:w="1843" w:type="dxa"/>
          </w:tcPr>
          <w:p w14:paraId="783E44CB" w14:textId="7A5AE483" w:rsidR="00F455BE" w:rsidRPr="00B94C49" w:rsidRDefault="002C78A3" w:rsidP="00E01D6E">
            <w:pPr>
              <w:bidi w:val="0"/>
              <w:jc w:val="center"/>
              <w:rPr>
                <w:rtl/>
              </w:rPr>
            </w:pPr>
            <w:r w:rsidRPr="00B94C49">
              <w:rPr>
                <w:rFonts w:asciiTheme="majorBidi" w:hAnsiTheme="majorBidi" w:cstheme="majorBidi"/>
              </w:rPr>
              <w:t>Pembrolizumab</w:t>
            </w:r>
          </w:p>
        </w:tc>
        <w:tc>
          <w:tcPr>
            <w:tcW w:w="5661" w:type="dxa"/>
          </w:tcPr>
          <w:p w14:paraId="07E211B7" w14:textId="2938D0D2" w:rsidR="00F455BE" w:rsidRPr="00B94C49" w:rsidRDefault="002C78A3" w:rsidP="00E01D6E">
            <w:pPr>
              <w:bidi w:val="0"/>
              <w:jc w:val="center"/>
              <w:rPr>
                <w:rtl/>
              </w:rPr>
            </w:pPr>
            <w:r w:rsidRPr="00B94C49">
              <w:rPr>
                <w:rFonts w:asciiTheme="majorBidi" w:hAnsiTheme="majorBidi" w:cstheme="majorBidi"/>
              </w:rPr>
              <w:t>Pembrolizumab (Keytruda), as a single agent, is indicated for the adjuvant treatment following resection and platinum-based chemotherapy, of patients with Stage IB (T2a ≥4 cm), II, or IIIA NSCLC (KN091)</w:t>
            </w:r>
            <w:r w:rsidRPr="00B94C49">
              <w:rPr>
                <w:rFonts w:asciiTheme="majorBidi" w:hAnsiTheme="majorBidi" w:cs="Times New Roman"/>
                <w:rtl/>
              </w:rPr>
              <w:t>.</w:t>
            </w:r>
          </w:p>
        </w:tc>
      </w:tr>
      <w:tr w:rsidR="00662475" w14:paraId="6E0F2C1D" w14:textId="77777777" w:rsidTr="00F455BE">
        <w:tc>
          <w:tcPr>
            <w:tcW w:w="792" w:type="dxa"/>
          </w:tcPr>
          <w:p w14:paraId="35035250" w14:textId="12261077" w:rsidR="00F455BE" w:rsidRPr="00B94C49" w:rsidRDefault="002C78A3" w:rsidP="00E01D6E">
            <w:pPr>
              <w:bidi w:val="0"/>
              <w:jc w:val="center"/>
              <w:rPr>
                <w:rtl/>
              </w:rPr>
            </w:pPr>
            <w:r w:rsidRPr="00B94C49">
              <w:rPr>
                <w:rFonts w:asciiTheme="majorBidi" w:hAnsiTheme="majorBidi" w:cstheme="majorBidi" w:hint="cs"/>
                <w:rtl/>
              </w:rPr>
              <w:t>5</w:t>
            </w:r>
          </w:p>
        </w:tc>
        <w:tc>
          <w:tcPr>
            <w:tcW w:w="1843" w:type="dxa"/>
          </w:tcPr>
          <w:p w14:paraId="5B7996B6" w14:textId="0BFD6550" w:rsidR="00F455BE" w:rsidRPr="00B94C49" w:rsidRDefault="002C78A3" w:rsidP="00E01D6E">
            <w:pPr>
              <w:bidi w:val="0"/>
              <w:jc w:val="center"/>
              <w:rPr>
                <w:rtl/>
              </w:rPr>
            </w:pPr>
            <w:r w:rsidRPr="00B94C49">
              <w:rPr>
                <w:rFonts w:asciiTheme="majorBidi" w:hAnsiTheme="majorBidi" w:cstheme="majorBidi"/>
              </w:rPr>
              <w:t>Pembrolizumab</w:t>
            </w:r>
          </w:p>
        </w:tc>
        <w:tc>
          <w:tcPr>
            <w:tcW w:w="5661" w:type="dxa"/>
          </w:tcPr>
          <w:p w14:paraId="6297A12D" w14:textId="49F648D6" w:rsidR="00F455BE" w:rsidRPr="00B94C49" w:rsidRDefault="002C78A3" w:rsidP="00E01D6E">
            <w:pPr>
              <w:bidi w:val="0"/>
              <w:jc w:val="center"/>
              <w:rPr>
                <w:rtl/>
              </w:rPr>
            </w:pPr>
            <w:r w:rsidRPr="00B94C49">
              <w:rPr>
                <w:rFonts w:asciiTheme="majorBidi" w:hAnsiTheme="majorBidi" w:cstheme="majorBidi"/>
              </w:rPr>
              <w:t>Pembrolizumab (KEYTRUDA), in combination with chemoradiotherapy (CRT), is indicated for the treatment of patients with FIGO 2014 Stage III-IVA cervical cancer.</w:t>
            </w:r>
          </w:p>
        </w:tc>
      </w:tr>
      <w:tr w:rsidR="00662475" w14:paraId="366C59F3" w14:textId="77777777" w:rsidTr="00F455BE">
        <w:tc>
          <w:tcPr>
            <w:tcW w:w="792" w:type="dxa"/>
          </w:tcPr>
          <w:p w14:paraId="571C3C89" w14:textId="3E2A27B1" w:rsidR="00F455BE" w:rsidRPr="00B94C49" w:rsidRDefault="002C78A3" w:rsidP="00E01D6E">
            <w:pPr>
              <w:bidi w:val="0"/>
              <w:jc w:val="center"/>
              <w:rPr>
                <w:rtl/>
              </w:rPr>
            </w:pPr>
            <w:r w:rsidRPr="00B94C49">
              <w:rPr>
                <w:rFonts w:asciiTheme="majorBidi" w:hAnsiTheme="majorBidi" w:cstheme="majorBidi" w:hint="cs"/>
                <w:rtl/>
              </w:rPr>
              <w:t>6</w:t>
            </w:r>
          </w:p>
        </w:tc>
        <w:tc>
          <w:tcPr>
            <w:tcW w:w="1843" w:type="dxa"/>
          </w:tcPr>
          <w:p w14:paraId="714B321A" w14:textId="13245AF3" w:rsidR="00F455BE" w:rsidRPr="00B94C49" w:rsidRDefault="002C78A3" w:rsidP="00E01D6E">
            <w:pPr>
              <w:bidi w:val="0"/>
              <w:jc w:val="center"/>
              <w:rPr>
                <w:rtl/>
              </w:rPr>
            </w:pPr>
            <w:proofErr w:type="spellStart"/>
            <w:r w:rsidRPr="00B94C49">
              <w:rPr>
                <w:rFonts w:asciiTheme="majorBidi" w:hAnsiTheme="majorBidi" w:cstheme="majorBidi"/>
              </w:rPr>
              <w:t>Ribociclib</w:t>
            </w:r>
            <w:proofErr w:type="spellEnd"/>
          </w:p>
        </w:tc>
        <w:tc>
          <w:tcPr>
            <w:tcW w:w="5661" w:type="dxa"/>
          </w:tcPr>
          <w:p w14:paraId="6CCE0395" w14:textId="582D4E1E" w:rsidR="00F455BE" w:rsidRPr="00B94C49" w:rsidRDefault="002C78A3" w:rsidP="00E01D6E">
            <w:pPr>
              <w:bidi w:val="0"/>
              <w:jc w:val="center"/>
              <w:rPr>
                <w:rtl/>
              </w:rPr>
            </w:pPr>
            <w:proofErr w:type="spellStart"/>
            <w:r w:rsidRPr="00B94C49">
              <w:rPr>
                <w:rFonts w:asciiTheme="majorBidi" w:hAnsiTheme="majorBidi" w:cstheme="majorBidi"/>
              </w:rPr>
              <w:t>Kisqali</w:t>
            </w:r>
            <w:proofErr w:type="spellEnd"/>
            <w:r w:rsidRPr="00B94C49">
              <w:rPr>
                <w:rFonts w:asciiTheme="majorBidi" w:hAnsiTheme="majorBidi" w:cstheme="majorBidi"/>
              </w:rPr>
              <w:t xml:space="preserve"> is indicated for the adjuvant treatment of patients with hormone receptor (HR)-positive, human epidermal growth factor receptor 2 (HER2)-negative stage II and III early breast cancer, irrespective of nodal status, in combination with an aromatase inhibitor. a. more than 4 positive lymph nodes.</w:t>
            </w:r>
            <w:r w:rsidRPr="00B94C49">
              <w:rPr>
                <w:rFonts w:asciiTheme="majorBidi" w:hAnsiTheme="majorBidi" w:cs="Times New Roman"/>
                <w:rtl/>
              </w:rPr>
              <w:t xml:space="preserve">  </w:t>
            </w:r>
            <w:r w:rsidRPr="00B94C49">
              <w:rPr>
                <w:rFonts w:asciiTheme="majorBidi" w:hAnsiTheme="majorBidi" w:cstheme="majorBidi"/>
              </w:rPr>
              <w:t>b. 1-3 positive lymph nodes and tumor size above 5 cm or G3 or KI67&gt;20</w:t>
            </w:r>
            <w:r w:rsidRPr="00B94C49">
              <w:rPr>
                <w:rFonts w:asciiTheme="majorBidi" w:hAnsiTheme="majorBidi" w:cs="Times New Roman"/>
                <w:rtl/>
              </w:rPr>
              <w:t>"</w:t>
            </w:r>
          </w:p>
        </w:tc>
      </w:tr>
      <w:tr w:rsidR="00662475" w14:paraId="3CB6046E" w14:textId="77777777" w:rsidTr="00F455BE">
        <w:tc>
          <w:tcPr>
            <w:tcW w:w="792" w:type="dxa"/>
          </w:tcPr>
          <w:p w14:paraId="75C38BA0" w14:textId="5AF7CCBF" w:rsidR="00F455BE" w:rsidRPr="00B94C49" w:rsidRDefault="002C78A3" w:rsidP="00E01D6E">
            <w:pPr>
              <w:bidi w:val="0"/>
              <w:jc w:val="center"/>
              <w:rPr>
                <w:rtl/>
              </w:rPr>
            </w:pPr>
            <w:r w:rsidRPr="00B94C49">
              <w:rPr>
                <w:rFonts w:asciiTheme="majorBidi" w:hAnsiTheme="majorBidi" w:cstheme="majorBidi"/>
              </w:rPr>
              <w:t>7</w:t>
            </w:r>
          </w:p>
        </w:tc>
        <w:tc>
          <w:tcPr>
            <w:tcW w:w="1843" w:type="dxa"/>
          </w:tcPr>
          <w:p w14:paraId="6F76AF73" w14:textId="74C1C82F" w:rsidR="00F455B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Enfortumab</w:t>
            </w:r>
            <w:proofErr w:type="spellEnd"/>
            <w:r w:rsidRPr="00B94C49">
              <w:rPr>
                <w:rFonts w:asciiTheme="majorBidi" w:hAnsiTheme="majorBidi" w:cstheme="majorBidi"/>
              </w:rPr>
              <w:t xml:space="preserve"> </w:t>
            </w:r>
            <w:proofErr w:type="spellStart"/>
            <w:r w:rsidRPr="00B94C49">
              <w:rPr>
                <w:rFonts w:asciiTheme="majorBidi" w:hAnsiTheme="majorBidi" w:cstheme="majorBidi"/>
              </w:rPr>
              <w:t>Vedotin</w:t>
            </w:r>
            <w:proofErr w:type="spellEnd"/>
          </w:p>
          <w:p w14:paraId="3735B67B" w14:textId="77777777" w:rsidR="00F455BE" w:rsidRPr="00B94C49" w:rsidRDefault="00F455BE" w:rsidP="00E01D6E">
            <w:pPr>
              <w:bidi w:val="0"/>
              <w:jc w:val="center"/>
              <w:rPr>
                <w:rFonts w:asciiTheme="majorBidi" w:hAnsiTheme="majorBidi" w:cstheme="majorBidi"/>
              </w:rPr>
            </w:pPr>
          </w:p>
          <w:p w14:paraId="22A64F26" w14:textId="77777777" w:rsidR="00F455BE" w:rsidRPr="00B94C49" w:rsidRDefault="002C78A3" w:rsidP="00E01D6E">
            <w:pPr>
              <w:bidi w:val="0"/>
              <w:jc w:val="center"/>
              <w:rPr>
                <w:rFonts w:asciiTheme="majorBidi" w:hAnsiTheme="majorBidi" w:cstheme="majorBidi"/>
              </w:rPr>
            </w:pPr>
            <w:r w:rsidRPr="00B94C49">
              <w:rPr>
                <w:rFonts w:asciiTheme="majorBidi" w:hAnsiTheme="majorBidi" w:cstheme="majorBidi"/>
              </w:rPr>
              <w:t>+</w:t>
            </w:r>
          </w:p>
          <w:p w14:paraId="69D07CD9" w14:textId="61371CB3" w:rsidR="00F455BE" w:rsidRPr="00B94C49" w:rsidRDefault="002C78A3" w:rsidP="00E01D6E">
            <w:pPr>
              <w:bidi w:val="0"/>
              <w:jc w:val="center"/>
              <w:rPr>
                <w:rtl/>
              </w:rPr>
            </w:pPr>
            <w:r w:rsidRPr="00B94C49">
              <w:rPr>
                <w:rFonts w:asciiTheme="majorBidi" w:hAnsiTheme="majorBidi" w:cstheme="majorBidi"/>
              </w:rPr>
              <w:t>Pembrolizumab</w:t>
            </w:r>
          </w:p>
        </w:tc>
        <w:tc>
          <w:tcPr>
            <w:tcW w:w="5661" w:type="dxa"/>
          </w:tcPr>
          <w:p w14:paraId="46F62CF4" w14:textId="19EA5709" w:rsidR="00F455BE" w:rsidRPr="00B94C49" w:rsidRDefault="002C78A3" w:rsidP="00116EC7">
            <w:pPr>
              <w:bidi w:val="0"/>
              <w:jc w:val="center"/>
              <w:rPr>
                <w:rFonts w:asciiTheme="majorBidi" w:hAnsiTheme="majorBidi" w:cstheme="majorBidi"/>
              </w:rPr>
            </w:pPr>
            <w:r w:rsidRPr="00B94C49">
              <w:rPr>
                <w:rFonts w:asciiTheme="majorBidi" w:hAnsiTheme="majorBidi" w:cstheme="majorBidi"/>
              </w:rPr>
              <w:t>PADCEV, in combination with pembrolizumab, is indicated for the treatment of patients with locally advanced or metastatic urothelial cancer (</w:t>
            </w:r>
            <w:proofErr w:type="spellStart"/>
            <w:r w:rsidRPr="00B94C49">
              <w:rPr>
                <w:rFonts w:asciiTheme="majorBidi" w:hAnsiTheme="majorBidi" w:cstheme="majorBidi"/>
              </w:rPr>
              <w:t>mUC</w:t>
            </w:r>
            <w:proofErr w:type="spellEnd"/>
            <w:r w:rsidRPr="00B94C49">
              <w:rPr>
                <w:rFonts w:asciiTheme="majorBidi" w:hAnsiTheme="majorBidi" w:cstheme="majorBidi"/>
              </w:rPr>
              <w:t>).</w:t>
            </w:r>
          </w:p>
          <w:p w14:paraId="7E527741" w14:textId="6D2770F8" w:rsidR="00F455BE" w:rsidRPr="00B94C49" w:rsidRDefault="002C78A3" w:rsidP="00E01D6E">
            <w:pPr>
              <w:bidi w:val="0"/>
              <w:jc w:val="center"/>
              <w:rPr>
                <w:rtl/>
              </w:rPr>
            </w:pPr>
            <w:r w:rsidRPr="00B94C49">
              <w:rPr>
                <w:rFonts w:asciiTheme="majorBidi" w:hAnsiTheme="majorBidi" w:cstheme="majorBidi"/>
              </w:rPr>
              <w:t xml:space="preserve">Pembrolizumab, in combination with </w:t>
            </w:r>
            <w:proofErr w:type="spellStart"/>
            <w:r w:rsidRPr="00B94C49">
              <w:rPr>
                <w:rFonts w:asciiTheme="majorBidi" w:hAnsiTheme="majorBidi" w:cstheme="majorBidi"/>
              </w:rPr>
              <w:t>enfortumab</w:t>
            </w:r>
            <w:proofErr w:type="spellEnd"/>
            <w:r w:rsidRPr="00B94C49">
              <w:rPr>
                <w:rFonts w:asciiTheme="majorBidi" w:hAnsiTheme="majorBidi" w:cstheme="majorBidi"/>
              </w:rPr>
              <w:t xml:space="preserve"> </w:t>
            </w:r>
            <w:proofErr w:type="spellStart"/>
            <w:r w:rsidRPr="00B94C49">
              <w:rPr>
                <w:rFonts w:asciiTheme="majorBidi" w:hAnsiTheme="majorBidi" w:cstheme="majorBidi"/>
              </w:rPr>
              <w:t>vedotin</w:t>
            </w:r>
            <w:proofErr w:type="spellEnd"/>
            <w:r w:rsidRPr="00B94C49">
              <w:rPr>
                <w:rFonts w:asciiTheme="majorBidi" w:hAnsiTheme="majorBidi" w:cstheme="majorBidi"/>
              </w:rPr>
              <w:t>, is indicated for the treatment of adult patients with locally advanced or metastatic urothelial cancer.</w:t>
            </w:r>
          </w:p>
        </w:tc>
      </w:tr>
      <w:tr w:rsidR="00662475" w14:paraId="0C9B8EEE" w14:textId="77777777" w:rsidTr="00F455BE">
        <w:tc>
          <w:tcPr>
            <w:tcW w:w="792" w:type="dxa"/>
          </w:tcPr>
          <w:p w14:paraId="2DD4C7B4" w14:textId="1761C5E8" w:rsidR="00F455BE" w:rsidRPr="00B94C49" w:rsidRDefault="002C78A3" w:rsidP="00E01D6E">
            <w:pPr>
              <w:bidi w:val="0"/>
              <w:jc w:val="center"/>
              <w:rPr>
                <w:rtl/>
              </w:rPr>
            </w:pPr>
            <w:r w:rsidRPr="00B94C49">
              <w:rPr>
                <w:rFonts w:asciiTheme="majorBidi" w:hAnsiTheme="majorBidi" w:cstheme="majorBidi" w:hint="cs"/>
                <w:rtl/>
              </w:rPr>
              <w:t>8</w:t>
            </w:r>
          </w:p>
        </w:tc>
        <w:tc>
          <w:tcPr>
            <w:tcW w:w="1843" w:type="dxa"/>
          </w:tcPr>
          <w:p w14:paraId="56FE12C4" w14:textId="1CF204DD" w:rsidR="00F455BE" w:rsidRPr="00B94C49" w:rsidRDefault="002C78A3" w:rsidP="00E01D6E">
            <w:pPr>
              <w:bidi w:val="0"/>
              <w:jc w:val="center"/>
              <w:rPr>
                <w:rtl/>
              </w:rPr>
            </w:pPr>
            <w:proofErr w:type="spellStart"/>
            <w:r w:rsidRPr="00B94C49">
              <w:rPr>
                <w:rFonts w:asciiTheme="majorBidi" w:hAnsiTheme="majorBidi" w:cstheme="majorBidi"/>
              </w:rPr>
              <w:t>Dostarlimab</w:t>
            </w:r>
            <w:proofErr w:type="spellEnd"/>
          </w:p>
        </w:tc>
        <w:tc>
          <w:tcPr>
            <w:tcW w:w="5661" w:type="dxa"/>
          </w:tcPr>
          <w:p w14:paraId="6C22C2E4" w14:textId="49299DD9" w:rsidR="00F455BE" w:rsidRPr="00B94C49" w:rsidRDefault="002C78A3" w:rsidP="00E01D6E">
            <w:pPr>
              <w:bidi w:val="0"/>
              <w:jc w:val="center"/>
              <w:rPr>
                <w:rtl/>
              </w:rPr>
            </w:pPr>
            <w:proofErr w:type="spellStart"/>
            <w:r w:rsidRPr="00B94C49">
              <w:rPr>
                <w:rFonts w:asciiTheme="majorBidi" w:hAnsiTheme="majorBidi" w:cstheme="majorBidi"/>
              </w:rPr>
              <w:t>Jemperli</w:t>
            </w:r>
            <w:proofErr w:type="spellEnd"/>
            <w:r w:rsidRPr="00B94C49">
              <w:rPr>
                <w:rFonts w:asciiTheme="majorBidi" w:hAnsiTheme="majorBidi" w:cstheme="majorBidi"/>
              </w:rPr>
              <w:t xml:space="preserve"> is indicated in combination with carboplatin and paclitaxel for the treatment of adult patients with mismatch repair deficient (</w:t>
            </w:r>
            <w:proofErr w:type="spellStart"/>
            <w:r w:rsidRPr="00B94C49">
              <w:rPr>
                <w:rFonts w:asciiTheme="majorBidi" w:hAnsiTheme="majorBidi" w:cstheme="majorBidi"/>
              </w:rPr>
              <w:t>dMMR</w:t>
            </w:r>
            <w:proofErr w:type="spellEnd"/>
            <w:r w:rsidRPr="00B94C49">
              <w:rPr>
                <w:rFonts w:asciiTheme="majorBidi" w:hAnsiTheme="majorBidi" w:cstheme="majorBidi"/>
              </w:rPr>
              <w:t>)/microsatellite instability-high (MSI-H) primary advanced or recurrent endometrial cancer (EC) and who are candidates for systemic therapy.</w:t>
            </w:r>
          </w:p>
        </w:tc>
      </w:tr>
      <w:tr w:rsidR="00662475" w14:paraId="4C741460" w14:textId="77777777" w:rsidTr="00F455BE">
        <w:tc>
          <w:tcPr>
            <w:tcW w:w="792" w:type="dxa"/>
          </w:tcPr>
          <w:p w14:paraId="46C6FBBB" w14:textId="69210883" w:rsidR="00F455BE" w:rsidRPr="00B94C49" w:rsidRDefault="002C78A3" w:rsidP="00E01D6E">
            <w:pPr>
              <w:bidi w:val="0"/>
              <w:jc w:val="center"/>
              <w:rPr>
                <w:rtl/>
              </w:rPr>
            </w:pPr>
            <w:r w:rsidRPr="00B94C49">
              <w:rPr>
                <w:rFonts w:asciiTheme="majorBidi" w:hAnsiTheme="majorBidi" w:cstheme="majorBidi" w:hint="cs"/>
                <w:rtl/>
              </w:rPr>
              <w:t>8</w:t>
            </w:r>
          </w:p>
        </w:tc>
        <w:tc>
          <w:tcPr>
            <w:tcW w:w="1843" w:type="dxa"/>
          </w:tcPr>
          <w:p w14:paraId="5AB40268" w14:textId="5C996187" w:rsidR="00F455BE" w:rsidRPr="00B94C49" w:rsidRDefault="002C78A3" w:rsidP="00E01D6E">
            <w:pPr>
              <w:bidi w:val="0"/>
              <w:jc w:val="center"/>
              <w:rPr>
                <w:rtl/>
              </w:rPr>
            </w:pPr>
            <w:r w:rsidRPr="00B94C49">
              <w:rPr>
                <w:rFonts w:asciiTheme="majorBidi" w:eastAsia="Arial" w:hAnsiTheme="majorBidi" w:cstheme="majorBidi"/>
              </w:rPr>
              <w:t>Pembrolizumab</w:t>
            </w:r>
          </w:p>
        </w:tc>
        <w:tc>
          <w:tcPr>
            <w:tcW w:w="5661" w:type="dxa"/>
          </w:tcPr>
          <w:p w14:paraId="46CD48F1" w14:textId="61B900CA" w:rsidR="00F455BE" w:rsidRPr="00B94C49" w:rsidRDefault="002C78A3" w:rsidP="00E01D6E">
            <w:pPr>
              <w:bidi w:val="0"/>
              <w:jc w:val="center"/>
              <w:rPr>
                <w:rtl/>
              </w:rPr>
            </w:pPr>
            <w:r w:rsidRPr="00B94C49">
              <w:rPr>
                <w:rFonts w:asciiTheme="majorBidi" w:hAnsiTheme="majorBidi" w:cstheme="majorBidi"/>
              </w:rPr>
              <w:t>Pembrolizumab (KEYTRUDA), in combination with chemotherapy, followed by KEYTRUDA as a single agent is indicated for the treatment of patients with primary advanced or recurrent endometrial carcinoma.</w:t>
            </w:r>
            <w:r w:rsidR="00116EC7">
              <w:t xml:space="preserve"> (</w:t>
            </w:r>
            <w:proofErr w:type="spellStart"/>
            <w:r w:rsidR="00116EC7">
              <w:t>dMMR</w:t>
            </w:r>
            <w:proofErr w:type="spellEnd"/>
            <w:r w:rsidR="00116EC7">
              <w:t>)</w:t>
            </w:r>
          </w:p>
        </w:tc>
      </w:tr>
      <w:tr w:rsidR="00662475" w14:paraId="73E78018" w14:textId="77777777" w:rsidTr="00F455BE">
        <w:tc>
          <w:tcPr>
            <w:tcW w:w="792" w:type="dxa"/>
          </w:tcPr>
          <w:p w14:paraId="1C3E8403" w14:textId="7BF36415" w:rsidR="00F455BE" w:rsidRPr="00B94C49" w:rsidRDefault="002C78A3" w:rsidP="00E01D6E">
            <w:pPr>
              <w:bidi w:val="0"/>
              <w:jc w:val="center"/>
              <w:rPr>
                <w:rtl/>
              </w:rPr>
            </w:pPr>
            <w:r w:rsidRPr="00B94C49">
              <w:rPr>
                <w:rFonts w:asciiTheme="majorBidi" w:hAnsiTheme="majorBidi" w:cstheme="majorBidi" w:hint="cs"/>
                <w:rtl/>
              </w:rPr>
              <w:t>8</w:t>
            </w:r>
          </w:p>
        </w:tc>
        <w:tc>
          <w:tcPr>
            <w:tcW w:w="1843" w:type="dxa"/>
          </w:tcPr>
          <w:p w14:paraId="255B3877" w14:textId="2E9703E3" w:rsidR="00F455BE" w:rsidRPr="00B94C49" w:rsidRDefault="002C78A3" w:rsidP="00E01D6E">
            <w:pPr>
              <w:bidi w:val="0"/>
              <w:jc w:val="center"/>
              <w:rPr>
                <w:rtl/>
              </w:rPr>
            </w:pPr>
            <w:r w:rsidRPr="00B94C49">
              <w:rPr>
                <w:rFonts w:asciiTheme="majorBidi" w:eastAsia="Arial" w:hAnsiTheme="majorBidi" w:cstheme="majorBidi"/>
              </w:rPr>
              <w:t>Durvalumab</w:t>
            </w:r>
          </w:p>
        </w:tc>
        <w:tc>
          <w:tcPr>
            <w:tcW w:w="5661" w:type="dxa"/>
          </w:tcPr>
          <w:p w14:paraId="3791EABF" w14:textId="37D24743" w:rsidR="00F455BE" w:rsidRPr="00116EC7" w:rsidRDefault="002C78A3" w:rsidP="00116EC7">
            <w:pPr>
              <w:bidi w:val="0"/>
              <w:jc w:val="center"/>
              <w:rPr>
                <w:rFonts w:asciiTheme="majorBidi" w:hAnsiTheme="majorBidi" w:cstheme="majorBidi"/>
                <w:rtl/>
              </w:rPr>
            </w:pPr>
            <w:r w:rsidRPr="00B94C49">
              <w:rPr>
                <w:rFonts w:asciiTheme="majorBidi" w:hAnsiTheme="majorBidi" w:cstheme="majorBidi"/>
              </w:rPr>
              <w:t>IMFINZI in combination with carboplatin and paclitaxel is indicated for the first-line treatment of adults with primary advanced or recurrent endometrial cancer who are candidates for systemic therapy, followed by maintenance treatment with:</w:t>
            </w:r>
            <w:r w:rsidR="00116EC7">
              <w:rPr>
                <w:rFonts w:asciiTheme="majorBidi" w:hAnsiTheme="majorBidi" w:cstheme="majorBidi"/>
              </w:rPr>
              <w:t xml:space="preserve"> </w:t>
            </w:r>
            <w:r w:rsidRPr="00B94C49">
              <w:rPr>
                <w:rFonts w:asciiTheme="majorBidi" w:hAnsiTheme="majorBidi" w:cstheme="majorBidi"/>
              </w:rPr>
              <w:t>IMFINZI as monotherapy in endometrial cancer that is mismatch repair deficient (</w:t>
            </w:r>
            <w:proofErr w:type="spellStart"/>
            <w:r w:rsidRPr="00B94C49">
              <w:rPr>
                <w:rFonts w:asciiTheme="majorBidi" w:hAnsiTheme="majorBidi" w:cstheme="majorBidi"/>
              </w:rPr>
              <w:t>dMMR</w:t>
            </w:r>
            <w:proofErr w:type="spellEnd"/>
            <w:r w:rsidRPr="00B94C49">
              <w:rPr>
                <w:rFonts w:asciiTheme="majorBidi" w:hAnsiTheme="majorBidi" w:cstheme="majorBidi"/>
              </w:rPr>
              <w:t>).</w:t>
            </w:r>
          </w:p>
        </w:tc>
      </w:tr>
      <w:tr w:rsidR="00662475" w14:paraId="744157EC" w14:textId="77777777" w:rsidTr="00F455BE">
        <w:tc>
          <w:tcPr>
            <w:tcW w:w="792" w:type="dxa"/>
          </w:tcPr>
          <w:p w14:paraId="132A0957" w14:textId="1A7126E6" w:rsidR="00F455BE" w:rsidRPr="00B94C49" w:rsidRDefault="002C78A3" w:rsidP="00E01D6E">
            <w:pPr>
              <w:bidi w:val="0"/>
              <w:jc w:val="center"/>
              <w:rPr>
                <w:rtl/>
              </w:rPr>
            </w:pPr>
            <w:r w:rsidRPr="00B94C49">
              <w:rPr>
                <w:rFonts w:asciiTheme="majorBidi" w:hAnsiTheme="majorBidi" w:cstheme="majorBidi" w:hint="cs"/>
                <w:rtl/>
              </w:rPr>
              <w:t>9</w:t>
            </w:r>
          </w:p>
        </w:tc>
        <w:tc>
          <w:tcPr>
            <w:tcW w:w="1843" w:type="dxa"/>
          </w:tcPr>
          <w:p w14:paraId="4EB50261" w14:textId="3E4340DE" w:rsidR="00F455BE" w:rsidRPr="00B94C49" w:rsidRDefault="002C78A3" w:rsidP="00E01D6E">
            <w:pPr>
              <w:bidi w:val="0"/>
              <w:jc w:val="center"/>
              <w:rPr>
                <w:rtl/>
              </w:rPr>
            </w:pPr>
            <w:proofErr w:type="spellStart"/>
            <w:r w:rsidRPr="00B94C49">
              <w:rPr>
                <w:rFonts w:asciiTheme="majorBidi" w:hAnsiTheme="majorBidi" w:cstheme="majorBidi"/>
              </w:rPr>
              <w:t>Ripretinib</w:t>
            </w:r>
            <w:proofErr w:type="spellEnd"/>
          </w:p>
        </w:tc>
        <w:tc>
          <w:tcPr>
            <w:tcW w:w="5661" w:type="dxa"/>
          </w:tcPr>
          <w:p w14:paraId="112930C9" w14:textId="25966A1E" w:rsidR="00F455BE" w:rsidRPr="00B94C49" w:rsidRDefault="002C78A3" w:rsidP="00E01D6E">
            <w:pPr>
              <w:bidi w:val="0"/>
              <w:jc w:val="center"/>
              <w:rPr>
                <w:rtl/>
              </w:rPr>
            </w:pPr>
            <w:r w:rsidRPr="00B94C49">
              <w:rPr>
                <w:rFonts w:asciiTheme="majorBidi" w:hAnsiTheme="majorBidi" w:cstheme="majorBidi"/>
              </w:rPr>
              <w:t>Treatment of adult patients with advanced gastrointestinal stromal tumor (GIST) who have received prior treatment with 3 or more kinase inhibitors, including imatinib.</w:t>
            </w:r>
          </w:p>
        </w:tc>
      </w:tr>
      <w:tr w:rsidR="00662475" w14:paraId="2A6D4CEA" w14:textId="77777777" w:rsidTr="00F455BE">
        <w:tc>
          <w:tcPr>
            <w:tcW w:w="792" w:type="dxa"/>
          </w:tcPr>
          <w:p w14:paraId="09D6EED3" w14:textId="7A0B16EF" w:rsidR="00F455BE" w:rsidRPr="00B94C49" w:rsidRDefault="002C78A3" w:rsidP="00E01D6E">
            <w:pPr>
              <w:bidi w:val="0"/>
              <w:jc w:val="center"/>
              <w:rPr>
                <w:rtl/>
              </w:rPr>
            </w:pPr>
            <w:r w:rsidRPr="00B94C49">
              <w:rPr>
                <w:rFonts w:asciiTheme="majorBidi" w:hAnsiTheme="majorBidi" w:cstheme="majorBidi" w:hint="cs"/>
                <w:rtl/>
              </w:rPr>
              <w:lastRenderedPageBreak/>
              <w:t>10</w:t>
            </w:r>
          </w:p>
        </w:tc>
        <w:tc>
          <w:tcPr>
            <w:tcW w:w="1843" w:type="dxa"/>
          </w:tcPr>
          <w:p w14:paraId="1594D252" w14:textId="351C4935" w:rsidR="00F455BE" w:rsidRPr="00B94C49" w:rsidRDefault="002C78A3" w:rsidP="00E01D6E">
            <w:pPr>
              <w:bidi w:val="0"/>
              <w:jc w:val="center"/>
              <w:rPr>
                <w:rtl/>
              </w:rPr>
            </w:pPr>
            <w:r w:rsidRPr="00B94C49">
              <w:rPr>
                <w:rFonts w:asciiTheme="majorBidi" w:eastAsia="Arial" w:hAnsiTheme="majorBidi" w:cstheme="majorBidi"/>
              </w:rPr>
              <w:t xml:space="preserve">Trastuzumab </w:t>
            </w:r>
            <w:proofErr w:type="spellStart"/>
            <w:r w:rsidRPr="00B94C49">
              <w:rPr>
                <w:rFonts w:asciiTheme="majorBidi" w:eastAsia="Arial" w:hAnsiTheme="majorBidi" w:cstheme="majorBidi"/>
              </w:rPr>
              <w:t>deruxtecan</w:t>
            </w:r>
            <w:proofErr w:type="spellEnd"/>
          </w:p>
        </w:tc>
        <w:tc>
          <w:tcPr>
            <w:tcW w:w="5661" w:type="dxa"/>
          </w:tcPr>
          <w:p w14:paraId="09555A13" w14:textId="193157D0" w:rsidR="00F455BE" w:rsidRPr="00B94C49" w:rsidRDefault="002C78A3" w:rsidP="00E01D6E">
            <w:pPr>
              <w:bidi w:val="0"/>
              <w:jc w:val="center"/>
              <w:rPr>
                <w:rtl/>
              </w:rPr>
            </w:pPr>
            <w:r w:rsidRPr="00B94C49">
              <w:rPr>
                <w:rFonts w:asciiTheme="majorBidi" w:hAnsiTheme="majorBidi" w:cstheme="majorBidi"/>
              </w:rPr>
              <w:t>ENHERTU is indicated for the treatment of adult patients with unresectable or metastatic HER2-low (IHC 1+ or IHC 2+/ISH-) breast cancer who have received a prior chemotherapy in the metastatic setting or developed disease recurrence during or within 6 months of completing adjuvant chemotherapy.</w:t>
            </w:r>
          </w:p>
        </w:tc>
      </w:tr>
      <w:tr w:rsidR="00662475" w14:paraId="52207879" w14:textId="77777777" w:rsidTr="00F455BE">
        <w:tc>
          <w:tcPr>
            <w:tcW w:w="792" w:type="dxa"/>
          </w:tcPr>
          <w:p w14:paraId="3E2C87D2" w14:textId="40BE82A1" w:rsidR="00F455BE" w:rsidRPr="00B94C49" w:rsidRDefault="002C78A3" w:rsidP="00E01D6E">
            <w:pPr>
              <w:bidi w:val="0"/>
              <w:jc w:val="center"/>
              <w:rPr>
                <w:rtl/>
              </w:rPr>
            </w:pPr>
            <w:r w:rsidRPr="00B94C49">
              <w:rPr>
                <w:rFonts w:asciiTheme="majorBidi" w:hAnsiTheme="majorBidi" w:cstheme="majorBidi" w:hint="cs"/>
                <w:rtl/>
              </w:rPr>
              <w:t>11</w:t>
            </w:r>
          </w:p>
        </w:tc>
        <w:tc>
          <w:tcPr>
            <w:tcW w:w="1843" w:type="dxa"/>
          </w:tcPr>
          <w:p w14:paraId="4D6362D2" w14:textId="15028D13" w:rsidR="00F455BE" w:rsidRPr="00B94C49" w:rsidRDefault="002C78A3" w:rsidP="00E01D6E">
            <w:pPr>
              <w:bidi w:val="0"/>
              <w:jc w:val="center"/>
              <w:rPr>
                <w:rtl/>
              </w:rPr>
            </w:pPr>
            <w:r w:rsidRPr="00B94C49">
              <w:rPr>
                <w:rFonts w:asciiTheme="majorBidi" w:hAnsiTheme="majorBidi" w:cstheme="majorBidi"/>
              </w:rPr>
              <w:t>Nivolumab</w:t>
            </w:r>
          </w:p>
        </w:tc>
        <w:tc>
          <w:tcPr>
            <w:tcW w:w="5661" w:type="dxa"/>
          </w:tcPr>
          <w:p w14:paraId="6D88B3D1" w14:textId="191B9B57" w:rsidR="00F455BE" w:rsidRPr="00B94C49" w:rsidRDefault="002C78A3" w:rsidP="00E01D6E">
            <w:pPr>
              <w:bidi w:val="0"/>
              <w:jc w:val="center"/>
              <w:rPr>
                <w:rFonts w:asciiTheme="majorBidi" w:hAnsiTheme="majorBidi" w:cstheme="majorBidi"/>
              </w:rPr>
            </w:pPr>
            <w:r w:rsidRPr="00B94C49">
              <w:rPr>
                <w:rFonts w:asciiTheme="majorBidi" w:hAnsiTheme="majorBidi" w:cstheme="majorBidi"/>
              </w:rPr>
              <w:t xml:space="preserve">In combination with fluoropyrimidine- and platinum-containing chemotherapy, is indicated for the treatment of adult patients with unresectable advanced or metastatic gastric cancer or gastroesophageal junction cancer. Stomach\GEJ adenocarcinoma </w:t>
            </w:r>
            <w:proofErr w:type="gramStart"/>
            <w:r w:rsidRPr="00B94C49">
              <w:rPr>
                <w:rFonts w:asciiTheme="majorBidi" w:hAnsiTheme="majorBidi" w:cstheme="majorBidi"/>
              </w:rPr>
              <w:t>only</w:t>
            </w:r>
            <w:r w:rsidR="00116EC7">
              <w:rPr>
                <w:rFonts w:asciiTheme="majorBidi" w:hAnsiTheme="majorBidi" w:cstheme="majorBidi"/>
              </w:rPr>
              <w:t xml:space="preserve"> .CPS</w:t>
            </w:r>
            <w:proofErr w:type="gramEnd"/>
            <w:r w:rsidR="00116EC7">
              <w:rPr>
                <w:rFonts w:ascii="Arial" w:hAnsi="Arial" w:cs="Arial"/>
              </w:rPr>
              <w:t>≥</w:t>
            </w:r>
            <w:r w:rsidR="00116EC7">
              <w:rPr>
                <w:rFonts w:asciiTheme="majorBidi" w:hAnsiTheme="majorBidi" w:cstheme="majorBidi"/>
              </w:rPr>
              <w:t>5%</w:t>
            </w:r>
          </w:p>
          <w:p w14:paraId="78D302D4" w14:textId="77777777" w:rsidR="00F455BE" w:rsidRPr="00B94C49" w:rsidRDefault="00F455BE" w:rsidP="00E01D6E">
            <w:pPr>
              <w:bidi w:val="0"/>
              <w:jc w:val="center"/>
              <w:rPr>
                <w:rtl/>
              </w:rPr>
            </w:pPr>
          </w:p>
        </w:tc>
      </w:tr>
      <w:tr w:rsidR="00662475" w14:paraId="31CC4C69" w14:textId="77777777" w:rsidTr="00F455BE">
        <w:tc>
          <w:tcPr>
            <w:tcW w:w="792" w:type="dxa"/>
          </w:tcPr>
          <w:p w14:paraId="42BAA4BB" w14:textId="46BDD234" w:rsidR="00F455BE" w:rsidRPr="00B94C49" w:rsidRDefault="002C78A3" w:rsidP="00E01D6E">
            <w:pPr>
              <w:bidi w:val="0"/>
              <w:jc w:val="center"/>
              <w:rPr>
                <w:rtl/>
              </w:rPr>
            </w:pPr>
            <w:r w:rsidRPr="00B94C49">
              <w:rPr>
                <w:rFonts w:asciiTheme="majorBidi" w:hAnsiTheme="majorBidi" w:cstheme="majorBidi" w:hint="cs"/>
                <w:rtl/>
              </w:rPr>
              <w:t>11</w:t>
            </w:r>
          </w:p>
        </w:tc>
        <w:tc>
          <w:tcPr>
            <w:tcW w:w="1843" w:type="dxa"/>
          </w:tcPr>
          <w:p w14:paraId="0D4E6D8F" w14:textId="1DEAC275" w:rsidR="00F455BE" w:rsidRPr="00B94C49" w:rsidRDefault="002C78A3" w:rsidP="00E01D6E">
            <w:pPr>
              <w:bidi w:val="0"/>
              <w:jc w:val="center"/>
              <w:rPr>
                <w:rtl/>
              </w:rPr>
            </w:pPr>
            <w:r w:rsidRPr="00B94C49">
              <w:rPr>
                <w:rFonts w:asciiTheme="majorBidi" w:eastAsia="Arial" w:hAnsiTheme="majorBidi" w:cstheme="majorBidi"/>
              </w:rPr>
              <w:t>Pembrolizumab</w:t>
            </w:r>
          </w:p>
        </w:tc>
        <w:tc>
          <w:tcPr>
            <w:tcW w:w="5661" w:type="dxa"/>
          </w:tcPr>
          <w:p w14:paraId="14CDAF57" w14:textId="5A247CC3" w:rsidR="00F455BE" w:rsidRPr="00B94C49" w:rsidRDefault="002C78A3" w:rsidP="00E01D6E">
            <w:pPr>
              <w:bidi w:val="0"/>
              <w:jc w:val="center"/>
              <w:rPr>
                <w:rtl/>
              </w:rPr>
            </w:pPr>
            <w:r w:rsidRPr="00B94C49">
              <w:rPr>
                <w:rFonts w:asciiTheme="majorBidi" w:hAnsiTheme="majorBidi" w:cstheme="majorBidi"/>
              </w:rPr>
              <w:t>Pembrolizumab (KEYTRUDA) in combination with fluoropyrimidine- and platinum-containing chemotherapy is indicated for the first-line treatment of adults with locally advanced unresectable or metastatic HER2-negative gastric or gastroesophageal junction (GEJ) adenocarcinoma. (KN859) – Stomach\GEJ</w:t>
            </w:r>
            <w:r w:rsidR="00116EC7">
              <w:t xml:space="preserve"> </w:t>
            </w:r>
            <w:r w:rsidR="00116EC7">
              <w:rPr>
                <w:rFonts w:asciiTheme="majorBidi" w:hAnsiTheme="majorBidi" w:cstheme="majorBidi"/>
              </w:rPr>
              <w:t>CPS</w:t>
            </w:r>
            <w:r w:rsidR="00116EC7">
              <w:rPr>
                <w:rFonts w:ascii="Arial" w:hAnsi="Arial" w:cs="Arial"/>
              </w:rPr>
              <w:t>≥</w:t>
            </w:r>
            <w:r w:rsidR="00116EC7">
              <w:rPr>
                <w:rFonts w:asciiTheme="majorBidi" w:hAnsiTheme="majorBidi" w:cstheme="majorBidi"/>
              </w:rPr>
              <w:t>5%</w:t>
            </w:r>
          </w:p>
        </w:tc>
      </w:tr>
      <w:tr w:rsidR="00662475" w14:paraId="3CB0E9C3" w14:textId="77777777" w:rsidTr="00F455BE">
        <w:tc>
          <w:tcPr>
            <w:tcW w:w="792" w:type="dxa"/>
          </w:tcPr>
          <w:p w14:paraId="059C2DA4" w14:textId="42E7CD44" w:rsidR="00F455BE" w:rsidRPr="00B94C49" w:rsidRDefault="002C78A3" w:rsidP="00E01D6E">
            <w:pPr>
              <w:bidi w:val="0"/>
              <w:jc w:val="center"/>
              <w:rPr>
                <w:rtl/>
              </w:rPr>
            </w:pPr>
            <w:r w:rsidRPr="00B94C49">
              <w:rPr>
                <w:rFonts w:asciiTheme="majorBidi" w:hAnsiTheme="majorBidi" w:cstheme="majorBidi" w:hint="cs"/>
                <w:rtl/>
              </w:rPr>
              <w:t>11</w:t>
            </w:r>
          </w:p>
        </w:tc>
        <w:tc>
          <w:tcPr>
            <w:tcW w:w="1843" w:type="dxa"/>
          </w:tcPr>
          <w:p w14:paraId="538FA9B8" w14:textId="5232D0F4" w:rsidR="00F455BE" w:rsidRPr="00B94C49" w:rsidRDefault="002C78A3" w:rsidP="00E01D6E">
            <w:pPr>
              <w:bidi w:val="0"/>
              <w:jc w:val="center"/>
              <w:rPr>
                <w:rtl/>
              </w:rPr>
            </w:pPr>
            <w:r w:rsidRPr="00B94C49">
              <w:rPr>
                <w:rFonts w:asciiTheme="majorBidi" w:eastAsia="Arial" w:hAnsiTheme="majorBidi" w:cstheme="majorBidi"/>
              </w:rPr>
              <w:t>Nivolumab</w:t>
            </w:r>
          </w:p>
        </w:tc>
        <w:tc>
          <w:tcPr>
            <w:tcW w:w="5661" w:type="dxa"/>
          </w:tcPr>
          <w:p w14:paraId="496EDA13" w14:textId="76717B29" w:rsidR="00F455BE" w:rsidRPr="00B94C49" w:rsidRDefault="002C78A3" w:rsidP="00E01D6E">
            <w:pPr>
              <w:bidi w:val="0"/>
              <w:jc w:val="center"/>
              <w:rPr>
                <w:rtl/>
              </w:rPr>
            </w:pPr>
            <w:r w:rsidRPr="00B94C49">
              <w:rPr>
                <w:rFonts w:asciiTheme="majorBidi" w:hAnsiTheme="majorBidi" w:cstheme="majorBidi"/>
              </w:rPr>
              <w:t>In combination with fluoropyrimidine- and platinum-containing chemotherapy, is indicated for the treatment of patients with unresectable advanced or metastatic esophageal           adenocarcinoma.</w:t>
            </w:r>
            <w:r w:rsidR="00116EC7">
              <w:t xml:space="preserve"> </w:t>
            </w:r>
            <w:r w:rsidR="00116EC7">
              <w:rPr>
                <w:rFonts w:asciiTheme="majorBidi" w:hAnsiTheme="majorBidi" w:cstheme="majorBidi"/>
              </w:rPr>
              <w:t>CPS</w:t>
            </w:r>
            <w:r w:rsidR="00116EC7">
              <w:rPr>
                <w:rFonts w:ascii="Arial" w:hAnsi="Arial" w:cs="Arial"/>
              </w:rPr>
              <w:t>≥</w:t>
            </w:r>
            <w:r w:rsidR="00116EC7">
              <w:rPr>
                <w:rFonts w:asciiTheme="majorBidi" w:hAnsiTheme="majorBidi" w:cstheme="majorBidi"/>
              </w:rPr>
              <w:t>5%</w:t>
            </w:r>
          </w:p>
        </w:tc>
      </w:tr>
      <w:tr w:rsidR="00662475" w14:paraId="5B9FDD89" w14:textId="77777777" w:rsidTr="00F455BE">
        <w:tc>
          <w:tcPr>
            <w:tcW w:w="792" w:type="dxa"/>
          </w:tcPr>
          <w:p w14:paraId="6A04B607" w14:textId="0BF582E5" w:rsidR="00F455BE" w:rsidRPr="00B94C49" w:rsidRDefault="002C78A3" w:rsidP="00E01D6E">
            <w:pPr>
              <w:bidi w:val="0"/>
              <w:jc w:val="center"/>
              <w:rPr>
                <w:rtl/>
              </w:rPr>
            </w:pPr>
            <w:r w:rsidRPr="00B94C49">
              <w:rPr>
                <w:rFonts w:asciiTheme="majorBidi" w:hAnsiTheme="majorBidi" w:cstheme="majorBidi" w:hint="cs"/>
                <w:rtl/>
              </w:rPr>
              <w:t>11</w:t>
            </w:r>
          </w:p>
        </w:tc>
        <w:tc>
          <w:tcPr>
            <w:tcW w:w="1843" w:type="dxa"/>
          </w:tcPr>
          <w:p w14:paraId="51C822BA" w14:textId="0287014D" w:rsidR="00F455BE" w:rsidRPr="00B94C49" w:rsidRDefault="002C78A3" w:rsidP="00E01D6E">
            <w:pPr>
              <w:bidi w:val="0"/>
              <w:jc w:val="center"/>
              <w:rPr>
                <w:rtl/>
              </w:rPr>
            </w:pPr>
            <w:r w:rsidRPr="00B94C49">
              <w:rPr>
                <w:rFonts w:asciiTheme="majorBidi" w:hAnsiTheme="majorBidi" w:cstheme="majorBidi"/>
              </w:rPr>
              <w:t>Pembrolizumab</w:t>
            </w:r>
          </w:p>
        </w:tc>
        <w:tc>
          <w:tcPr>
            <w:tcW w:w="5661" w:type="dxa"/>
          </w:tcPr>
          <w:p w14:paraId="05E920E6" w14:textId="1CDFA33F" w:rsidR="00F455BE" w:rsidRPr="00B94C49" w:rsidRDefault="002C78A3" w:rsidP="00E01D6E">
            <w:pPr>
              <w:bidi w:val="0"/>
              <w:jc w:val="center"/>
              <w:rPr>
                <w:rtl/>
              </w:rPr>
            </w:pPr>
            <w:r w:rsidRPr="00B94C49">
              <w:rPr>
                <w:rFonts w:asciiTheme="majorBidi" w:hAnsiTheme="majorBidi" w:cstheme="majorBidi"/>
              </w:rPr>
              <w:t xml:space="preserve">Treatment of patients with locally advanced or metastatic esophageal or </w:t>
            </w:r>
            <w:r w:rsidRPr="00B94C49">
              <w:rPr>
                <w:rFonts w:asciiTheme="majorBidi" w:hAnsiTheme="majorBidi" w:cstheme="majorBidi"/>
                <w:strike/>
              </w:rPr>
              <w:t>gastroesophageal junction</w:t>
            </w:r>
            <w:r w:rsidRPr="00B94C49">
              <w:rPr>
                <w:rFonts w:asciiTheme="majorBidi" w:hAnsiTheme="majorBidi" w:cstheme="majorBidi"/>
              </w:rPr>
              <w:t xml:space="preserve"> (GEJ) (Siewert type 1) carcinoma that is not amenable to surgical resection or definitive chemoradiation, in combination with platinum and fluoropyrimidine-based chemotherapy. (KN590) adenocarcinoma + squamous cell carcinoma</w:t>
            </w:r>
            <w:r w:rsidR="00116EC7">
              <w:t xml:space="preserve"> </w:t>
            </w:r>
            <w:r w:rsidR="00116EC7">
              <w:rPr>
                <w:rFonts w:asciiTheme="majorBidi" w:hAnsiTheme="majorBidi" w:cstheme="majorBidi"/>
              </w:rPr>
              <w:t>CPS</w:t>
            </w:r>
            <w:r w:rsidR="00116EC7">
              <w:rPr>
                <w:rFonts w:ascii="Arial" w:hAnsi="Arial" w:cs="Arial"/>
              </w:rPr>
              <w:t>≥</w:t>
            </w:r>
            <w:r w:rsidR="00116EC7">
              <w:rPr>
                <w:rFonts w:asciiTheme="majorBidi" w:hAnsiTheme="majorBidi" w:cstheme="majorBidi"/>
              </w:rPr>
              <w:t>5%</w:t>
            </w:r>
          </w:p>
        </w:tc>
      </w:tr>
      <w:tr w:rsidR="00662475" w14:paraId="42A9145F" w14:textId="77777777" w:rsidTr="00F455BE">
        <w:tc>
          <w:tcPr>
            <w:tcW w:w="792" w:type="dxa"/>
          </w:tcPr>
          <w:p w14:paraId="1F02C3A3" w14:textId="29CCA957" w:rsidR="00F455BE" w:rsidRPr="00B94C49" w:rsidRDefault="002C78A3" w:rsidP="00E01D6E">
            <w:pPr>
              <w:bidi w:val="0"/>
              <w:jc w:val="center"/>
              <w:rPr>
                <w:rtl/>
              </w:rPr>
            </w:pPr>
            <w:r w:rsidRPr="00B94C49">
              <w:rPr>
                <w:rFonts w:asciiTheme="majorBidi" w:hAnsiTheme="majorBidi" w:cstheme="majorBidi" w:hint="cs"/>
                <w:rtl/>
              </w:rPr>
              <w:t>12</w:t>
            </w:r>
          </w:p>
        </w:tc>
        <w:tc>
          <w:tcPr>
            <w:tcW w:w="1843" w:type="dxa"/>
          </w:tcPr>
          <w:p w14:paraId="48180926" w14:textId="1049A697" w:rsidR="00F455BE" w:rsidRPr="00B94C49" w:rsidRDefault="002C78A3" w:rsidP="00E01D6E">
            <w:pPr>
              <w:bidi w:val="0"/>
              <w:jc w:val="center"/>
              <w:rPr>
                <w:rtl/>
              </w:rPr>
            </w:pPr>
            <w:proofErr w:type="spellStart"/>
            <w:r w:rsidRPr="00B94C49">
              <w:rPr>
                <w:rFonts w:asciiTheme="majorBidi" w:eastAsia="Arial" w:hAnsiTheme="majorBidi" w:cstheme="majorBidi"/>
              </w:rPr>
              <w:t>Vorasidenib</w:t>
            </w:r>
            <w:proofErr w:type="spellEnd"/>
          </w:p>
        </w:tc>
        <w:tc>
          <w:tcPr>
            <w:tcW w:w="5661" w:type="dxa"/>
          </w:tcPr>
          <w:p w14:paraId="5D23D4D7" w14:textId="13ED950C" w:rsidR="00F455BE" w:rsidRPr="00B94C49" w:rsidRDefault="002C78A3" w:rsidP="00E01D6E">
            <w:pPr>
              <w:bidi w:val="0"/>
              <w:jc w:val="center"/>
              <w:rPr>
                <w:rtl/>
              </w:rPr>
            </w:pPr>
            <w:r w:rsidRPr="00B94C49">
              <w:rPr>
                <w:rFonts w:asciiTheme="majorBidi" w:hAnsiTheme="majorBidi" w:cstheme="majorBidi"/>
              </w:rPr>
              <w:t>Treatment of predominantly non-enhancing astrocytoma or oligodendroglioma with a susceptible isocitrate dehydrogenase-1 (IDH1) or isocitrate dehydrogenase-2 (IDH2) mutation in adult and pediatric patients 12 years and older following surgical intervention.</w:t>
            </w:r>
            <w:r w:rsidR="009C5CF9">
              <w:rPr>
                <w:rFonts w:asciiTheme="majorBidi" w:hAnsiTheme="majorBidi" w:cstheme="majorBidi"/>
              </w:rPr>
              <w:t xml:space="preserve"> </w:t>
            </w:r>
            <w:r w:rsidRPr="00B94C49">
              <w:rPr>
                <w:rFonts w:asciiTheme="majorBidi" w:hAnsiTheme="majorBidi" w:cstheme="majorBidi"/>
              </w:rPr>
              <w:t xml:space="preserve">Test for detection of IDH </w:t>
            </w:r>
            <w:proofErr w:type="gramStart"/>
            <w:r w:rsidRPr="00B94C49">
              <w:rPr>
                <w:rFonts w:asciiTheme="majorBidi" w:hAnsiTheme="majorBidi" w:cstheme="majorBidi"/>
              </w:rPr>
              <w:t>mutation .</w:t>
            </w:r>
            <w:proofErr w:type="gramEnd"/>
            <w:r w:rsidRPr="00B94C49">
              <w:rPr>
                <w:rFonts w:asciiTheme="majorBidi" w:hAnsiTheme="majorBidi" w:cstheme="majorBidi"/>
              </w:rPr>
              <w:t xml:space="preserve"> INDIGO Trial, phase III, placebo-controlled</w:t>
            </w:r>
          </w:p>
        </w:tc>
      </w:tr>
      <w:tr w:rsidR="00662475" w14:paraId="7041EC84" w14:textId="77777777" w:rsidTr="00F455BE">
        <w:tc>
          <w:tcPr>
            <w:tcW w:w="792" w:type="dxa"/>
          </w:tcPr>
          <w:p w14:paraId="6B7F594D" w14:textId="75709D18" w:rsidR="00F455BE" w:rsidRPr="00B94C49" w:rsidRDefault="002C78A3" w:rsidP="00E01D6E">
            <w:pPr>
              <w:bidi w:val="0"/>
              <w:jc w:val="center"/>
              <w:rPr>
                <w:rtl/>
              </w:rPr>
            </w:pPr>
            <w:r w:rsidRPr="00B94C49">
              <w:rPr>
                <w:rFonts w:asciiTheme="majorBidi" w:hAnsiTheme="majorBidi" w:cstheme="majorBidi" w:hint="cs"/>
                <w:rtl/>
              </w:rPr>
              <w:t>13</w:t>
            </w:r>
          </w:p>
        </w:tc>
        <w:tc>
          <w:tcPr>
            <w:tcW w:w="1843" w:type="dxa"/>
          </w:tcPr>
          <w:p w14:paraId="0F91C22E" w14:textId="7C47A19E" w:rsidR="00F455BE" w:rsidRPr="00B94C49" w:rsidRDefault="002C78A3" w:rsidP="00E01D6E">
            <w:pPr>
              <w:bidi w:val="0"/>
              <w:jc w:val="center"/>
              <w:rPr>
                <w:rtl/>
              </w:rPr>
            </w:pPr>
            <w:r w:rsidRPr="00B94C49">
              <w:rPr>
                <w:rFonts w:asciiTheme="majorBidi" w:hAnsiTheme="majorBidi" w:cstheme="majorBidi"/>
              </w:rPr>
              <w:t xml:space="preserve">Trastuzumab </w:t>
            </w:r>
            <w:proofErr w:type="spellStart"/>
            <w:r w:rsidRPr="00B94C49">
              <w:rPr>
                <w:rFonts w:asciiTheme="majorBidi" w:hAnsiTheme="majorBidi" w:cstheme="majorBidi"/>
              </w:rPr>
              <w:t>deruxtecan</w:t>
            </w:r>
            <w:proofErr w:type="spellEnd"/>
          </w:p>
        </w:tc>
        <w:tc>
          <w:tcPr>
            <w:tcW w:w="5661" w:type="dxa"/>
          </w:tcPr>
          <w:p w14:paraId="65D32511" w14:textId="63102CFF" w:rsidR="00F455BE" w:rsidRPr="00B94C49" w:rsidRDefault="002C78A3" w:rsidP="00E01D6E">
            <w:pPr>
              <w:bidi w:val="0"/>
              <w:jc w:val="center"/>
              <w:rPr>
                <w:rtl/>
              </w:rPr>
            </w:pPr>
            <w:r w:rsidRPr="00B94C49">
              <w:rPr>
                <w:rFonts w:asciiTheme="majorBidi" w:hAnsiTheme="majorBidi" w:cstheme="majorBidi"/>
              </w:rPr>
              <w:t>ENHERTU is indicated for the treatment of adult patients with locally advanced or metastatic HER2-positive gastric or gastroesophageal junction (GEJ) adenocarcinoma who have received a prior trastuzumab-based regimen. HER2-Positive (IHC 3+). DESTINY-gastric-01</w:t>
            </w:r>
          </w:p>
        </w:tc>
      </w:tr>
      <w:tr w:rsidR="00662475" w14:paraId="62AF51C1" w14:textId="77777777" w:rsidTr="00F455BE">
        <w:tc>
          <w:tcPr>
            <w:tcW w:w="792" w:type="dxa"/>
          </w:tcPr>
          <w:p w14:paraId="68277DA7" w14:textId="77777777" w:rsidR="00F455B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13</w:t>
            </w:r>
          </w:p>
          <w:p w14:paraId="2C1B8103" w14:textId="77777777" w:rsidR="00F455BE" w:rsidRPr="00B94C49" w:rsidRDefault="00F455BE" w:rsidP="00E01D6E">
            <w:pPr>
              <w:bidi w:val="0"/>
              <w:jc w:val="center"/>
              <w:rPr>
                <w:rtl/>
              </w:rPr>
            </w:pPr>
          </w:p>
        </w:tc>
        <w:tc>
          <w:tcPr>
            <w:tcW w:w="1843" w:type="dxa"/>
          </w:tcPr>
          <w:p w14:paraId="363109B6" w14:textId="7488AA7F" w:rsidR="00F455BE" w:rsidRPr="00B94C49" w:rsidRDefault="002C78A3" w:rsidP="00E01D6E">
            <w:pPr>
              <w:bidi w:val="0"/>
              <w:jc w:val="center"/>
              <w:rPr>
                <w:rtl/>
              </w:rPr>
            </w:pPr>
            <w:r w:rsidRPr="00B94C49">
              <w:rPr>
                <w:rFonts w:asciiTheme="majorBidi" w:hAnsiTheme="majorBidi" w:cstheme="majorBidi"/>
              </w:rPr>
              <w:t xml:space="preserve">Trastuzumab </w:t>
            </w:r>
            <w:proofErr w:type="spellStart"/>
            <w:r w:rsidRPr="00B94C49">
              <w:rPr>
                <w:rFonts w:asciiTheme="majorBidi" w:hAnsiTheme="majorBidi" w:cstheme="majorBidi"/>
              </w:rPr>
              <w:t>deruxtecan</w:t>
            </w:r>
            <w:proofErr w:type="spellEnd"/>
          </w:p>
        </w:tc>
        <w:tc>
          <w:tcPr>
            <w:tcW w:w="5661" w:type="dxa"/>
          </w:tcPr>
          <w:p w14:paraId="124E58BF" w14:textId="495E4709" w:rsidR="00F455BE" w:rsidRPr="00B94C49" w:rsidRDefault="002C78A3" w:rsidP="00E01D6E">
            <w:pPr>
              <w:bidi w:val="0"/>
              <w:jc w:val="center"/>
              <w:rPr>
                <w:rtl/>
              </w:rPr>
            </w:pPr>
            <w:r w:rsidRPr="00B94C49">
              <w:rPr>
                <w:rFonts w:asciiTheme="majorBidi" w:hAnsiTheme="majorBidi" w:cstheme="majorBidi"/>
              </w:rPr>
              <w:t>ENHERTU is indicated for the treatment of adult patients with unresectable or metastatic HER2-positive (IHC3+) solid tumors who have received prior systemic treatment and have no satisfactory alternative treatment options. DESTINY pan tumor-02</w:t>
            </w:r>
          </w:p>
        </w:tc>
      </w:tr>
      <w:tr w:rsidR="00662475" w14:paraId="1C7F9DF2" w14:textId="77777777" w:rsidTr="00F455BE">
        <w:tc>
          <w:tcPr>
            <w:tcW w:w="792" w:type="dxa"/>
          </w:tcPr>
          <w:p w14:paraId="7AE0460E" w14:textId="1E72D636" w:rsidR="00F455BE" w:rsidRPr="00B94C49" w:rsidRDefault="002C78A3" w:rsidP="00E01D6E">
            <w:pPr>
              <w:bidi w:val="0"/>
              <w:jc w:val="center"/>
              <w:rPr>
                <w:rtl/>
              </w:rPr>
            </w:pPr>
            <w:r w:rsidRPr="00B94C49">
              <w:rPr>
                <w:rFonts w:asciiTheme="majorBidi" w:hAnsiTheme="majorBidi" w:cstheme="majorBidi" w:hint="cs"/>
                <w:rtl/>
              </w:rPr>
              <w:t>14</w:t>
            </w:r>
          </w:p>
        </w:tc>
        <w:tc>
          <w:tcPr>
            <w:tcW w:w="1843" w:type="dxa"/>
          </w:tcPr>
          <w:p w14:paraId="08EC8B57" w14:textId="3A01D175" w:rsidR="00F455BE" w:rsidRPr="00B94C49" w:rsidRDefault="002C78A3" w:rsidP="00E01D6E">
            <w:pPr>
              <w:bidi w:val="0"/>
              <w:jc w:val="center"/>
              <w:rPr>
                <w:rtl/>
              </w:rPr>
            </w:pPr>
            <w:proofErr w:type="spellStart"/>
            <w:r w:rsidRPr="00B94C49">
              <w:rPr>
                <w:rFonts w:asciiTheme="majorBidi" w:hAnsiTheme="majorBidi" w:cstheme="majorBidi"/>
              </w:rPr>
              <w:t>Amivantamab</w:t>
            </w:r>
            <w:proofErr w:type="spellEnd"/>
          </w:p>
        </w:tc>
        <w:tc>
          <w:tcPr>
            <w:tcW w:w="5661" w:type="dxa"/>
          </w:tcPr>
          <w:p w14:paraId="75AA2CA5" w14:textId="66CA9722" w:rsidR="00F455BE" w:rsidRPr="00B94C49" w:rsidRDefault="002C78A3" w:rsidP="00E01D6E">
            <w:pPr>
              <w:bidi w:val="0"/>
              <w:jc w:val="center"/>
              <w:rPr>
                <w:rtl/>
              </w:rPr>
            </w:pPr>
            <w:r w:rsidRPr="00B94C49">
              <w:rPr>
                <w:rFonts w:asciiTheme="majorBidi" w:hAnsiTheme="majorBidi" w:cstheme="majorBidi"/>
              </w:rPr>
              <w:t xml:space="preserve">RYBREVANT is </w:t>
            </w:r>
            <w:r w:rsidRPr="00C85ACD">
              <w:rPr>
                <w:rFonts w:asciiTheme="majorBidi" w:hAnsiTheme="majorBidi" w:cstheme="majorBidi"/>
              </w:rPr>
              <w:t>indicated in combination with carboplatin and pemetrexed for the first-line treatment of adult patients with locally advanced or metastatic non</w:t>
            </w:r>
            <w:r w:rsidRPr="00B94C49">
              <w:rPr>
                <w:rFonts w:asciiTheme="majorBidi" w:hAnsiTheme="majorBidi" w:cstheme="majorBidi"/>
              </w:rPr>
              <w:t>-small cell lung cancer (NSCLC) with epidermal growth factor receptor (EGFR) exon 20 insertion mutations, as detected by an approved test.</w:t>
            </w:r>
          </w:p>
        </w:tc>
      </w:tr>
      <w:tr w:rsidR="00662475" w14:paraId="391129CC" w14:textId="77777777" w:rsidTr="00F455BE">
        <w:tc>
          <w:tcPr>
            <w:tcW w:w="792" w:type="dxa"/>
          </w:tcPr>
          <w:p w14:paraId="66DB04E2" w14:textId="3CE4F881" w:rsidR="00F455BE" w:rsidRPr="00B94C49" w:rsidRDefault="002C78A3" w:rsidP="00E01D6E">
            <w:pPr>
              <w:bidi w:val="0"/>
              <w:jc w:val="center"/>
              <w:rPr>
                <w:rtl/>
              </w:rPr>
            </w:pPr>
            <w:r w:rsidRPr="00B94C49">
              <w:rPr>
                <w:rFonts w:asciiTheme="majorBidi" w:hAnsiTheme="majorBidi" w:cstheme="majorBidi" w:hint="cs"/>
                <w:rtl/>
              </w:rPr>
              <w:t>15</w:t>
            </w:r>
          </w:p>
        </w:tc>
        <w:tc>
          <w:tcPr>
            <w:tcW w:w="1843" w:type="dxa"/>
          </w:tcPr>
          <w:p w14:paraId="371E3372" w14:textId="72CD5123" w:rsidR="00F455B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Encorafenib</w:t>
            </w:r>
            <w:proofErr w:type="spellEnd"/>
          </w:p>
          <w:p w14:paraId="7B57463D" w14:textId="1CA87A4D" w:rsidR="00F455BE" w:rsidRPr="00B94C49" w:rsidRDefault="002C78A3" w:rsidP="00E01D6E">
            <w:pPr>
              <w:bidi w:val="0"/>
              <w:jc w:val="center"/>
              <w:rPr>
                <w:rtl/>
              </w:rPr>
            </w:pPr>
            <w:r w:rsidRPr="00B94C49">
              <w:rPr>
                <w:rFonts w:asciiTheme="majorBidi" w:hAnsiTheme="majorBidi" w:cstheme="majorBidi"/>
              </w:rPr>
              <w:t>+ Cetuximab</w:t>
            </w:r>
          </w:p>
        </w:tc>
        <w:tc>
          <w:tcPr>
            <w:tcW w:w="5661" w:type="dxa"/>
          </w:tcPr>
          <w:p w14:paraId="0668A64E" w14:textId="49AEB189" w:rsidR="00F455B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Encorafenib</w:t>
            </w:r>
            <w:proofErr w:type="spellEnd"/>
            <w:r w:rsidRPr="00B94C49">
              <w:rPr>
                <w:rFonts w:asciiTheme="majorBidi" w:hAnsiTheme="majorBidi" w:cstheme="majorBidi"/>
              </w:rPr>
              <w:t xml:space="preserve"> is indicated in combination with cetuximab, for the treatment of adult patients with metastatic colorectal cancer (CRC) with a BRAF V600E mutation, as detected by an approved test after prior therapy.</w:t>
            </w:r>
          </w:p>
          <w:p w14:paraId="5E2E80D4" w14:textId="77777777" w:rsidR="00F455BE" w:rsidRPr="00B94C49" w:rsidRDefault="00F455BE" w:rsidP="00E01D6E">
            <w:pPr>
              <w:bidi w:val="0"/>
              <w:jc w:val="center"/>
              <w:rPr>
                <w:rtl/>
              </w:rPr>
            </w:pPr>
          </w:p>
        </w:tc>
      </w:tr>
      <w:tr w:rsidR="00662475" w14:paraId="33537084" w14:textId="77777777" w:rsidTr="00F455BE">
        <w:tc>
          <w:tcPr>
            <w:tcW w:w="792" w:type="dxa"/>
          </w:tcPr>
          <w:p w14:paraId="627D3659" w14:textId="0AEFD556" w:rsidR="00F455BE" w:rsidRPr="00B94C49" w:rsidRDefault="002C78A3" w:rsidP="00E01D6E">
            <w:pPr>
              <w:bidi w:val="0"/>
              <w:jc w:val="center"/>
              <w:rPr>
                <w:rtl/>
              </w:rPr>
            </w:pPr>
            <w:r w:rsidRPr="00B94C49">
              <w:rPr>
                <w:rFonts w:asciiTheme="majorBidi" w:hAnsiTheme="majorBidi" w:cstheme="majorBidi" w:hint="cs"/>
                <w:rtl/>
              </w:rPr>
              <w:lastRenderedPageBreak/>
              <w:t>16</w:t>
            </w:r>
          </w:p>
        </w:tc>
        <w:tc>
          <w:tcPr>
            <w:tcW w:w="1843" w:type="dxa"/>
          </w:tcPr>
          <w:p w14:paraId="789AD9DB" w14:textId="4DDDBE7E" w:rsidR="00F455BE" w:rsidRPr="00B94C49" w:rsidRDefault="002C78A3" w:rsidP="00E01D6E">
            <w:pPr>
              <w:bidi w:val="0"/>
              <w:jc w:val="center"/>
              <w:rPr>
                <w:rtl/>
              </w:rPr>
            </w:pPr>
            <w:proofErr w:type="spellStart"/>
            <w:r w:rsidRPr="00B94C49">
              <w:rPr>
                <w:rFonts w:asciiTheme="majorBidi" w:hAnsiTheme="majorBidi" w:cstheme="majorBidi"/>
              </w:rPr>
              <w:t>Selpercatinib</w:t>
            </w:r>
            <w:proofErr w:type="spellEnd"/>
          </w:p>
        </w:tc>
        <w:tc>
          <w:tcPr>
            <w:tcW w:w="5661" w:type="dxa"/>
          </w:tcPr>
          <w:p w14:paraId="67A4AB7B" w14:textId="5497195D" w:rsidR="00F455BE" w:rsidRPr="00B94C49" w:rsidRDefault="002C78A3" w:rsidP="00E01D6E">
            <w:pPr>
              <w:bidi w:val="0"/>
              <w:jc w:val="center"/>
              <w:rPr>
                <w:rtl/>
              </w:rPr>
            </w:pPr>
            <w:r w:rsidRPr="00B94C49">
              <w:rPr>
                <w:rFonts w:asciiTheme="majorBidi" w:hAnsiTheme="majorBidi" w:cstheme="majorBidi"/>
              </w:rPr>
              <w:t>Treatment of adult patients with metastatic RET fusion-positive non-small cell lung cancer (NSCLC).</w:t>
            </w:r>
          </w:p>
        </w:tc>
      </w:tr>
      <w:tr w:rsidR="00662475" w14:paraId="7537B15F" w14:textId="77777777" w:rsidTr="00F455BE">
        <w:tc>
          <w:tcPr>
            <w:tcW w:w="792" w:type="dxa"/>
          </w:tcPr>
          <w:p w14:paraId="231041D6" w14:textId="3C1B164B" w:rsidR="00F455BE" w:rsidRPr="00B94C49" w:rsidRDefault="002C78A3" w:rsidP="00E01D6E">
            <w:pPr>
              <w:bidi w:val="0"/>
              <w:jc w:val="center"/>
              <w:rPr>
                <w:rtl/>
              </w:rPr>
            </w:pPr>
            <w:r w:rsidRPr="00B94C49">
              <w:rPr>
                <w:rFonts w:asciiTheme="majorBidi" w:hAnsiTheme="majorBidi" w:cstheme="majorBidi" w:hint="cs"/>
                <w:rtl/>
              </w:rPr>
              <w:t>17</w:t>
            </w:r>
          </w:p>
        </w:tc>
        <w:tc>
          <w:tcPr>
            <w:tcW w:w="1843" w:type="dxa"/>
          </w:tcPr>
          <w:p w14:paraId="41BA65F7" w14:textId="76330A38" w:rsidR="00F455BE" w:rsidRPr="00B94C49" w:rsidRDefault="002C78A3" w:rsidP="00E01D6E">
            <w:pPr>
              <w:bidi w:val="0"/>
              <w:jc w:val="center"/>
              <w:rPr>
                <w:rtl/>
              </w:rPr>
            </w:pPr>
            <w:proofErr w:type="spellStart"/>
            <w:r w:rsidRPr="00B94C49">
              <w:rPr>
                <w:rFonts w:asciiTheme="majorBidi" w:hAnsiTheme="majorBidi" w:cstheme="majorBidi"/>
              </w:rPr>
              <w:t>Selpercatinib</w:t>
            </w:r>
            <w:proofErr w:type="spellEnd"/>
          </w:p>
        </w:tc>
        <w:tc>
          <w:tcPr>
            <w:tcW w:w="5661" w:type="dxa"/>
          </w:tcPr>
          <w:p w14:paraId="26E6898D" w14:textId="1F1BF16B" w:rsidR="00F455BE" w:rsidRPr="00B94C49" w:rsidRDefault="002C78A3" w:rsidP="00E01D6E">
            <w:pPr>
              <w:bidi w:val="0"/>
              <w:jc w:val="center"/>
              <w:rPr>
                <w:rtl/>
              </w:rPr>
            </w:pPr>
            <w:r w:rsidRPr="00B94C49">
              <w:rPr>
                <w:rFonts w:asciiTheme="majorBidi" w:hAnsiTheme="majorBidi" w:cstheme="majorBidi"/>
              </w:rPr>
              <w:t>RETEVMO is indicated for the treatment of adult patients with locally advanced or metastatic solid tumors with a RET gene fusion that have progressed on or following prior systemic treatment or who have no satisfactory alternative treatment options. Select patients for treatment with RETEVMO based on the presence of a RET gene fusion (NSCLC or thyroid cancer, or other solid tumors) or specific RET gene mutation (MTC) in tumor specimens or plasma.</w:t>
            </w:r>
          </w:p>
        </w:tc>
      </w:tr>
      <w:tr w:rsidR="00662475" w14:paraId="14895B18" w14:textId="77777777" w:rsidTr="00F455BE">
        <w:tc>
          <w:tcPr>
            <w:tcW w:w="792" w:type="dxa"/>
          </w:tcPr>
          <w:p w14:paraId="749C90D4" w14:textId="0314AF20" w:rsidR="00F455BE" w:rsidRPr="00B94C49" w:rsidRDefault="002C78A3" w:rsidP="00E01D6E">
            <w:pPr>
              <w:bidi w:val="0"/>
              <w:jc w:val="center"/>
              <w:rPr>
                <w:rtl/>
              </w:rPr>
            </w:pPr>
            <w:r w:rsidRPr="00B94C49">
              <w:rPr>
                <w:rFonts w:asciiTheme="majorBidi" w:hAnsiTheme="majorBidi" w:cstheme="majorBidi" w:hint="cs"/>
                <w:rtl/>
              </w:rPr>
              <w:t>18</w:t>
            </w:r>
          </w:p>
        </w:tc>
        <w:tc>
          <w:tcPr>
            <w:tcW w:w="1843" w:type="dxa"/>
          </w:tcPr>
          <w:p w14:paraId="356D1704" w14:textId="4B8F1639" w:rsidR="00F455BE" w:rsidRPr="00B94C49" w:rsidRDefault="002C78A3" w:rsidP="00E01D6E">
            <w:pPr>
              <w:bidi w:val="0"/>
              <w:jc w:val="center"/>
              <w:rPr>
                <w:rtl/>
              </w:rPr>
            </w:pPr>
            <w:proofErr w:type="spellStart"/>
            <w:r w:rsidRPr="00B94C49">
              <w:rPr>
                <w:rFonts w:asciiTheme="majorBidi" w:hAnsiTheme="majorBidi" w:cstheme="majorBidi"/>
              </w:rPr>
              <w:t>Belzutifan</w:t>
            </w:r>
            <w:proofErr w:type="spellEnd"/>
          </w:p>
        </w:tc>
        <w:tc>
          <w:tcPr>
            <w:tcW w:w="5661" w:type="dxa"/>
          </w:tcPr>
          <w:p w14:paraId="3518D3FD" w14:textId="4EE1CCED" w:rsidR="00F455BE" w:rsidRPr="00B94C49" w:rsidRDefault="002C78A3" w:rsidP="00E01D6E">
            <w:pPr>
              <w:bidi w:val="0"/>
              <w:jc w:val="center"/>
              <w:rPr>
                <w:rtl/>
              </w:rPr>
            </w:pPr>
            <w:r w:rsidRPr="00B94C49">
              <w:rPr>
                <w:rFonts w:asciiTheme="majorBidi" w:hAnsiTheme="majorBidi" w:cstheme="majorBidi"/>
              </w:rPr>
              <w:t xml:space="preserve">Treatment of adult patients with von Hippel-Lindau (VHL) disease who require therapy for VHL associated renal cell carcinoma (RCC), central nervous system (CNS) hemangioblastomas, or pancreatic neuroendocrine </w:t>
            </w:r>
            <w:proofErr w:type="spellStart"/>
            <w:r w:rsidRPr="00B94C49">
              <w:rPr>
                <w:rFonts w:asciiTheme="majorBidi" w:hAnsiTheme="majorBidi" w:cstheme="majorBidi"/>
              </w:rPr>
              <w:t>tumours</w:t>
            </w:r>
            <w:proofErr w:type="spellEnd"/>
            <w:r w:rsidRPr="00B94C49">
              <w:rPr>
                <w:rFonts w:asciiTheme="majorBidi" w:hAnsiTheme="majorBidi" w:cstheme="majorBidi"/>
              </w:rPr>
              <w:t xml:space="preserve"> (</w:t>
            </w:r>
            <w:proofErr w:type="spellStart"/>
            <w:r w:rsidRPr="00B94C49">
              <w:rPr>
                <w:rFonts w:asciiTheme="majorBidi" w:hAnsiTheme="majorBidi" w:cstheme="majorBidi"/>
              </w:rPr>
              <w:t>pNET</w:t>
            </w:r>
            <w:proofErr w:type="spellEnd"/>
            <w:r w:rsidRPr="00B94C49">
              <w:rPr>
                <w:rFonts w:asciiTheme="majorBidi" w:hAnsiTheme="majorBidi" w:cstheme="majorBidi"/>
              </w:rPr>
              <w:t xml:space="preserve">), and for whom </w:t>
            </w:r>
            <w:proofErr w:type="spellStart"/>
            <w:r w:rsidRPr="00B94C49">
              <w:rPr>
                <w:rFonts w:asciiTheme="majorBidi" w:hAnsiTheme="majorBidi" w:cstheme="majorBidi"/>
              </w:rPr>
              <w:t>localised</w:t>
            </w:r>
            <w:proofErr w:type="spellEnd"/>
            <w:r w:rsidRPr="00B94C49">
              <w:rPr>
                <w:rFonts w:asciiTheme="majorBidi" w:hAnsiTheme="majorBidi" w:cstheme="majorBidi"/>
              </w:rPr>
              <w:t xml:space="preserve"> procedures are unsuitable or undesirable.</w:t>
            </w:r>
          </w:p>
        </w:tc>
      </w:tr>
      <w:tr w:rsidR="00662475" w14:paraId="7D27E153" w14:textId="77777777" w:rsidTr="00F455BE">
        <w:tc>
          <w:tcPr>
            <w:tcW w:w="792" w:type="dxa"/>
          </w:tcPr>
          <w:p w14:paraId="74785473" w14:textId="54548CFD" w:rsidR="00F455BE" w:rsidRPr="00B94C49" w:rsidRDefault="002C78A3" w:rsidP="00E01D6E">
            <w:pPr>
              <w:bidi w:val="0"/>
              <w:jc w:val="center"/>
              <w:rPr>
                <w:rtl/>
              </w:rPr>
            </w:pPr>
            <w:r w:rsidRPr="00B94C49">
              <w:rPr>
                <w:rFonts w:asciiTheme="majorBidi" w:hAnsiTheme="majorBidi" w:cstheme="majorBidi" w:hint="cs"/>
                <w:rtl/>
              </w:rPr>
              <w:t>19</w:t>
            </w:r>
          </w:p>
        </w:tc>
        <w:tc>
          <w:tcPr>
            <w:tcW w:w="1843" w:type="dxa"/>
          </w:tcPr>
          <w:p w14:paraId="474CAA7A" w14:textId="4AB1A059" w:rsidR="00F455BE" w:rsidRPr="00B94C49" w:rsidRDefault="002C78A3" w:rsidP="00E01D6E">
            <w:pPr>
              <w:bidi w:val="0"/>
              <w:jc w:val="center"/>
              <w:rPr>
                <w:rtl/>
              </w:rPr>
            </w:pPr>
            <w:proofErr w:type="spellStart"/>
            <w:r w:rsidRPr="00B94C49">
              <w:rPr>
                <w:rFonts w:asciiTheme="majorBidi" w:hAnsiTheme="majorBidi" w:cstheme="majorBidi"/>
              </w:rPr>
              <w:t>Amivantamab</w:t>
            </w:r>
            <w:proofErr w:type="spellEnd"/>
          </w:p>
        </w:tc>
        <w:tc>
          <w:tcPr>
            <w:tcW w:w="5661" w:type="dxa"/>
          </w:tcPr>
          <w:p w14:paraId="6334D6F8" w14:textId="1B615964" w:rsidR="00F455BE" w:rsidRPr="00B94C49" w:rsidRDefault="002C78A3" w:rsidP="00E01D6E">
            <w:pPr>
              <w:bidi w:val="0"/>
              <w:jc w:val="center"/>
              <w:rPr>
                <w:rtl/>
              </w:rPr>
            </w:pPr>
            <w:r w:rsidRPr="00B94C49">
              <w:rPr>
                <w:rFonts w:asciiTheme="majorBidi" w:hAnsiTheme="majorBidi" w:cstheme="majorBidi"/>
              </w:rPr>
              <w:t>RYBREVANT (</w:t>
            </w:r>
            <w:proofErr w:type="spellStart"/>
            <w:r w:rsidRPr="00B94C49">
              <w:rPr>
                <w:rFonts w:asciiTheme="majorBidi" w:hAnsiTheme="majorBidi" w:cstheme="majorBidi"/>
              </w:rPr>
              <w:t>amivantamab</w:t>
            </w:r>
            <w:proofErr w:type="spellEnd"/>
            <w:r w:rsidRPr="00B94C49">
              <w:rPr>
                <w:rFonts w:asciiTheme="majorBidi" w:hAnsiTheme="majorBidi" w:cstheme="majorBidi"/>
              </w:rPr>
              <w:t>) in combination with carboplatin and pemetrexed for the treatment of adult patients with advanced non-small cell lung cancer (NSCLC) with EGFR Exon 19 deletions or Exon 21 L858R substitution mutations after failure of prior therapy including a third-generation EGFR tyrosine kinase inhibitor (TKI).</w:t>
            </w:r>
          </w:p>
        </w:tc>
      </w:tr>
      <w:tr w:rsidR="00662475" w14:paraId="31BA9531" w14:textId="77777777" w:rsidTr="00F455BE">
        <w:tc>
          <w:tcPr>
            <w:tcW w:w="792" w:type="dxa"/>
          </w:tcPr>
          <w:p w14:paraId="7DFC294E" w14:textId="2FFC2CC7" w:rsidR="00F455BE" w:rsidRPr="00B94C49" w:rsidRDefault="002C78A3" w:rsidP="00E01D6E">
            <w:pPr>
              <w:bidi w:val="0"/>
              <w:jc w:val="center"/>
              <w:rPr>
                <w:rtl/>
              </w:rPr>
            </w:pPr>
            <w:r w:rsidRPr="00B94C49">
              <w:rPr>
                <w:rFonts w:asciiTheme="majorBidi" w:hAnsiTheme="majorBidi" w:cstheme="majorBidi" w:hint="cs"/>
                <w:rtl/>
              </w:rPr>
              <w:t>20</w:t>
            </w:r>
          </w:p>
        </w:tc>
        <w:tc>
          <w:tcPr>
            <w:tcW w:w="1843" w:type="dxa"/>
          </w:tcPr>
          <w:p w14:paraId="784EA282" w14:textId="77777777" w:rsidR="00F455BE" w:rsidRPr="00B94C49" w:rsidRDefault="002C78A3" w:rsidP="00E01D6E">
            <w:pPr>
              <w:bidi w:val="0"/>
              <w:jc w:val="center"/>
              <w:rPr>
                <w:rFonts w:asciiTheme="majorBidi" w:hAnsiTheme="majorBidi" w:cstheme="majorBidi"/>
              </w:rPr>
            </w:pPr>
            <w:r w:rsidRPr="00B94C49">
              <w:rPr>
                <w:rFonts w:asciiTheme="majorBidi" w:hAnsiTheme="majorBidi" w:cstheme="majorBidi"/>
              </w:rPr>
              <w:t xml:space="preserve">Trifluridine            </w:t>
            </w:r>
            <w:proofErr w:type="spellStart"/>
            <w:r w:rsidRPr="00B94C49">
              <w:rPr>
                <w:rFonts w:asciiTheme="majorBidi" w:hAnsiTheme="majorBidi" w:cstheme="majorBidi"/>
              </w:rPr>
              <w:t>Tipiracil</w:t>
            </w:r>
            <w:proofErr w:type="spellEnd"/>
          </w:p>
          <w:p w14:paraId="7BBD5BB8" w14:textId="77777777" w:rsidR="00F455BE" w:rsidRPr="00B94C49" w:rsidRDefault="00F455BE" w:rsidP="00E01D6E">
            <w:pPr>
              <w:bidi w:val="0"/>
              <w:jc w:val="center"/>
              <w:rPr>
                <w:rFonts w:asciiTheme="majorBidi" w:hAnsiTheme="majorBidi" w:cstheme="majorBidi"/>
              </w:rPr>
            </w:pPr>
          </w:p>
          <w:p w14:paraId="2A74A3D9" w14:textId="77777777" w:rsidR="00F455BE" w:rsidRPr="00B94C49" w:rsidRDefault="002C78A3" w:rsidP="00E01D6E">
            <w:pPr>
              <w:bidi w:val="0"/>
              <w:jc w:val="center"/>
              <w:rPr>
                <w:rFonts w:asciiTheme="majorBidi" w:hAnsiTheme="majorBidi" w:cstheme="majorBidi"/>
              </w:rPr>
            </w:pPr>
            <w:r w:rsidRPr="00B94C49">
              <w:rPr>
                <w:rFonts w:asciiTheme="majorBidi" w:hAnsiTheme="majorBidi" w:cstheme="majorBidi"/>
              </w:rPr>
              <w:t>+</w:t>
            </w:r>
          </w:p>
          <w:p w14:paraId="4DC994CA" w14:textId="57BE7500" w:rsidR="00F455BE" w:rsidRPr="00B94C49" w:rsidRDefault="002C78A3" w:rsidP="00E01D6E">
            <w:pPr>
              <w:bidi w:val="0"/>
              <w:jc w:val="center"/>
              <w:rPr>
                <w:rtl/>
              </w:rPr>
            </w:pPr>
            <w:r w:rsidRPr="00B94C49">
              <w:rPr>
                <w:rFonts w:asciiTheme="majorBidi" w:hAnsiTheme="majorBidi" w:cstheme="majorBidi"/>
              </w:rPr>
              <w:t>Bevacizumab</w:t>
            </w:r>
          </w:p>
        </w:tc>
        <w:tc>
          <w:tcPr>
            <w:tcW w:w="5661" w:type="dxa"/>
          </w:tcPr>
          <w:p w14:paraId="495DE22C" w14:textId="409B718B" w:rsidR="00F455BE" w:rsidRPr="00B94C49" w:rsidRDefault="002C78A3" w:rsidP="00E01D6E">
            <w:pPr>
              <w:bidi w:val="0"/>
              <w:jc w:val="center"/>
              <w:rPr>
                <w:rtl/>
              </w:rPr>
            </w:pPr>
            <w:proofErr w:type="spellStart"/>
            <w:r w:rsidRPr="00B94C49">
              <w:rPr>
                <w:rFonts w:asciiTheme="majorBidi" w:hAnsiTheme="majorBidi" w:cstheme="majorBidi"/>
              </w:rPr>
              <w:t>Lonsurf</w:t>
            </w:r>
            <w:proofErr w:type="spellEnd"/>
            <w:r w:rsidRPr="00B94C49">
              <w:rPr>
                <w:rFonts w:asciiTheme="majorBidi" w:hAnsiTheme="majorBidi" w:cstheme="majorBidi"/>
              </w:rPr>
              <w:t xml:space="preserve"> is indicated in combination with bevacizumab for the treatment of adult patients with metastatic colorectal cancer (CRC) who have received prior anticancer treatment regimens including fluoropyrimidine-, oxaliplatin- and irinotecan-based chemotherapies, anti-VEGF agents, and/or anti-EGFR agents.</w:t>
            </w:r>
          </w:p>
        </w:tc>
      </w:tr>
      <w:tr w:rsidR="00662475" w14:paraId="304B8416" w14:textId="77777777" w:rsidTr="00F455BE">
        <w:tc>
          <w:tcPr>
            <w:tcW w:w="792" w:type="dxa"/>
          </w:tcPr>
          <w:p w14:paraId="5DFA3F28" w14:textId="65BC788E" w:rsidR="00F455BE" w:rsidRPr="00B94C49" w:rsidRDefault="002C78A3" w:rsidP="00E01D6E">
            <w:pPr>
              <w:bidi w:val="0"/>
              <w:jc w:val="center"/>
              <w:rPr>
                <w:rtl/>
              </w:rPr>
            </w:pPr>
            <w:r w:rsidRPr="00B94C49">
              <w:rPr>
                <w:rFonts w:asciiTheme="majorBidi" w:hAnsiTheme="majorBidi" w:cstheme="majorBidi" w:hint="cs"/>
                <w:rtl/>
              </w:rPr>
              <w:t>20</w:t>
            </w:r>
          </w:p>
        </w:tc>
        <w:tc>
          <w:tcPr>
            <w:tcW w:w="1843" w:type="dxa"/>
          </w:tcPr>
          <w:p w14:paraId="6455D0DF" w14:textId="477F822E" w:rsidR="00F455BE" w:rsidRPr="00B94C49" w:rsidRDefault="002C78A3" w:rsidP="00E01D6E">
            <w:pPr>
              <w:bidi w:val="0"/>
              <w:jc w:val="center"/>
              <w:rPr>
                <w:rtl/>
              </w:rPr>
            </w:pPr>
            <w:proofErr w:type="spellStart"/>
            <w:r w:rsidRPr="00B94C49">
              <w:rPr>
                <w:rFonts w:asciiTheme="majorBidi" w:hAnsiTheme="majorBidi" w:cstheme="majorBidi"/>
              </w:rPr>
              <w:t>Fruquitinib</w:t>
            </w:r>
            <w:proofErr w:type="spellEnd"/>
          </w:p>
        </w:tc>
        <w:tc>
          <w:tcPr>
            <w:tcW w:w="5661" w:type="dxa"/>
          </w:tcPr>
          <w:p w14:paraId="4B3AF811" w14:textId="18B2D177" w:rsidR="00F455BE" w:rsidRPr="00B94C49" w:rsidRDefault="002C78A3" w:rsidP="00E01D6E">
            <w:pPr>
              <w:bidi w:val="0"/>
              <w:jc w:val="center"/>
              <w:rPr>
                <w:rtl/>
              </w:rPr>
            </w:pPr>
            <w:r w:rsidRPr="00B94C49">
              <w:rPr>
                <w:rFonts w:asciiTheme="majorBidi" w:hAnsiTheme="majorBidi" w:cstheme="majorBidi"/>
              </w:rPr>
              <w:t>Treatment of patients with metastatic colorectal cancer (mCRC) who have been previously treated with fluoropyrimidine, oxaliplatin, and irinotecan‑based chemotherapy, an anti‑VEGF therapy, and, if RAS wild‑type, an anti-EGFR therapy.</w:t>
            </w:r>
          </w:p>
        </w:tc>
      </w:tr>
      <w:tr w:rsidR="00662475" w14:paraId="290DF0EE" w14:textId="77777777" w:rsidTr="00F455BE">
        <w:tc>
          <w:tcPr>
            <w:tcW w:w="792" w:type="dxa"/>
          </w:tcPr>
          <w:p w14:paraId="5C1706A6" w14:textId="60A50ECD" w:rsidR="00F455BE" w:rsidRPr="00B94C49" w:rsidRDefault="002C78A3" w:rsidP="00E01D6E">
            <w:pPr>
              <w:bidi w:val="0"/>
              <w:jc w:val="center"/>
              <w:rPr>
                <w:rtl/>
              </w:rPr>
            </w:pPr>
            <w:r w:rsidRPr="00B94C49">
              <w:rPr>
                <w:rFonts w:asciiTheme="majorBidi" w:hAnsiTheme="majorBidi" w:cstheme="majorBidi" w:hint="cs"/>
                <w:rtl/>
              </w:rPr>
              <w:t>21</w:t>
            </w:r>
          </w:p>
        </w:tc>
        <w:tc>
          <w:tcPr>
            <w:tcW w:w="1843" w:type="dxa"/>
          </w:tcPr>
          <w:p w14:paraId="7A66F328" w14:textId="01B1EFA3" w:rsidR="00F455BE" w:rsidRPr="00B94C49" w:rsidRDefault="002C78A3" w:rsidP="00E01D6E">
            <w:pPr>
              <w:bidi w:val="0"/>
              <w:jc w:val="center"/>
              <w:rPr>
                <w:rtl/>
              </w:rPr>
            </w:pPr>
            <w:r w:rsidRPr="00B94C49">
              <w:rPr>
                <w:rFonts w:asciiTheme="majorBidi" w:hAnsiTheme="majorBidi" w:cstheme="majorBidi"/>
              </w:rPr>
              <w:t>Durvalumab</w:t>
            </w:r>
          </w:p>
        </w:tc>
        <w:tc>
          <w:tcPr>
            <w:tcW w:w="5661" w:type="dxa"/>
          </w:tcPr>
          <w:p w14:paraId="5A8B321A" w14:textId="2102712D" w:rsidR="00F455BE" w:rsidRPr="00C85ACD" w:rsidRDefault="002C78A3" w:rsidP="00E01D6E">
            <w:pPr>
              <w:bidi w:val="0"/>
              <w:jc w:val="center"/>
              <w:rPr>
                <w:rtl/>
              </w:rPr>
            </w:pPr>
            <w:r w:rsidRPr="00C85ACD">
              <w:rPr>
                <w:rFonts w:asciiTheme="majorBidi" w:hAnsiTheme="majorBidi" w:cstheme="majorBidi"/>
              </w:rPr>
              <w:t>Imfinzi in combination with etoposide and either carboplatin or cisplatin is indicated for the first line treatment of patients with extensive-stage small cell lung cancer.</w:t>
            </w:r>
          </w:p>
        </w:tc>
      </w:tr>
      <w:tr w:rsidR="00662475" w14:paraId="0741F1F0" w14:textId="77777777" w:rsidTr="00F455BE">
        <w:tc>
          <w:tcPr>
            <w:tcW w:w="792" w:type="dxa"/>
          </w:tcPr>
          <w:p w14:paraId="16E09A01" w14:textId="3EE33457" w:rsidR="00F455BE" w:rsidRPr="00B94C49" w:rsidRDefault="002C78A3" w:rsidP="00E01D6E">
            <w:pPr>
              <w:bidi w:val="0"/>
              <w:jc w:val="center"/>
              <w:rPr>
                <w:rtl/>
              </w:rPr>
            </w:pPr>
            <w:r w:rsidRPr="00B94C49">
              <w:rPr>
                <w:rFonts w:asciiTheme="majorBidi" w:hAnsiTheme="majorBidi" w:cstheme="majorBidi" w:hint="cs"/>
                <w:rtl/>
              </w:rPr>
              <w:t>21</w:t>
            </w:r>
          </w:p>
        </w:tc>
        <w:tc>
          <w:tcPr>
            <w:tcW w:w="1843" w:type="dxa"/>
          </w:tcPr>
          <w:p w14:paraId="4180CD0A" w14:textId="77777777" w:rsidR="00F455BE" w:rsidRPr="00B94C49" w:rsidRDefault="00F455BE" w:rsidP="00E01D6E">
            <w:pPr>
              <w:bidi w:val="0"/>
              <w:jc w:val="center"/>
              <w:rPr>
                <w:rtl/>
              </w:rPr>
            </w:pPr>
          </w:p>
        </w:tc>
        <w:tc>
          <w:tcPr>
            <w:tcW w:w="5661" w:type="dxa"/>
          </w:tcPr>
          <w:p w14:paraId="0546C6B6" w14:textId="2D5BB64A" w:rsidR="00F455BE" w:rsidRPr="00C85ACD" w:rsidRDefault="002C78A3" w:rsidP="00E01D6E">
            <w:pPr>
              <w:bidi w:val="0"/>
              <w:jc w:val="center"/>
              <w:rPr>
                <w:rtl/>
              </w:rPr>
            </w:pPr>
            <w:r w:rsidRPr="00C85ACD">
              <w:rPr>
                <w:rFonts w:asciiTheme="majorBidi" w:hAnsiTheme="majorBidi" w:cstheme="majorBidi"/>
              </w:rPr>
              <w:t>TECENTRIQ, in combination with carboplatin and etoposide, is indicated for the first-line treatment of adult patients with extensive-stage small cell lung cancer (ES-SCLC).</w:t>
            </w:r>
          </w:p>
        </w:tc>
      </w:tr>
      <w:tr w:rsidR="00662475" w14:paraId="2304A2B7" w14:textId="77777777" w:rsidTr="00F455BE">
        <w:tc>
          <w:tcPr>
            <w:tcW w:w="792" w:type="dxa"/>
          </w:tcPr>
          <w:p w14:paraId="07EB320C" w14:textId="772D1972" w:rsidR="00F455BE" w:rsidRPr="00B94C49" w:rsidRDefault="002C78A3" w:rsidP="00E01D6E">
            <w:pPr>
              <w:bidi w:val="0"/>
              <w:jc w:val="center"/>
              <w:rPr>
                <w:rtl/>
              </w:rPr>
            </w:pPr>
            <w:r w:rsidRPr="00B94C49">
              <w:rPr>
                <w:rFonts w:asciiTheme="majorBidi" w:hAnsiTheme="majorBidi" w:cstheme="majorBidi" w:hint="cs"/>
                <w:rtl/>
              </w:rPr>
              <w:t>22</w:t>
            </w:r>
          </w:p>
        </w:tc>
        <w:tc>
          <w:tcPr>
            <w:tcW w:w="1843" w:type="dxa"/>
          </w:tcPr>
          <w:p w14:paraId="64EBB021" w14:textId="183620E1" w:rsidR="00F455BE" w:rsidRPr="00B94C49" w:rsidRDefault="002C78A3" w:rsidP="00E01D6E">
            <w:pPr>
              <w:bidi w:val="0"/>
              <w:jc w:val="center"/>
              <w:rPr>
                <w:rtl/>
              </w:rPr>
            </w:pPr>
            <w:r w:rsidRPr="00B94C49">
              <w:rPr>
                <w:rFonts w:asciiTheme="majorBidi" w:hAnsiTheme="majorBidi" w:cstheme="majorBidi"/>
              </w:rPr>
              <w:t xml:space="preserve">Trastuzumab </w:t>
            </w:r>
            <w:proofErr w:type="spellStart"/>
            <w:r w:rsidRPr="00B94C49">
              <w:rPr>
                <w:rFonts w:asciiTheme="majorBidi" w:hAnsiTheme="majorBidi" w:cstheme="majorBidi"/>
              </w:rPr>
              <w:t>Deruxtecan</w:t>
            </w:r>
            <w:proofErr w:type="spellEnd"/>
          </w:p>
        </w:tc>
        <w:tc>
          <w:tcPr>
            <w:tcW w:w="5661" w:type="dxa"/>
          </w:tcPr>
          <w:p w14:paraId="40D0BD8D" w14:textId="6F9811F4" w:rsidR="00F455BE" w:rsidRPr="00B94C49" w:rsidRDefault="002C78A3" w:rsidP="00E01D6E">
            <w:pPr>
              <w:bidi w:val="0"/>
              <w:jc w:val="center"/>
              <w:rPr>
                <w:rtl/>
              </w:rPr>
            </w:pPr>
            <w:r w:rsidRPr="00B94C49">
              <w:rPr>
                <w:rFonts w:asciiTheme="majorBidi" w:hAnsiTheme="majorBidi" w:cstheme="majorBidi"/>
              </w:rPr>
              <w:t>ENHERTU is indicated for the treatment of adult patients with unresectable or metastatic non-small cell lung cancer (NSCLC) whose tumors have activating HER2 (ERBB2) mutations, as detected by an approved test, and who have received a prior systemic therapy.</w:t>
            </w:r>
          </w:p>
        </w:tc>
      </w:tr>
      <w:tr w:rsidR="00662475" w14:paraId="0F20F677" w14:textId="77777777" w:rsidTr="00F455BE">
        <w:tc>
          <w:tcPr>
            <w:tcW w:w="792" w:type="dxa"/>
          </w:tcPr>
          <w:p w14:paraId="30E75952" w14:textId="08949EF0"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23</w:t>
            </w:r>
          </w:p>
        </w:tc>
        <w:tc>
          <w:tcPr>
            <w:tcW w:w="1843" w:type="dxa"/>
          </w:tcPr>
          <w:p w14:paraId="365A63F3" w14:textId="2242FA49"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Pembrolizumab</w:t>
            </w:r>
          </w:p>
        </w:tc>
        <w:tc>
          <w:tcPr>
            <w:tcW w:w="5661" w:type="dxa"/>
          </w:tcPr>
          <w:p w14:paraId="44B92DDB" w14:textId="0E8842DC"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Pembrolizumab (KEYTRUDA), in combination with chemotherapy, followed by KEYTRUDA as a single agent is indicated for the treatment of patients with primary advanced or recurrent endometrial carcinoma.</w:t>
            </w:r>
          </w:p>
        </w:tc>
      </w:tr>
      <w:tr w:rsidR="00662475" w14:paraId="2ACB0B3A" w14:textId="77777777" w:rsidTr="00F455BE">
        <w:tc>
          <w:tcPr>
            <w:tcW w:w="792" w:type="dxa"/>
          </w:tcPr>
          <w:p w14:paraId="41F45535" w14:textId="01B88C3C"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24</w:t>
            </w:r>
          </w:p>
        </w:tc>
        <w:tc>
          <w:tcPr>
            <w:tcW w:w="1843" w:type="dxa"/>
          </w:tcPr>
          <w:p w14:paraId="5575BCE0" w14:textId="1FE878D2"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Durvalumab</w:t>
            </w:r>
          </w:p>
        </w:tc>
        <w:tc>
          <w:tcPr>
            <w:tcW w:w="5661" w:type="dxa"/>
          </w:tcPr>
          <w:p w14:paraId="20DBC96C" w14:textId="346FCB69"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IMFINZI in combination with gemcitabine and cisplatin is indicated for the first-line treatment of adults with locally advanced, unresectable, or metastatic biliary tract cancer (BTC).</w:t>
            </w:r>
          </w:p>
        </w:tc>
      </w:tr>
      <w:tr w:rsidR="00662475" w14:paraId="761C86E2" w14:textId="77777777" w:rsidTr="00F455BE">
        <w:tc>
          <w:tcPr>
            <w:tcW w:w="792" w:type="dxa"/>
          </w:tcPr>
          <w:p w14:paraId="5AC47930" w14:textId="1C110DEE"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lastRenderedPageBreak/>
              <w:t>25</w:t>
            </w:r>
          </w:p>
        </w:tc>
        <w:tc>
          <w:tcPr>
            <w:tcW w:w="1843" w:type="dxa"/>
          </w:tcPr>
          <w:p w14:paraId="3E6A0226" w14:textId="555015E3"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 xml:space="preserve">Sacituzumab </w:t>
            </w:r>
            <w:proofErr w:type="spellStart"/>
            <w:r w:rsidRPr="00B94C49">
              <w:rPr>
                <w:rFonts w:asciiTheme="majorBidi" w:hAnsiTheme="majorBidi" w:cstheme="majorBidi"/>
              </w:rPr>
              <w:t>govitecan</w:t>
            </w:r>
            <w:proofErr w:type="spellEnd"/>
          </w:p>
        </w:tc>
        <w:tc>
          <w:tcPr>
            <w:tcW w:w="5661" w:type="dxa"/>
          </w:tcPr>
          <w:p w14:paraId="03E1523C" w14:textId="7C6488AB" w:rsidR="00E01D6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Trodelvy</w:t>
            </w:r>
            <w:proofErr w:type="spellEnd"/>
            <w:r w:rsidRPr="00B94C49">
              <w:rPr>
                <w:rFonts w:asciiTheme="majorBidi" w:hAnsiTheme="majorBidi" w:cstheme="majorBidi"/>
              </w:rPr>
              <w:t xml:space="preserve"> is indicated for the treatment of adult patients with unresectable locally advanced or metastatic hormone receptor (HR)-positive, human epidermal growth factor receptor 2 (HER2)-negative (IHC 0, IHC 1+ or IHC 2+/ISH–) breast cancer who have received endocrine-based therapy and at least two additional systemic therapies in the metastatic setting.</w:t>
            </w:r>
          </w:p>
        </w:tc>
      </w:tr>
      <w:tr w:rsidR="00662475" w14:paraId="6834DA22" w14:textId="77777777" w:rsidTr="00F455BE">
        <w:tc>
          <w:tcPr>
            <w:tcW w:w="792" w:type="dxa"/>
          </w:tcPr>
          <w:p w14:paraId="1096ECEF" w14:textId="36DBA4EA"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26</w:t>
            </w:r>
          </w:p>
        </w:tc>
        <w:tc>
          <w:tcPr>
            <w:tcW w:w="1843" w:type="dxa"/>
          </w:tcPr>
          <w:p w14:paraId="090C4F84" w14:textId="23526FCA" w:rsidR="00E01D6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Mirvetuximab</w:t>
            </w:r>
            <w:proofErr w:type="spellEnd"/>
            <w:r w:rsidRPr="00B94C49">
              <w:rPr>
                <w:rFonts w:asciiTheme="majorBidi" w:hAnsiTheme="majorBidi" w:cstheme="majorBidi"/>
              </w:rPr>
              <w:t xml:space="preserve"> </w:t>
            </w:r>
            <w:proofErr w:type="spellStart"/>
            <w:r w:rsidRPr="00B94C49">
              <w:rPr>
                <w:rFonts w:asciiTheme="majorBidi" w:hAnsiTheme="majorBidi" w:cstheme="majorBidi"/>
              </w:rPr>
              <w:t>soravtansine</w:t>
            </w:r>
            <w:proofErr w:type="spellEnd"/>
            <w:r w:rsidRPr="00B94C49">
              <w:rPr>
                <w:rFonts w:asciiTheme="majorBidi" w:hAnsiTheme="majorBidi" w:cstheme="majorBidi"/>
              </w:rPr>
              <w:t xml:space="preserve"> (MIRV)</w:t>
            </w:r>
          </w:p>
        </w:tc>
        <w:tc>
          <w:tcPr>
            <w:tcW w:w="5661" w:type="dxa"/>
          </w:tcPr>
          <w:p w14:paraId="38532164" w14:textId="2C975680" w:rsidR="00E01D6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Mirvetuximab</w:t>
            </w:r>
            <w:proofErr w:type="spellEnd"/>
            <w:r w:rsidRPr="00B94C49">
              <w:rPr>
                <w:rFonts w:asciiTheme="majorBidi" w:hAnsiTheme="majorBidi" w:cstheme="majorBidi"/>
              </w:rPr>
              <w:t xml:space="preserve"> </w:t>
            </w:r>
            <w:proofErr w:type="spellStart"/>
            <w:r w:rsidRPr="00B94C49">
              <w:rPr>
                <w:rFonts w:asciiTheme="majorBidi" w:hAnsiTheme="majorBidi" w:cstheme="majorBidi"/>
              </w:rPr>
              <w:t>soravtansineis</w:t>
            </w:r>
            <w:proofErr w:type="spellEnd"/>
            <w:r w:rsidRPr="00B94C49">
              <w:rPr>
                <w:rFonts w:asciiTheme="majorBidi" w:hAnsiTheme="majorBidi" w:cstheme="majorBidi"/>
              </w:rPr>
              <w:t xml:space="preserve"> a FRα-directed antibody and microtubule inhibitor conjugate indicated for the treatment of adult patients with FRα positive, platinum resistant epithelial ovarian, fallopian tube, or primary peritoneal cancer, who have received one to three prior systemic treatment regimens</w:t>
            </w:r>
            <w:r w:rsidRPr="00B94C49">
              <w:rPr>
                <w:rFonts w:asciiTheme="majorBidi" w:hAnsiTheme="majorBidi" w:cs="Times New Roman"/>
                <w:rtl/>
              </w:rPr>
              <w:t>.</w:t>
            </w:r>
          </w:p>
        </w:tc>
      </w:tr>
      <w:tr w:rsidR="00662475" w14:paraId="70A196C7" w14:textId="77777777" w:rsidTr="00F455BE">
        <w:tc>
          <w:tcPr>
            <w:tcW w:w="792" w:type="dxa"/>
          </w:tcPr>
          <w:p w14:paraId="5FB93F1E" w14:textId="15FA0380"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27</w:t>
            </w:r>
          </w:p>
        </w:tc>
        <w:tc>
          <w:tcPr>
            <w:tcW w:w="1843" w:type="dxa"/>
          </w:tcPr>
          <w:p w14:paraId="60B7561C" w14:textId="3364F6A7"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177Lu-PSMA</w:t>
            </w:r>
          </w:p>
        </w:tc>
        <w:tc>
          <w:tcPr>
            <w:tcW w:w="5661" w:type="dxa"/>
          </w:tcPr>
          <w:p w14:paraId="746F65CE" w14:textId="43574480" w:rsidR="00E01D6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Pluvicto</w:t>
            </w:r>
            <w:proofErr w:type="spellEnd"/>
            <w:r w:rsidRPr="00B94C49">
              <w:rPr>
                <w:rFonts w:asciiTheme="majorBidi" w:hAnsiTheme="majorBidi" w:cstheme="majorBidi"/>
              </w:rPr>
              <w:t xml:space="preserve"> is indicated for the treatment of adult patients with prostate-specific membrane antigen (PSMA)-positive metastatic castration-resistant prostate cancer (</w:t>
            </w:r>
            <w:proofErr w:type="spellStart"/>
            <w:r w:rsidRPr="00B94C49">
              <w:rPr>
                <w:rFonts w:asciiTheme="majorBidi" w:hAnsiTheme="majorBidi" w:cstheme="majorBidi"/>
              </w:rPr>
              <w:t>mCRPC</w:t>
            </w:r>
            <w:proofErr w:type="spellEnd"/>
            <w:r w:rsidRPr="00B94C49">
              <w:rPr>
                <w:rFonts w:asciiTheme="majorBidi" w:hAnsiTheme="majorBidi" w:cstheme="majorBidi"/>
              </w:rPr>
              <w:t xml:space="preserve">) who have been treated with androgen receptor (AR) pathway inhibition and </w:t>
            </w:r>
            <w:proofErr w:type="spellStart"/>
            <w:r w:rsidRPr="00B94C49">
              <w:rPr>
                <w:rFonts w:asciiTheme="majorBidi" w:hAnsiTheme="majorBidi" w:cstheme="majorBidi"/>
              </w:rPr>
              <w:t>taxane</w:t>
            </w:r>
            <w:proofErr w:type="spellEnd"/>
            <w:r w:rsidRPr="00B94C49">
              <w:rPr>
                <w:rFonts w:asciiTheme="majorBidi" w:hAnsiTheme="majorBidi" w:cstheme="majorBidi"/>
              </w:rPr>
              <w:t xml:space="preserve">-based chemotherapy </w:t>
            </w:r>
            <w:r w:rsidRPr="00B94C49">
              <w:rPr>
                <w:rFonts w:asciiTheme="majorBidi" w:hAnsiTheme="majorBidi" w:cstheme="majorBidi"/>
                <w:strike/>
              </w:rPr>
              <w:t xml:space="preserve">or who are not medically suitable for </w:t>
            </w:r>
            <w:proofErr w:type="spellStart"/>
            <w:r w:rsidRPr="00B94C49">
              <w:rPr>
                <w:rFonts w:asciiTheme="majorBidi" w:hAnsiTheme="majorBidi" w:cstheme="majorBidi"/>
                <w:strike/>
              </w:rPr>
              <w:t>taxanes</w:t>
            </w:r>
            <w:proofErr w:type="spellEnd"/>
            <w:r w:rsidRPr="00B94C49">
              <w:rPr>
                <w:rFonts w:asciiTheme="majorBidi" w:hAnsiTheme="majorBidi" w:cstheme="majorBidi"/>
                <w:strike/>
              </w:rPr>
              <w:t>.</w:t>
            </w:r>
          </w:p>
        </w:tc>
      </w:tr>
      <w:tr w:rsidR="00662475" w14:paraId="307260D2" w14:textId="77777777" w:rsidTr="00F455BE">
        <w:tc>
          <w:tcPr>
            <w:tcW w:w="792" w:type="dxa"/>
          </w:tcPr>
          <w:p w14:paraId="518D753E" w14:textId="038B6B8D"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28</w:t>
            </w:r>
          </w:p>
        </w:tc>
        <w:tc>
          <w:tcPr>
            <w:tcW w:w="1843" w:type="dxa"/>
          </w:tcPr>
          <w:p w14:paraId="3AD7AB95" w14:textId="16A9AE75" w:rsidR="00E01D6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Enfortumab</w:t>
            </w:r>
            <w:proofErr w:type="spellEnd"/>
            <w:r w:rsidRPr="00B94C49">
              <w:rPr>
                <w:rFonts w:asciiTheme="majorBidi" w:hAnsiTheme="majorBidi" w:cstheme="majorBidi"/>
              </w:rPr>
              <w:t xml:space="preserve"> </w:t>
            </w:r>
            <w:proofErr w:type="spellStart"/>
            <w:r w:rsidRPr="00B94C49">
              <w:rPr>
                <w:rFonts w:asciiTheme="majorBidi" w:hAnsiTheme="majorBidi" w:cstheme="majorBidi"/>
              </w:rPr>
              <w:t>Vedotin</w:t>
            </w:r>
            <w:proofErr w:type="spellEnd"/>
          </w:p>
        </w:tc>
        <w:tc>
          <w:tcPr>
            <w:tcW w:w="5661" w:type="dxa"/>
          </w:tcPr>
          <w:p w14:paraId="7EDE47B8" w14:textId="069674C1"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PADCEV, as a single agent, is indicated for the treatment of adult patients with locally advanced or metastatic urothelial cancer (</w:t>
            </w:r>
            <w:proofErr w:type="spellStart"/>
            <w:r w:rsidRPr="00B94C49">
              <w:rPr>
                <w:rFonts w:asciiTheme="majorBidi" w:hAnsiTheme="majorBidi" w:cstheme="majorBidi"/>
              </w:rPr>
              <w:t>mUC</w:t>
            </w:r>
            <w:proofErr w:type="spellEnd"/>
            <w:r w:rsidRPr="00B94C49">
              <w:rPr>
                <w:rFonts w:asciiTheme="majorBidi" w:hAnsiTheme="majorBidi" w:cstheme="majorBidi"/>
              </w:rPr>
              <w:t>) who: have previously received a programmed death receptor-1 (PD-1) or programmed death-ligand 1 (PD-L1) inhibitor, and a platinum-containing chemotherapy</w:t>
            </w:r>
          </w:p>
        </w:tc>
      </w:tr>
      <w:tr w:rsidR="00662475" w14:paraId="699B968B" w14:textId="77777777" w:rsidTr="00F455BE">
        <w:tc>
          <w:tcPr>
            <w:tcW w:w="792" w:type="dxa"/>
          </w:tcPr>
          <w:p w14:paraId="0E490B27" w14:textId="18403490" w:rsidR="00E01D6E" w:rsidRPr="00B94C49" w:rsidRDefault="002C78A3" w:rsidP="00E01D6E">
            <w:pPr>
              <w:bidi w:val="0"/>
              <w:jc w:val="center"/>
              <w:rPr>
                <w:rFonts w:asciiTheme="majorBidi" w:hAnsiTheme="majorBidi" w:cstheme="majorBidi"/>
                <w:rtl/>
              </w:rPr>
            </w:pPr>
            <w:r w:rsidRPr="00B94C49">
              <w:rPr>
                <w:rFonts w:asciiTheme="majorBidi" w:eastAsia="Arial" w:hAnsiTheme="majorBidi" w:cstheme="majorBidi" w:hint="cs"/>
                <w:rtl/>
              </w:rPr>
              <w:t>29</w:t>
            </w:r>
          </w:p>
        </w:tc>
        <w:tc>
          <w:tcPr>
            <w:tcW w:w="1843" w:type="dxa"/>
          </w:tcPr>
          <w:p w14:paraId="233D81A8" w14:textId="7E889397" w:rsidR="00E01D6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Ivosidenib</w:t>
            </w:r>
            <w:proofErr w:type="spellEnd"/>
          </w:p>
        </w:tc>
        <w:tc>
          <w:tcPr>
            <w:tcW w:w="5661" w:type="dxa"/>
          </w:tcPr>
          <w:p w14:paraId="09A3BD23" w14:textId="4E42A486"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TIBSOVO is indicated for the treatment of adult patients with previously treated, locally advanced or metastatic cholangiocarcinoma with an isocitrate dehydrogenase-1 (IDH1) mutation as detected by an approved test*</w:t>
            </w:r>
          </w:p>
        </w:tc>
      </w:tr>
      <w:tr w:rsidR="00662475" w14:paraId="4C4C2631" w14:textId="77777777" w:rsidTr="00F455BE">
        <w:tc>
          <w:tcPr>
            <w:tcW w:w="792" w:type="dxa"/>
          </w:tcPr>
          <w:p w14:paraId="6F7A8FD2" w14:textId="1100AE01"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30</w:t>
            </w:r>
          </w:p>
        </w:tc>
        <w:tc>
          <w:tcPr>
            <w:tcW w:w="1843" w:type="dxa"/>
          </w:tcPr>
          <w:p w14:paraId="4BEC692B" w14:textId="58930D3A"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Pembrolizumab</w:t>
            </w:r>
          </w:p>
        </w:tc>
        <w:tc>
          <w:tcPr>
            <w:tcW w:w="5661" w:type="dxa"/>
          </w:tcPr>
          <w:p w14:paraId="478B7674" w14:textId="058AA012"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 xml:space="preserve">Pembrolizumab (Keytruda), is indicated for the treatment of patients with </w:t>
            </w:r>
            <w:proofErr w:type="spellStart"/>
            <w:r w:rsidRPr="00B94C49">
              <w:rPr>
                <w:rFonts w:asciiTheme="majorBidi" w:hAnsiTheme="majorBidi" w:cstheme="majorBidi"/>
              </w:rPr>
              <w:t>resectable</w:t>
            </w:r>
            <w:proofErr w:type="spellEnd"/>
            <w:r w:rsidRPr="00B94C49">
              <w:rPr>
                <w:rFonts w:asciiTheme="majorBidi" w:hAnsiTheme="majorBidi" w:cstheme="majorBidi"/>
              </w:rPr>
              <w:t xml:space="preserve"> (tumors ≥4 cm or node positive) NSCLC in combination with platinum containing chemotherapy as neoadjuvant treatment, and then continued as a single agent as adjuvant treatment after surgery</w:t>
            </w:r>
            <w:r w:rsidRPr="00B94C49">
              <w:rPr>
                <w:rFonts w:asciiTheme="majorBidi" w:hAnsiTheme="majorBidi" w:cs="Times New Roman"/>
                <w:rtl/>
              </w:rPr>
              <w:t>.</w:t>
            </w:r>
          </w:p>
        </w:tc>
      </w:tr>
      <w:tr w:rsidR="00662475" w14:paraId="16FA2EAB" w14:textId="77777777" w:rsidTr="00F455BE">
        <w:tc>
          <w:tcPr>
            <w:tcW w:w="792" w:type="dxa"/>
          </w:tcPr>
          <w:p w14:paraId="0632A2D7" w14:textId="358416EC"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30</w:t>
            </w:r>
          </w:p>
        </w:tc>
        <w:tc>
          <w:tcPr>
            <w:tcW w:w="1843" w:type="dxa"/>
          </w:tcPr>
          <w:p w14:paraId="5F9DCFFF" w14:textId="1C6F5033"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Durvalumab</w:t>
            </w:r>
          </w:p>
        </w:tc>
        <w:tc>
          <w:tcPr>
            <w:tcW w:w="5661" w:type="dxa"/>
          </w:tcPr>
          <w:p w14:paraId="444144D3" w14:textId="130CA4E2"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 xml:space="preserve">IMFINZI in combination with chemotherapy as neoadjuvant treatment, followed by IMFINZI as monotherapy after surgery, is indicated for the treatment of adult patients with </w:t>
            </w:r>
            <w:proofErr w:type="spellStart"/>
            <w:r w:rsidRPr="00B94C49">
              <w:rPr>
                <w:rFonts w:asciiTheme="majorBidi" w:hAnsiTheme="majorBidi" w:cstheme="majorBidi"/>
              </w:rPr>
              <w:t>resectable</w:t>
            </w:r>
            <w:proofErr w:type="spellEnd"/>
            <w:r w:rsidRPr="00B94C49">
              <w:rPr>
                <w:rFonts w:asciiTheme="majorBidi" w:hAnsiTheme="majorBidi" w:cstheme="majorBidi"/>
              </w:rPr>
              <w:t xml:space="preserve"> (tumors ≥ 4 cm and/or node positive) NSCLC and no known epidermal growth factor receptor (EGFR) mutations or anaplastic lymphoma kinase (ALK) rearrangements.</w:t>
            </w:r>
          </w:p>
        </w:tc>
      </w:tr>
      <w:tr w:rsidR="00662475" w14:paraId="5DF74C83" w14:textId="77777777" w:rsidTr="00F455BE">
        <w:tc>
          <w:tcPr>
            <w:tcW w:w="792" w:type="dxa"/>
          </w:tcPr>
          <w:p w14:paraId="6971B944" w14:textId="75647E1B"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30</w:t>
            </w:r>
          </w:p>
        </w:tc>
        <w:tc>
          <w:tcPr>
            <w:tcW w:w="1843" w:type="dxa"/>
          </w:tcPr>
          <w:p w14:paraId="4ADD41F1" w14:textId="2B46B9E3"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Nivolumab</w:t>
            </w:r>
          </w:p>
        </w:tc>
        <w:tc>
          <w:tcPr>
            <w:tcW w:w="5661" w:type="dxa"/>
          </w:tcPr>
          <w:p w14:paraId="25378508" w14:textId="490E943A"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 xml:space="preserve">OPDIVO, in combination with platinum-doublet chemotherapy, is indicated for the neoadjuvant treatment of adult patients with </w:t>
            </w:r>
            <w:proofErr w:type="spellStart"/>
            <w:r w:rsidRPr="00B94C49">
              <w:rPr>
                <w:rFonts w:asciiTheme="majorBidi" w:hAnsiTheme="majorBidi" w:cstheme="majorBidi"/>
              </w:rPr>
              <w:t>resectable</w:t>
            </w:r>
            <w:proofErr w:type="spellEnd"/>
            <w:r w:rsidRPr="00B94C49">
              <w:rPr>
                <w:rFonts w:asciiTheme="majorBidi" w:hAnsiTheme="majorBidi" w:cstheme="majorBidi"/>
              </w:rPr>
              <w:t xml:space="preserve"> (tumors &gt;4 cm or node positive) NSCLC, followed by OPDIVO as a single agent in the adjuvant setting after surgical resection</w:t>
            </w:r>
            <w:r w:rsidRPr="00B94C49">
              <w:rPr>
                <w:rFonts w:asciiTheme="majorBidi" w:hAnsiTheme="majorBidi" w:cs="Times New Roman"/>
                <w:rtl/>
              </w:rPr>
              <w:t>.</w:t>
            </w:r>
          </w:p>
        </w:tc>
      </w:tr>
      <w:tr w:rsidR="00662475" w14:paraId="3131A4C9" w14:textId="77777777" w:rsidTr="00F455BE">
        <w:tc>
          <w:tcPr>
            <w:tcW w:w="792" w:type="dxa"/>
          </w:tcPr>
          <w:p w14:paraId="1A850D61" w14:textId="0D9B39B1"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31</w:t>
            </w:r>
          </w:p>
        </w:tc>
        <w:tc>
          <w:tcPr>
            <w:tcW w:w="1843" w:type="dxa"/>
          </w:tcPr>
          <w:p w14:paraId="7D5F08BE" w14:textId="5355F87B" w:rsidR="00E01D6E" w:rsidRPr="00B94C49" w:rsidRDefault="002C78A3" w:rsidP="00E01D6E">
            <w:pPr>
              <w:bidi w:val="0"/>
              <w:jc w:val="center"/>
              <w:rPr>
                <w:rFonts w:asciiTheme="majorBidi" w:hAnsiTheme="majorBidi" w:cstheme="majorBidi"/>
              </w:rPr>
            </w:pPr>
            <w:proofErr w:type="spellStart"/>
            <w:r w:rsidRPr="00B94C49">
              <w:rPr>
                <w:rFonts w:asciiTheme="majorBidi" w:hAnsiTheme="majorBidi" w:cstheme="majorBidi"/>
              </w:rPr>
              <w:t>Ribociclib</w:t>
            </w:r>
            <w:proofErr w:type="spellEnd"/>
          </w:p>
        </w:tc>
        <w:tc>
          <w:tcPr>
            <w:tcW w:w="5661" w:type="dxa"/>
          </w:tcPr>
          <w:p w14:paraId="1CFCD5A0" w14:textId="07643643" w:rsidR="00E01D6E" w:rsidRPr="00B94C49" w:rsidRDefault="002C78A3" w:rsidP="00E01D6E">
            <w:pPr>
              <w:tabs>
                <w:tab w:val="left" w:pos="1865"/>
              </w:tabs>
              <w:bidi w:val="0"/>
              <w:jc w:val="center"/>
              <w:rPr>
                <w:rFonts w:asciiTheme="majorBidi" w:hAnsiTheme="majorBidi" w:cstheme="majorBidi"/>
              </w:rPr>
            </w:pPr>
            <w:proofErr w:type="spellStart"/>
            <w:r w:rsidRPr="00B94C49">
              <w:rPr>
                <w:rFonts w:asciiTheme="majorBidi" w:hAnsiTheme="majorBidi" w:cstheme="majorBidi"/>
              </w:rPr>
              <w:t>Kisqali</w:t>
            </w:r>
            <w:proofErr w:type="spellEnd"/>
            <w:r w:rsidRPr="00B94C49">
              <w:rPr>
                <w:rFonts w:asciiTheme="majorBidi" w:hAnsiTheme="majorBidi" w:cstheme="majorBidi"/>
              </w:rPr>
              <w:t xml:space="preserve"> is indicated for the adjuvant treatment of patients with hormone receptor (HR)-positive, human epidermal growth factor receptor 2 (HER2)-negative stage II and III early breast cancer, irrespective of nodal status, in combination with an aromatase inhibitor</w:t>
            </w:r>
          </w:p>
          <w:p w14:paraId="41DF5E4E" w14:textId="2A9C2D66"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 xml:space="preserve">For a sub-group: </w:t>
            </w:r>
            <w:r w:rsidRPr="00B94C49">
              <w:rPr>
                <w:rFonts w:asciiTheme="majorBidi" w:hAnsiTheme="majorBidi" w:cstheme="majorBidi"/>
                <w:b/>
                <w:bCs/>
              </w:rPr>
              <w:t xml:space="preserve">N1 (1-3 positive lymph nodes) </w:t>
            </w:r>
            <w:r w:rsidRPr="00B94C49">
              <w:rPr>
                <w:rFonts w:asciiTheme="majorBidi" w:hAnsiTheme="majorBidi" w:cstheme="majorBidi"/>
              </w:rPr>
              <w:t xml:space="preserve">with high genomic risk (as defined for each genomic test) followed by </w:t>
            </w:r>
            <w:proofErr w:type="spellStart"/>
            <w:r w:rsidRPr="00B94C49">
              <w:rPr>
                <w:rFonts w:asciiTheme="majorBidi" w:hAnsiTheme="majorBidi" w:cstheme="majorBidi"/>
              </w:rPr>
              <w:t>Ribociclib</w:t>
            </w:r>
            <w:proofErr w:type="spellEnd"/>
            <w:r w:rsidRPr="00B94C49">
              <w:rPr>
                <w:rFonts w:asciiTheme="majorBidi" w:hAnsiTheme="majorBidi" w:cstheme="majorBidi"/>
              </w:rPr>
              <w:t xml:space="preserve"> combination with an aromatase inhibitor</w:t>
            </w:r>
          </w:p>
        </w:tc>
      </w:tr>
      <w:tr w:rsidR="00662475" w14:paraId="60D941AD" w14:textId="77777777" w:rsidTr="00F455BE">
        <w:tc>
          <w:tcPr>
            <w:tcW w:w="792" w:type="dxa"/>
          </w:tcPr>
          <w:p w14:paraId="2C675E5A" w14:textId="1C4157B1"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hint="cs"/>
                <w:rtl/>
              </w:rPr>
              <w:t>32-65</w:t>
            </w:r>
          </w:p>
        </w:tc>
        <w:tc>
          <w:tcPr>
            <w:tcW w:w="1843" w:type="dxa"/>
          </w:tcPr>
          <w:p w14:paraId="149B60F7" w14:textId="7E75B73A" w:rsidR="00E01D6E" w:rsidRPr="00B94C49" w:rsidRDefault="002C78A3" w:rsidP="00E01D6E">
            <w:pPr>
              <w:bidi w:val="0"/>
              <w:jc w:val="center"/>
              <w:rPr>
                <w:rFonts w:asciiTheme="majorBidi" w:hAnsiTheme="majorBidi" w:cstheme="majorBidi"/>
              </w:rPr>
            </w:pPr>
            <w:r w:rsidRPr="00B94C49">
              <w:rPr>
                <w:rFonts w:asciiTheme="majorBidi" w:hAnsiTheme="majorBidi" w:cstheme="majorBidi"/>
              </w:rPr>
              <w:t>of list</w:t>
            </w:r>
          </w:p>
        </w:tc>
        <w:tc>
          <w:tcPr>
            <w:tcW w:w="5661" w:type="dxa"/>
          </w:tcPr>
          <w:p w14:paraId="27E39509" w14:textId="17F32C45" w:rsidR="00E01D6E" w:rsidRPr="00B94C49" w:rsidRDefault="002C78A3" w:rsidP="00E01D6E">
            <w:pPr>
              <w:bidi w:val="0"/>
              <w:jc w:val="center"/>
              <w:rPr>
                <w:rFonts w:asciiTheme="majorBidi" w:hAnsiTheme="majorBidi" w:cstheme="majorBidi"/>
                <w:rtl/>
              </w:rPr>
            </w:pPr>
            <w:r w:rsidRPr="00B94C49">
              <w:rPr>
                <w:rFonts w:asciiTheme="majorBidi" w:hAnsiTheme="majorBidi" w:cstheme="majorBidi"/>
              </w:rPr>
              <w:t xml:space="preserve">The rest </w:t>
            </w:r>
          </w:p>
        </w:tc>
      </w:tr>
      <w:tr w:rsidR="00662475" w14:paraId="2D1A48E1" w14:textId="77777777" w:rsidTr="002E7966">
        <w:tc>
          <w:tcPr>
            <w:tcW w:w="8296" w:type="dxa"/>
            <w:gridSpan w:val="3"/>
          </w:tcPr>
          <w:p w14:paraId="1F16146C" w14:textId="77777777" w:rsidR="00B94C49" w:rsidRPr="00B94C49" w:rsidRDefault="00B94C49" w:rsidP="00B94C49">
            <w:pPr>
              <w:jc w:val="center"/>
              <w:rPr>
                <w:rFonts w:asciiTheme="majorBidi" w:hAnsiTheme="majorBidi" w:cstheme="majorBidi"/>
                <w:rtl/>
              </w:rPr>
            </w:pPr>
          </w:p>
        </w:tc>
      </w:tr>
      <w:tr w:rsidR="00662475" w14:paraId="33F1D662" w14:textId="77777777" w:rsidTr="002E7966">
        <w:tc>
          <w:tcPr>
            <w:tcW w:w="8296" w:type="dxa"/>
            <w:gridSpan w:val="3"/>
          </w:tcPr>
          <w:p w14:paraId="720138ED" w14:textId="0FA5D5E6" w:rsidR="00B94C49" w:rsidRPr="00B94C49" w:rsidRDefault="002C78A3" w:rsidP="00B94C49">
            <w:pPr>
              <w:rPr>
                <w:rFonts w:asciiTheme="majorBidi" w:hAnsiTheme="majorBidi" w:cstheme="majorBidi"/>
                <w:b/>
                <w:bCs/>
                <w:sz w:val="24"/>
                <w:szCs w:val="24"/>
              </w:rPr>
            </w:pPr>
            <w:r w:rsidRPr="00B94C49">
              <w:rPr>
                <w:rFonts w:asciiTheme="majorBidi" w:hAnsiTheme="majorBidi" w:cstheme="majorBidi"/>
                <w:b/>
                <w:bCs/>
                <w:sz w:val="24"/>
                <w:szCs w:val="24"/>
                <w:rtl/>
              </w:rPr>
              <w:lastRenderedPageBreak/>
              <w:t>טכנולוגיות</w:t>
            </w:r>
          </w:p>
        </w:tc>
      </w:tr>
      <w:tr w:rsidR="00662475" w14:paraId="116CA5CD" w14:textId="77777777" w:rsidTr="00F455BE">
        <w:tc>
          <w:tcPr>
            <w:tcW w:w="792" w:type="dxa"/>
          </w:tcPr>
          <w:p w14:paraId="34E9AE69" w14:textId="6713E731" w:rsidR="00E01D6E" w:rsidRPr="00B94C49" w:rsidRDefault="002C78A3" w:rsidP="00E01D6E">
            <w:pPr>
              <w:rPr>
                <w:rFonts w:asciiTheme="majorBidi" w:hAnsiTheme="majorBidi" w:cstheme="majorBidi"/>
                <w:rtl/>
              </w:rPr>
            </w:pPr>
            <w:r w:rsidRPr="00B94C49">
              <w:rPr>
                <w:rFonts w:asciiTheme="majorBidi" w:hAnsiTheme="majorBidi" w:cstheme="majorBidi"/>
                <w:rtl/>
              </w:rPr>
              <w:t>1</w:t>
            </w:r>
          </w:p>
        </w:tc>
        <w:tc>
          <w:tcPr>
            <w:tcW w:w="1843" w:type="dxa"/>
          </w:tcPr>
          <w:p w14:paraId="03D4CEAF" w14:textId="01991ED1" w:rsidR="00E01D6E" w:rsidRPr="00B94C49" w:rsidRDefault="002C78A3" w:rsidP="00E01D6E">
            <w:pPr>
              <w:rPr>
                <w:rFonts w:asciiTheme="majorBidi" w:hAnsiTheme="majorBidi" w:cstheme="majorBidi"/>
              </w:rPr>
            </w:pPr>
            <w:r w:rsidRPr="00B94C49">
              <w:rPr>
                <w:rFonts w:asciiTheme="majorBidi" w:hAnsiTheme="majorBidi" w:cstheme="majorBidi"/>
              </w:rPr>
              <w:t>NGS</w:t>
            </w:r>
            <w:r w:rsidRPr="00B94C49">
              <w:rPr>
                <w:rFonts w:asciiTheme="majorBidi" w:hAnsiTheme="majorBidi" w:cstheme="majorBidi"/>
                <w:rtl/>
              </w:rPr>
              <w:t xml:space="preserve"> בדיקת פרופיל מולקולרי של גידולים סולידיים</w:t>
            </w:r>
          </w:p>
        </w:tc>
        <w:tc>
          <w:tcPr>
            <w:tcW w:w="5661" w:type="dxa"/>
          </w:tcPr>
          <w:p w14:paraId="1609CF91" w14:textId="6A3FED7F" w:rsidR="00E01D6E" w:rsidRPr="00B94C49" w:rsidRDefault="002C78A3" w:rsidP="00E01D6E">
            <w:pPr>
              <w:rPr>
                <w:rFonts w:asciiTheme="majorBidi" w:hAnsiTheme="majorBidi" w:cstheme="majorBidi"/>
              </w:rPr>
            </w:pPr>
            <w:r w:rsidRPr="00B94C49">
              <w:rPr>
                <w:rFonts w:asciiTheme="majorBidi" w:hAnsiTheme="majorBidi" w:cstheme="majorBidi"/>
                <w:rtl/>
              </w:rPr>
              <w:t xml:space="preserve">להרחיב את אוכלוסיית חולי הסרטן הזכאים לאפיון </w:t>
            </w:r>
            <w:proofErr w:type="spellStart"/>
            <w:r w:rsidRPr="00B94C49">
              <w:rPr>
                <w:rFonts w:asciiTheme="majorBidi" w:hAnsiTheme="majorBidi" w:cstheme="majorBidi"/>
                <w:rtl/>
              </w:rPr>
              <w:t>גנומי</w:t>
            </w:r>
            <w:proofErr w:type="spellEnd"/>
            <w:r w:rsidRPr="00B94C49">
              <w:rPr>
                <w:rFonts w:asciiTheme="majorBidi" w:hAnsiTheme="majorBidi" w:cstheme="majorBidi"/>
                <w:rtl/>
              </w:rPr>
              <w:t xml:space="preserve"> מקיף של הגידול הסרטני ולהתאמת טיפול תרופתי על בסיסו - לכל חולי הסרטן המאובחנים בשלב המתקדם/גרורתי של מחלתם.  </w:t>
            </w:r>
          </w:p>
        </w:tc>
      </w:tr>
      <w:tr w:rsidR="00662475" w14:paraId="42BF5A22" w14:textId="77777777" w:rsidTr="00F455BE">
        <w:tc>
          <w:tcPr>
            <w:tcW w:w="792" w:type="dxa"/>
          </w:tcPr>
          <w:p w14:paraId="0A2EB992" w14:textId="6152AEB4" w:rsidR="00E01D6E" w:rsidRPr="00B94C49" w:rsidRDefault="002C78A3" w:rsidP="00E01D6E">
            <w:pPr>
              <w:rPr>
                <w:rFonts w:asciiTheme="majorBidi" w:hAnsiTheme="majorBidi" w:cstheme="majorBidi"/>
                <w:rtl/>
              </w:rPr>
            </w:pPr>
            <w:r w:rsidRPr="00B94C49">
              <w:rPr>
                <w:rFonts w:asciiTheme="majorBidi" w:hAnsiTheme="majorBidi" w:cstheme="majorBidi"/>
                <w:rtl/>
              </w:rPr>
              <w:t>2</w:t>
            </w:r>
          </w:p>
        </w:tc>
        <w:tc>
          <w:tcPr>
            <w:tcW w:w="1843" w:type="dxa"/>
          </w:tcPr>
          <w:p w14:paraId="3D91BE20" w14:textId="3C052448" w:rsidR="00E01D6E" w:rsidRPr="00B94C49" w:rsidRDefault="002C78A3" w:rsidP="00E01D6E">
            <w:pPr>
              <w:rPr>
                <w:rFonts w:asciiTheme="majorBidi" w:hAnsiTheme="majorBidi" w:cstheme="majorBidi"/>
              </w:rPr>
            </w:pPr>
            <w:r w:rsidRPr="00B94C49">
              <w:rPr>
                <w:rFonts w:asciiTheme="majorBidi" w:hAnsiTheme="majorBidi" w:cstheme="majorBidi"/>
              </w:rPr>
              <w:t>LITT (Laser Interstitial Thermal Therapy)</w:t>
            </w:r>
          </w:p>
        </w:tc>
        <w:tc>
          <w:tcPr>
            <w:tcW w:w="5661" w:type="dxa"/>
          </w:tcPr>
          <w:p w14:paraId="1B37B249" w14:textId="2C4D9F6C" w:rsidR="00E01D6E" w:rsidRPr="00B94C49" w:rsidRDefault="002C78A3" w:rsidP="00E01D6E">
            <w:pPr>
              <w:rPr>
                <w:rFonts w:asciiTheme="majorBidi" w:hAnsiTheme="majorBidi" w:cstheme="majorBidi"/>
              </w:rPr>
            </w:pPr>
            <w:r w:rsidRPr="00B94C49">
              <w:rPr>
                <w:rFonts w:asciiTheme="majorBidi" w:hAnsiTheme="majorBidi" w:cstheme="majorBidi"/>
                <w:rtl/>
              </w:rPr>
              <w:t>טיפול בגרורות מוחיות  עמוקות, הגדלות לאחר טיפול קרינתי ממוקד (כישלון של טיפול רדיו-כירורגי)</w:t>
            </w:r>
          </w:p>
        </w:tc>
      </w:tr>
      <w:tr w:rsidR="00662475" w14:paraId="2288275D" w14:textId="77777777" w:rsidTr="00F455BE">
        <w:tc>
          <w:tcPr>
            <w:tcW w:w="792" w:type="dxa"/>
          </w:tcPr>
          <w:p w14:paraId="7A1B2DD9" w14:textId="514D5F40" w:rsidR="00E01D6E" w:rsidRPr="00B94C49" w:rsidRDefault="002C78A3" w:rsidP="00E01D6E">
            <w:pPr>
              <w:rPr>
                <w:rFonts w:asciiTheme="majorBidi" w:hAnsiTheme="majorBidi" w:cstheme="majorBidi"/>
                <w:rtl/>
              </w:rPr>
            </w:pPr>
            <w:r w:rsidRPr="00B94C49">
              <w:rPr>
                <w:rFonts w:asciiTheme="majorBidi" w:hAnsiTheme="majorBidi" w:cstheme="majorBidi"/>
                <w:rtl/>
              </w:rPr>
              <w:t>3</w:t>
            </w:r>
          </w:p>
        </w:tc>
        <w:tc>
          <w:tcPr>
            <w:tcW w:w="1843" w:type="dxa"/>
          </w:tcPr>
          <w:p w14:paraId="7FBAD6C3" w14:textId="204BEDA6" w:rsidR="00E01D6E" w:rsidRPr="00B94C49" w:rsidRDefault="002C78A3" w:rsidP="00E01D6E">
            <w:pPr>
              <w:rPr>
                <w:rFonts w:asciiTheme="majorBidi" w:hAnsiTheme="majorBidi" w:cstheme="majorBidi"/>
              </w:rPr>
            </w:pPr>
            <w:r w:rsidRPr="00B94C49">
              <w:rPr>
                <w:rFonts w:asciiTheme="majorBidi" w:hAnsiTheme="majorBidi" w:cstheme="majorBidi"/>
                <w:rtl/>
              </w:rPr>
              <w:t>טיפול בדיקור</w:t>
            </w:r>
          </w:p>
        </w:tc>
        <w:tc>
          <w:tcPr>
            <w:tcW w:w="5661" w:type="dxa"/>
          </w:tcPr>
          <w:p w14:paraId="1BE8B327" w14:textId="77777777" w:rsidR="00E01D6E" w:rsidRPr="00B94C49" w:rsidRDefault="002C78A3" w:rsidP="00E01D6E">
            <w:pPr>
              <w:rPr>
                <w:rFonts w:asciiTheme="majorBidi" w:hAnsiTheme="majorBidi" w:cstheme="majorBidi"/>
              </w:rPr>
            </w:pPr>
            <w:r w:rsidRPr="00B94C49">
              <w:rPr>
                <w:rFonts w:asciiTheme="majorBidi" w:hAnsiTheme="majorBidi" w:cstheme="majorBidi"/>
                <w:rtl/>
              </w:rPr>
              <w:t xml:space="preserve">חולים בסרטן המקבלים טיפול כימותרפי, ביולוגי/אימונולוגי, ניתוחי ו/או </w:t>
            </w:r>
            <w:proofErr w:type="spellStart"/>
            <w:r w:rsidRPr="00B94C49">
              <w:rPr>
                <w:rFonts w:asciiTheme="majorBidi" w:hAnsiTheme="majorBidi" w:cstheme="majorBidi"/>
                <w:rtl/>
              </w:rPr>
              <w:t>פליאטיבי</w:t>
            </w:r>
            <w:proofErr w:type="spellEnd"/>
            <w:r w:rsidRPr="00B94C49">
              <w:rPr>
                <w:rFonts w:asciiTheme="majorBidi" w:hAnsiTheme="majorBidi" w:cstheme="majorBidi"/>
                <w:rtl/>
              </w:rPr>
              <w:t xml:space="preserve"> הסובלים מכאב- ביטול המגבלה לשימוש במסגרת מרפאת כאב</w:t>
            </w:r>
          </w:p>
          <w:p w14:paraId="3DCDFDA3" w14:textId="77777777" w:rsidR="00E01D6E" w:rsidRPr="00B94C49" w:rsidRDefault="00E01D6E" w:rsidP="00E01D6E">
            <w:pPr>
              <w:rPr>
                <w:rFonts w:asciiTheme="majorBidi" w:hAnsiTheme="majorBidi" w:cstheme="majorBidi"/>
                <w:rtl/>
              </w:rPr>
            </w:pPr>
          </w:p>
        </w:tc>
      </w:tr>
      <w:tr w:rsidR="00662475" w14:paraId="77DBD536" w14:textId="77777777" w:rsidTr="00F455BE">
        <w:tc>
          <w:tcPr>
            <w:tcW w:w="792" w:type="dxa"/>
          </w:tcPr>
          <w:p w14:paraId="74B79552" w14:textId="35D31126" w:rsidR="00E01D6E" w:rsidRPr="00B94C49" w:rsidRDefault="002C78A3" w:rsidP="00E01D6E">
            <w:pPr>
              <w:rPr>
                <w:rFonts w:asciiTheme="majorBidi" w:hAnsiTheme="majorBidi" w:cstheme="majorBidi"/>
                <w:rtl/>
              </w:rPr>
            </w:pPr>
            <w:r w:rsidRPr="00B94C49">
              <w:rPr>
                <w:rFonts w:asciiTheme="majorBidi" w:hAnsiTheme="majorBidi" w:cstheme="majorBidi"/>
                <w:rtl/>
              </w:rPr>
              <w:t>4</w:t>
            </w:r>
          </w:p>
        </w:tc>
        <w:tc>
          <w:tcPr>
            <w:tcW w:w="1843" w:type="dxa"/>
          </w:tcPr>
          <w:p w14:paraId="41E868D2" w14:textId="7D45B2CC" w:rsidR="00E01D6E" w:rsidRPr="00B94C49" w:rsidRDefault="002C78A3" w:rsidP="00E01D6E">
            <w:pPr>
              <w:rPr>
                <w:rFonts w:asciiTheme="majorBidi" w:hAnsiTheme="majorBidi" w:cstheme="majorBidi"/>
              </w:rPr>
            </w:pPr>
            <w:r w:rsidRPr="00B94C49">
              <w:rPr>
                <w:rFonts w:asciiTheme="majorBidi" w:hAnsiTheme="majorBidi" w:cstheme="majorBidi"/>
              </w:rPr>
              <w:t>PET FDG</w:t>
            </w:r>
          </w:p>
        </w:tc>
        <w:tc>
          <w:tcPr>
            <w:tcW w:w="5661" w:type="dxa"/>
          </w:tcPr>
          <w:p w14:paraId="0C0A07D9" w14:textId="75E92DB3" w:rsidR="00E01D6E" w:rsidRPr="00B94C49" w:rsidRDefault="002C78A3" w:rsidP="00E01D6E">
            <w:pPr>
              <w:rPr>
                <w:rFonts w:asciiTheme="majorBidi" w:hAnsiTheme="majorBidi" w:cstheme="majorBidi"/>
                <w:rtl/>
              </w:rPr>
            </w:pPr>
            <w:r w:rsidRPr="00B94C49">
              <w:rPr>
                <w:rFonts w:asciiTheme="majorBidi" w:hAnsiTheme="majorBidi" w:cstheme="majorBidi"/>
                <w:rtl/>
              </w:rPr>
              <w:t xml:space="preserve">מעקב אחר מטופלים שאובחנו עם </w:t>
            </w:r>
            <w:proofErr w:type="spellStart"/>
            <w:r w:rsidRPr="00B94C49">
              <w:rPr>
                <w:rFonts w:asciiTheme="majorBidi" w:hAnsiTheme="majorBidi" w:cstheme="majorBidi"/>
                <w:rtl/>
              </w:rPr>
              <w:t>קרצינומה</w:t>
            </w:r>
            <w:proofErr w:type="spellEnd"/>
            <w:r w:rsidRPr="00B94C49">
              <w:rPr>
                <w:rFonts w:asciiTheme="majorBidi" w:hAnsiTheme="majorBidi" w:cstheme="majorBidi"/>
                <w:rtl/>
              </w:rPr>
              <w:t xml:space="preserve"> של קורטקס אדרנל:</w:t>
            </w:r>
            <w:r w:rsidRPr="00B94C49">
              <w:rPr>
                <w:rFonts w:asciiTheme="majorBidi" w:hAnsiTheme="majorBidi" w:cstheme="majorBidi"/>
                <w:rtl/>
              </w:rPr>
              <w:br/>
              <w:t>לאחר טיפול ניתוחי- להערכה של הישנות הגידול</w:t>
            </w:r>
            <w:r w:rsidRPr="00B94C49">
              <w:rPr>
                <w:rFonts w:asciiTheme="majorBidi" w:hAnsiTheme="majorBidi" w:cstheme="majorBidi"/>
                <w:rtl/>
              </w:rPr>
              <w:br/>
              <w:t>במהלך טיפול כימותרפיה- להערכת תגובה</w:t>
            </w:r>
          </w:p>
        </w:tc>
      </w:tr>
    </w:tbl>
    <w:p w14:paraId="01524DF1" w14:textId="77777777" w:rsidR="00E82710" w:rsidRPr="00B94C49" w:rsidRDefault="00E82710" w:rsidP="00E82710">
      <w:pPr>
        <w:spacing w:after="0" w:line="276" w:lineRule="auto"/>
        <w:contextualSpacing/>
        <w:rPr>
          <w:rFonts w:asciiTheme="majorBidi" w:eastAsia="Calibri" w:hAnsiTheme="majorBidi" w:cstheme="majorBidi"/>
          <w:kern w:val="0"/>
          <w:rtl/>
          <w14:ligatures w14:val="none"/>
        </w:rPr>
      </w:pPr>
    </w:p>
    <w:p w14:paraId="73E25CDB" w14:textId="24B2FAF5" w:rsidR="00E82710" w:rsidRPr="00E82710" w:rsidRDefault="002C78A3" w:rsidP="00E82710">
      <w:pPr>
        <w:spacing w:after="0" w:line="276" w:lineRule="auto"/>
        <w:contextualSpacing/>
        <w:rPr>
          <w:rFonts w:asciiTheme="majorBidi" w:eastAsia="Calibri" w:hAnsiTheme="majorBidi" w:cstheme="majorBidi"/>
          <w:kern w:val="0"/>
          <w:rtl/>
          <w14:ligatures w14:val="none"/>
        </w:rPr>
      </w:pPr>
      <w:r w:rsidRPr="00E82710">
        <w:rPr>
          <w:rFonts w:asciiTheme="majorBidi" w:eastAsia="Calibri" w:hAnsiTheme="majorBidi" w:cstheme="majorBidi"/>
          <w:kern w:val="0"/>
          <w:rtl/>
          <w14:ligatures w14:val="none"/>
        </w:rPr>
        <w:t xml:space="preserve">בכבוד רב, </w:t>
      </w:r>
    </w:p>
    <w:p w14:paraId="4E113764" w14:textId="77777777" w:rsidR="00E82710" w:rsidRPr="00E82710" w:rsidRDefault="00E82710" w:rsidP="00E82710">
      <w:pPr>
        <w:spacing w:after="0" w:line="276" w:lineRule="auto"/>
        <w:contextualSpacing/>
        <w:rPr>
          <w:rFonts w:asciiTheme="majorBidi" w:eastAsia="Calibri" w:hAnsiTheme="majorBidi" w:cstheme="majorBidi"/>
          <w:kern w:val="0"/>
          <w:rtl/>
          <w14:ligatures w14:val="none"/>
        </w:rPr>
      </w:pPr>
    </w:p>
    <w:p w14:paraId="0586DEA8" w14:textId="77777777" w:rsidR="00E82710" w:rsidRPr="00E82710" w:rsidRDefault="002C78A3" w:rsidP="00E82710">
      <w:pPr>
        <w:spacing w:after="200" w:line="276" w:lineRule="auto"/>
        <w:rPr>
          <w:rFonts w:asciiTheme="majorBidi" w:eastAsia="Calibri" w:hAnsiTheme="majorBidi" w:cstheme="majorBidi"/>
          <w:kern w:val="0"/>
          <w:rtl/>
          <w14:ligatures w14:val="none"/>
        </w:rPr>
      </w:pPr>
      <w:r w:rsidRPr="00E82710">
        <w:rPr>
          <w:rFonts w:asciiTheme="majorBidi" w:eastAsia="Calibri" w:hAnsiTheme="majorBidi" w:cstheme="majorBidi"/>
          <w:kern w:val="0"/>
          <w:rtl/>
          <w14:ligatures w14:val="none"/>
        </w:rPr>
        <w:t xml:space="preserve">חברי ועדת האיגוד לתיעדוף התרופות –ד"ר </w:t>
      </w:r>
      <w:proofErr w:type="spellStart"/>
      <w:r w:rsidRPr="00E82710">
        <w:rPr>
          <w:rFonts w:asciiTheme="majorBidi" w:eastAsia="Calibri" w:hAnsiTheme="majorBidi" w:cstheme="majorBidi"/>
          <w:kern w:val="0"/>
          <w:rtl/>
          <w14:ligatures w14:val="none"/>
        </w:rPr>
        <w:t>יקטרינה</w:t>
      </w:r>
      <w:proofErr w:type="spellEnd"/>
      <w:r w:rsidRPr="00E82710">
        <w:rPr>
          <w:rFonts w:asciiTheme="majorBidi" w:eastAsia="Calibri" w:hAnsiTheme="majorBidi" w:cstheme="majorBidi"/>
          <w:kern w:val="0"/>
          <w:rtl/>
          <w14:ligatures w14:val="none"/>
        </w:rPr>
        <w:t xml:space="preserve"> </w:t>
      </w:r>
      <w:proofErr w:type="spellStart"/>
      <w:r w:rsidRPr="00E82710">
        <w:rPr>
          <w:rFonts w:asciiTheme="majorBidi" w:eastAsia="Calibri" w:hAnsiTheme="majorBidi" w:cstheme="majorBidi"/>
          <w:kern w:val="0"/>
          <w:rtl/>
          <w14:ligatures w14:val="none"/>
        </w:rPr>
        <w:t>שולמן</w:t>
      </w:r>
      <w:proofErr w:type="spellEnd"/>
      <w:r w:rsidRPr="00E82710">
        <w:rPr>
          <w:rFonts w:asciiTheme="majorBidi" w:eastAsia="Calibri" w:hAnsiTheme="majorBidi" w:cstheme="majorBidi"/>
          <w:kern w:val="0"/>
          <w:rtl/>
          <w14:ligatures w14:val="none"/>
        </w:rPr>
        <w:t xml:space="preserve"> (יו"ר),  ד"ר עפר רותם, ד"ר שלומית </w:t>
      </w:r>
      <w:proofErr w:type="spellStart"/>
      <w:r w:rsidRPr="00E82710">
        <w:rPr>
          <w:rFonts w:asciiTheme="majorBidi" w:eastAsia="Calibri" w:hAnsiTheme="majorBidi" w:cstheme="majorBidi"/>
          <w:kern w:val="0"/>
          <w:rtl/>
          <w14:ligatures w14:val="none"/>
        </w:rPr>
        <w:t>סטרולוב</w:t>
      </w:r>
      <w:proofErr w:type="spellEnd"/>
      <w:r w:rsidRPr="00E82710">
        <w:rPr>
          <w:rFonts w:asciiTheme="majorBidi" w:eastAsia="Calibri" w:hAnsiTheme="majorBidi" w:cstheme="majorBidi"/>
          <w:kern w:val="0"/>
          <w:rtl/>
          <w14:ligatures w14:val="none"/>
        </w:rPr>
        <w:t xml:space="preserve">-שחר, ד"' יגאל קושניר וד"ר מור </w:t>
      </w:r>
      <w:proofErr w:type="spellStart"/>
      <w:r w:rsidRPr="00E82710">
        <w:rPr>
          <w:rFonts w:asciiTheme="majorBidi" w:eastAsia="Calibri" w:hAnsiTheme="majorBidi" w:cstheme="majorBidi"/>
          <w:kern w:val="0"/>
          <w:rtl/>
          <w14:ligatures w14:val="none"/>
        </w:rPr>
        <w:t>מיודובניק</w:t>
      </w:r>
      <w:proofErr w:type="spellEnd"/>
    </w:p>
    <w:p w14:paraId="5F95F0AB" w14:textId="38BFC586" w:rsidR="00F455BE" w:rsidRPr="00B31AC2" w:rsidRDefault="002C78A3" w:rsidP="00B31AC2">
      <w:pPr>
        <w:spacing w:after="0" w:line="276" w:lineRule="auto"/>
        <w:contextualSpacing/>
        <w:rPr>
          <w:rFonts w:asciiTheme="majorBidi" w:eastAsia="Calibri" w:hAnsiTheme="majorBidi" w:cstheme="majorBidi"/>
          <w:kern w:val="0"/>
          <w:rtl/>
          <w14:ligatures w14:val="none"/>
        </w:rPr>
      </w:pPr>
      <w:r w:rsidRPr="00E82710">
        <w:rPr>
          <w:rFonts w:asciiTheme="majorBidi" w:eastAsia="Calibri" w:hAnsiTheme="majorBidi" w:cstheme="majorBidi"/>
          <w:kern w:val="0"/>
          <w:rtl/>
          <w14:ligatures w14:val="none"/>
        </w:rPr>
        <w:t>פרופ' גיל בר סלע, יו"ר האיגוד הישראלי לאונקולוגיה קלינית ורדיותרפיה</w:t>
      </w:r>
      <w:r w:rsidRPr="00E82710">
        <w:rPr>
          <w:rFonts w:asciiTheme="majorBidi" w:eastAsia="Calibri" w:hAnsiTheme="majorBidi" w:cstheme="majorBidi"/>
          <w:kern w:val="0"/>
          <w:rtl/>
          <w14:ligatures w14:val="none"/>
        </w:rPr>
        <w:br/>
        <w:t>פרופ' עידו וולף, יו"ר המועצה הלאומית למניעה, אבחון וטיפול במחלות ממאירות</w:t>
      </w:r>
    </w:p>
    <w:sectPr w:rsidR="00F455BE" w:rsidRPr="00B31AC2" w:rsidSect="001D58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BE"/>
    <w:rsid w:val="000B4A55"/>
    <w:rsid w:val="00116EC7"/>
    <w:rsid w:val="001D583B"/>
    <w:rsid w:val="0024563A"/>
    <w:rsid w:val="002C78A3"/>
    <w:rsid w:val="00352C42"/>
    <w:rsid w:val="00366B61"/>
    <w:rsid w:val="004F71A1"/>
    <w:rsid w:val="005E1730"/>
    <w:rsid w:val="006371BD"/>
    <w:rsid w:val="00662475"/>
    <w:rsid w:val="006A6D08"/>
    <w:rsid w:val="006D34BE"/>
    <w:rsid w:val="009C5CF9"/>
    <w:rsid w:val="00AD38A9"/>
    <w:rsid w:val="00B31AC2"/>
    <w:rsid w:val="00B94C49"/>
    <w:rsid w:val="00C5091B"/>
    <w:rsid w:val="00C85ACD"/>
    <w:rsid w:val="00D677DF"/>
    <w:rsid w:val="00DB0887"/>
    <w:rsid w:val="00E01D6E"/>
    <w:rsid w:val="00E82710"/>
    <w:rsid w:val="00F455BE"/>
    <w:rsid w:val="00FC67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C363"/>
  <w15:chartTrackingRefBased/>
  <w15:docId w15:val="{002252AE-8632-4151-BEFE-E1916AB9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5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283892E99C3459392EAD584851501" ma:contentTypeVersion="4" ma:contentTypeDescription="Create a new document." ma:contentTypeScope="" ma:versionID="d30af1ad82ab324dd2651db7feac251e">
  <xsd:schema xmlns:xsd="http://www.w3.org/2001/XMLSchema" xmlns:xs="http://www.w3.org/2001/XMLSchema" xmlns:p="http://schemas.microsoft.com/office/2006/metadata/properties" xmlns:ns3="6464f993-7008-4078-9f03-c3ab1d2304f0" targetNamespace="http://schemas.microsoft.com/office/2006/metadata/properties" ma:root="true" ma:fieldsID="a3b78ecc7ac24287806f16912a41420b" ns3:_="">
    <xsd:import namespace="6464f993-7008-4078-9f03-c3ab1d2304f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4f993-7008-4078-9f03-c3ab1d230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2CD47-58EF-42A8-A53F-CD6F113D2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4f993-7008-4078-9f03-c3ab1d230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C2032-099B-43A3-AD66-7CC909823BA7}">
  <ds:schemaRefs>
    <ds:schemaRef ds:uri="http://schemas.microsoft.com/sharepoint/v3/contenttype/forms"/>
  </ds:schemaRefs>
</ds:datastoreItem>
</file>

<file path=customXml/itemProps3.xml><?xml version="1.0" encoding="utf-8"?>
<ds:datastoreItem xmlns:ds="http://schemas.openxmlformats.org/officeDocument/2006/customXml" ds:itemID="{7ED785D6-1220-401B-8026-B273AE442AD3}">
  <ds:schemaRefs>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6464f993-7008-4078-9f03-c3ab1d2304f0"/>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10690</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קטרינה שולמן ד''ר</dc:creator>
  <cp:lastModifiedBy>אורן רייס</cp:lastModifiedBy>
  <cp:revision>2</cp:revision>
  <dcterms:created xsi:type="dcterms:W3CDTF">2024-09-19T06:32:00Z</dcterms:created>
  <dcterms:modified xsi:type="dcterms:W3CDTF">2024-09-19T06:32:00Z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0x0101000FC283892E99C3459392EAD584851501</vt:lpwstr>
  </property>
</Properties>
</file>