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rFonts w:ascii="FrankRuehl" w:cs="FrankRuehl" w:eastAsia="FrankRuehl" w:hAnsi="FrankRuehl"/>
          <w:b w:val="1"/>
          <w:sz w:val="16"/>
          <w:szCs w:val="1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4"/>
          <w:szCs w:val="24"/>
          <w:rtl w:val="0"/>
        </w:rPr>
        <w:t xml:space="preserve">                                                            </w:t>
      </w:r>
      <w:r w:rsidDel="00000000" w:rsidR="00000000" w:rsidRPr="00000000">
        <w:rPr>
          <w:rFonts w:ascii="FrankRuehl" w:cs="FrankRuehl" w:eastAsia="FrankRuehl" w:hAnsi="FrankRuehl"/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right"/>
        <w:rPr>
          <w:rFonts w:ascii="FrankRuehl" w:cs="FrankRuehl" w:eastAsia="FrankRuehl" w:hAnsi="FrankRuehl"/>
          <w:sz w:val="16"/>
          <w:szCs w:val="16"/>
        </w:rPr>
      </w:pPr>
      <w:r w:rsidDel="00000000" w:rsidR="00000000" w:rsidRPr="00000000">
        <w:fldChar w:fldCharType="begin"/>
        <w:instrText xml:space="preserve"> DOCPROPERTY "DocDateEng"</w:instrText>
        <w:fldChar w:fldCharType="separate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16"/>
          <w:szCs w:val="16"/>
          <w:rtl w:val="1"/>
        </w:rPr>
        <w:t xml:space="preserve">17 </w:t>
      </w:r>
      <w:r w:rsidDel="00000000" w:rsidR="00000000" w:rsidRPr="00000000">
        <w:rPr>
          <w:rFonts w:ascii="FrankRuehl" w:cs="FrankRuehl" w:eastAsia="FrankRuehl" w:hAnsi="FrankRuehl"/>
          <w:sz w:val="16"/>
          <w:szCs w:val="16"/>
          <w:rtl w:val="1"/>
        </w:rPr>
        <w:t xml:space="preserve">בנובמבר</w:t>
      </w:r>
      <w:r w:rsidDel="00000000" w:rsidR="00000000" w:rsidRPr="00000000">
        <w:rPr>
          <w:rFonts w:ascii="FrankRuehl" w:cs="FrankRuehl" w:eastAsia="FrankRuehl" w:hAnsi="FrankRuehl"/>
          <w:sz w:val="16"/>
          <w:szCs w:val="16"/>
          <w:rtl w:val="1"/>
        </w:rPr>
        <w:t xml:space="preserve"> 2024</w:t>
      </w: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right"/>
        <w:rPr>
          <w:rFonts w:ascii="FrankRuehl" w:cs="FrankRuehl" w:eastAsia="FrankRuehl" w:hAnsi="FrankRuehl"/>
          <w:sz w:val="16"/>
          <w:szCs w:val="16"/>
        </w:rPr>
      </w:pPr>
      <w:r w:rsidDel="00000000" w:rsidR="00000000" w:rsidRPr="00000000">
        <w:rPr>
          <w:rFonts w:ascii="FrankRuehl" w:cs="FrankRuehl" w:eastAsia="FrankRuehl" w:hAnsi="FrankRuehl"/>
          <w:sz w:val="16"/>
          <w:szCs w:val="16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fldChar w:fldCharType="begin"/>
        <w:instrText xml:space="preserve"> DOCPROPERTY "DocDateHeb"</w:instrText>
        <w:fldChar w:fldCharType="separate"/>
      </w:r>
      <w:r w:rsidDel="00000000" w:rsidR="00000000" w:rsidRPr="00000000">
        <w:rPr>
          <w:rFonts w:ascii="FrankRuehl" w:cs="FrankRuehl" w:eastAsia="FrankRuehl" w:hAnsi="FrankRuehl"/>
          <w:sz w:val="16"/>
          <w:szCs w:val="16"/>
          <w:rtl w:val="1"/>
        </w:rPr>
        <w:t xml:space="preserve">ט</w:t>
      </w:r>
      <w:r w:rsidDel="00000000" w:rsidR="00000000" w:rsidRPr="00000000">
        <w:rPr>
          <w:rFonts w:ascii="FrankRuehl" w:cs="FrankRuehl" w:eastAsia="FrankRuehl" w:hAnsi="FrankRuehl"/>
          <w:sz w:val="16"/>
          <w:szCs w:val="1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16"/>
          <w:szCs w:val="16"/>
          <w:rtl w:val="1"/>
        </w:rPr>
        <w:t xml:space="preserve">ז</w:t>
      </w:r>
      <w:r w:rsidDel="00000000" w:rsidR="00000000" w:rsidRPr="00000000">
        <w:rPr>
          <w:rFonts w:ascii="FrankRuehl" w:cs="FrankRuehl" w:eastAsia="FrankRuehl" w:hAnsi="FrankRuehl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16"/>
          <w:szCs w:val="16"/>
          <w:rtl w:val="1"/>
        </w:rPr>
        <w:t xml:space="preserve">בחשוון</w:t>
      </w:r>
      <w:r w:rsidDel="00000000" w:rsidR="00000000" w:rsidRPr="00000000">
        <w:rPr>
          <w:rFonts w:ascii="FrankRuehl" w:cs="FrankRuehl" w:eastAsia="FrankRuehl" w:hAnsi="FrankRuehl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16"/>
          <w:szCs w:val="16"/>
          <w:rtl w:val="1"/>
        </w:rPr>
        <w:t xml:space="preserve">תשפ</w:t>
      </w:r>
      <w:r w:rsidDel="00000000" w:rsidR="00000000" w:rsidRPr="00000000">
        <w:rPr>
          <w:rFonts w:ascii="FrankRuehl" w:cs="FrankRuehl" w:eastAsia="FrankRuehl" w:hAnsi="FrankRuehl"/>
          <w:sz w:val="16"/>
          <w:szCs w:val="1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16"/>
          <w:szCs w:val="16"/>
          <w:rtl w:val="1"/>
        </w:rPr>
        <w:t xml:space="preserve">ה</w:t>
      </w: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right"/>
        <w:rPr>
          <w:rFonts w:ascii="FrankRuehl" w:cs="FrankRuehl" w:eastAsia="FrankRuehl" w:hAnsi="FrankRuehl"/>
          <w:sz w:val="24"/>
          <w:szCs w:val="24"/>
        </w:rPr>
      </w:pPr>
      <w:r w:rsidDel="00000000" w:rsidR="00000000" w:rsidRPr="00000000">
        <w:fldChar w:fldCharType="begin"/>
        <w:instrText xml:space="preserve"> DOCPROPERTY "DocNumber"</w:instrText>
        <w:fldChar w:fldCharType="separate"/>
      </w:r>
      <w:r w:rsidDel="00000000" w:rsidR="00000000" w:rsidRPr="00000000">
        <w:rPr>
          <w:rFonts w:ascii="FrankRuehl" w:cs="FrankRuehl" w:eastAsia="FrankRuehl" w:hAnsi="FrankRuehl"/>
          <w:sz w:val="16"/>
          <w:szCs w:val="16"/>
          <w:rtl w:val="0"/>
        </w:rPr>
        <w:t xml:space="preserve">4700-1039-2024-008670</w:t>
      </w: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120" w:line="360" w:lineRule="auto"/>
        <w:jc w:val="center"/>
        <w:rPr>
          <w:rFonts w:ascii="FrankRuehl" w:cs="FrankRuehl" w:eastAsia="FrankRuehl" w:hAnsi="FrankRuehl"/>
          <w:b w:val="1"/>
          <w:color w:val="323e4f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276" w:lineRule="auto"/>
        <w:jc w:val="both"/>
        <w:rPr>
          <w:rFonts w:ascii="FrankRuehl" w:cs="FrankRuehl" w:eastAsia="FrankRuehl" w:hAnsi="FrankRueh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120" w:line="360" w:lineRule="auto"/>
        <w:jc w:val="center"/>
        <w:rPr>
          <w:rFonts w:ascii="FrankRuehl" w:cs="FrankRuehl" w:eastAsia="FrankRuehl" w:hAnsi="FrankRuehl"/>
          <w:b w:val="1"/>
          <w:color w:val="002060"/>
          <w:sz w:val="32"/>
          <w:szCs w:val="32"/>
          <w:u w:val="single"/>
        </w:rPr>
      </w:pP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32"/>
          <w:szCs w:val="32"/>
          <w:u w:val="single"/>
          <w:rtl w:val="1"/>
        </w:rPr>
        <w:t xml:space="preserve">תקציר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32"/>
          <w:szCs w:val="32"/>
          <w:u w:val="single"/>
          <w:rtl w:val="1"/>
        </w:rPr>
        <w:t xml:space="preserve">הכרעת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32"/>
          <w:szCs w:val="32"/>
          <w:u w:val="single"/>
          <w:rtl w:val="1"/>
        </w:rPr>
        <w:t xml:space="preserve">דין</w:t>
      </w:r>
    </w:p>
    <w:p w:rsidR="00000000" w:rsidDel="00000000" w:rsidP="00000000" w:rsidRDefault="00000000" w:rsidRPr="00000000" w14:paraId="00000008">
      <w:pPr>
        <w:bidi w:val="1"/>
        <w:spacing w:after="120" w:lineRule="auto"/>
        <w:jc w:val="center"/>
        <w:rPr>
          <w:rFonts w:ascii="FrankRuehl" w:cs="FrankRuehl" w:eastAsia="FrankRuehl" w:hAnsi="FrankRuehl"/>
          <w:b w:val="1"/>
          <w:color w:val="002060"/>
          <w:sz w:val="32"/>
          <w:szCs w:val="32"/>
        </w:rPr>
      </w:pP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32"/>
          <w:szCs w:val="32"/>
          <w:rtl w:val="1"/>
        </w:rPr>
        <w:t xml:space="preserve">פ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32"/>
          <w:szCs w:val="32"/>
          <w:rtl w:val="1"/>
        </w:rPr>
        <w:t xml:space="preserve"> 48149-10-19 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32"/>
          <w:szCs w:val="32"/>
          <w:rtl w:val="1"/>
        </w:rPr>
        <w:t xml:space="preserve">מדינת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32"/>
          <w:szCs w:val="32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32"/>
          <w:szCs w:val="32"/>
          <w:rtl w:val="1"/>
        </w:rPr>
        <w:t xml:space="preserve">נ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32"/>
          <w:szCs w:val="32"/>
          <w:rtl w:val="1"/>
        </w:rPr>
        <w:t xml:space="preserve">כהאן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32"/>
          <w:szCs w:val="32"/>
          <w:rtl w:val="1"/>
        </w:rPr>
        <w:t xml:space="preserve">ואח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32"/>
          <w:szCs w:val="32"/>
          <w:rtl w:val="1"/>
        </w:rPr>
        <w:t xml:space="preserve">'</w:t>
      </w:r>
    </w:p>
    <w:p w:rsidR="00000000" w:rsidDel="00000000" w:rsidP="00000000" w:rsidRDefault="00000000" w:rsidRPr="00000000" w14:paraId="00000009">
      <w:pPr>
        <w:bidi w:val="1"/>
        <w:spacing w:after="120" w:lineRule="auto"/>
        <w:jc w:val="center"/>
        <w:rPr>
          <w:rFonts w:ascii="FrankRuehl" w:cs="FrankRuehl" w:eastAsia="FrankRuehl" w:hAnsi="FrankRuehl"/>
          <w:b w:val="1"/>
          <w:color w:val="002060"/>
          <w:sz w:val="32"/>
          <w:szCs w:val="32"/>
        </w:rPr>
      </w:pP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32"/>
          <w:szCs w:val="32"/>
          <w:rtl w:val="1"/>
        </w:rPr>
        <w:t xml:space="preserve">כבוד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32"/>
          <w:szCs w:val="32"/>
          <w:rtl w:val="1"/>
        </w:rPr>
        <w:t xml:space="preserve">השופט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32"/>
          <w:szCs w:val="32"/>
          <w:rtl w:val="1"/>
        </w:rPr>
        <w:t xml:space="preserve">יובל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32"/>
          <w:szCs w:val="32"/>
          <w:rtl w:val="1"/>
        </w:rPr>
        <w:t xml:space="preserve">ליבדרו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A">
      <w:pPr>
        <w:bidi w:val="1"/>
        <w:spacing w:line="360" w:lineRule="auto"/>
        <w:jc w:val="both"/>
        <w:rPr>
          <w:rFonts w:ascii="FrankRuehl" w:cs="FrankRuehl" w:eastAsia="FrankRuehl" w:hAnsi="FrankRueh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360" w:lineRule="auto"/>
        <w:jc w:val="both"/>
        <w:rPr>
          <w:rFonts w:ascii="FrankRuehl" w:cs="FrankRuehl" w:eastAsia="FrankRuehl" w:hAnsi="FrankRuehl"/>
          <w:sz w:val="24"/>
          <w:szCs w:val="24"/>
        </w:rPr>
      </w:pP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המחוזי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בב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כב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השופט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ליבדרו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) 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הרשיע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הנאשמים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בפרשת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האסון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בנחל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צפית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יובל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כאהן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מנהל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מכינת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בני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ציון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ואביב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ברדיצ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המנהל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החינוכי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בשלוחת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במכינה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ומי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שהוביל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הטיול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השניים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הורשעו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בעשר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עבירות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גרימת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מוות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ברשלנות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ונקבע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אחראים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למותם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עשרה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מטיילים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אגם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לוי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אילן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שלום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אלה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אור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גלי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בללי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יעל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סדן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מעיין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ברהום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עדי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רענן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צור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אלפי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רומי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כהן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ושני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שמיר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הורשעו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בעבירה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גרימת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חבלה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ברשלנות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לשני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חניכים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נוספים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.  </w:t>
      </w:r>
    </w:p>
    <w:p w:rsidR="00000000" w:rsidDel="00000000" w:rsidP="00000000" w:rsidRDefault="00000000" w:rsidRPr="00000000" w14:paraId="0000000C">
      <w:pPr>
        <w:bidi w:val="1"/>
        <w:spacing w:line="360" w:lineRule="auto"/>
        <w:ind w:left="43" w:firstLine="0"/>
        <w:jc w:val="both"/>
        <w:rPr>
          <w:rFonts w:ascii="FrankRuehl" w:cs="FrankRuehl" w:eastAsia="FrankRuehl" w:hAnsi="FrankRuehl"/>
          <w:sz w:val="24"/>
          <w:szCs w:val="24"/>
        </w:rPr>
      </w:pP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ביום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26.04.2018,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בשעות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הצהריים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התרחש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האסונות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האזרחיים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הטראגיים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בתולדות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נחרת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בתודעה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הציבורית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בכינוי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אסון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נחל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צפית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ביום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במסגרת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טיול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גיבוש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למועמדים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להצטרפות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למכינת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בני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ציון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נקלעה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קבוצת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המטיילים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לשיטפון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בעת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ששהתה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בערוץ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נחל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צפית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בדרום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המלח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שזמן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קצר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כניסת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לנחל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החל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לטפטף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גשם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המשיכה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במסלולה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המתוכנן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בחלוף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כמחצית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השעה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כשהקבוצה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הגיעה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למעוק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בנחל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הכה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שיטפון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שסחף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עמו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עשרת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המנוחים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וגרם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למותם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ולחבלות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לשניים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נוספים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.  </w:t>
      </w:r>
    </w:p>
    <w:p w:rsidR="00000000" w:rsidDel="00000000" w:rsidP="00000000" w:rsidRDefault="00000000" w:rsidRPr="00000000" w14:paraId="0000000D">
      <w:pPr>
        <w:bidi w:val="1"/>
        <w:spacing w:line="360" w:lineRule="auto"/>
        <w:jc w:val="both"/>
        <w:rPr>
          <w:rFonts w:ascii="FrankRuehl" w:cs="FrankRuehl" w:eastAsia="FrankRuehl" w:hAnsi="FrankRuehl"/>
          <w:sz w:val="24"/>
          <w:szCs w:val="24"/>
        </w:rPr>
      </w:pP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המכינה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נערך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לטיול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בהיערכות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מיוחדת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מבעוד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מועד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התרעות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חמורות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לחשש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לשיטפונות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באזור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הטיול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מעורבות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כהאן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מנהל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המכינה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שלחץ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לקיים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הטיול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חרף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מזג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האוויר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וחרף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פניות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שנעשו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לדחות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הטיול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ותוך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קביעת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סדרת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הנחיות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לאופן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לטייל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כשיש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חשש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לשיטפונות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E">
      <w:pPr>
        <w:bidi w:val="1"/>
        <w:spacing w:line="360" w:lineRule="auto"/>
        <w:ind w:left="43" w:firstLine="0"/>
        <w:jc w:val="both"/>
        <w:rPr>
          <w:rFonts w:ascii="FrankRuehl" w:cs="FrankRuehl" w:eastAsia="FrankRuehl" w:hAnsi="FrankRuehl"/>
          <w:sz w:val="24"/>
          <w:szCs w:val="24"/>
        </w:rPr>
      </w:pP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האסון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לטיול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מזג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האוויר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והתרעות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חמורות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המזהירות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מפני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שיטפון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שינו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כבר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מסלול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הראשון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יציאת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מירושלים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עבר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אזור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סמוך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למסלול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מתוכנן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בנחל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צאלים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נאלצו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הנאשמים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לשנות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כיוון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נוכח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סגירת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כביש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90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המוביל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לנחל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צאלים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והפנו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ללינה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בסמוך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למושב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תמר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bidi w:val="1"/>
        <w:spacing w:line="360" w:lineRule="auto"/>
        <w:ind w:left="43" w:firstLine="0"/>
        <w:jc w:val="both"/>
        <w:rPr>
          <w:rFonts w:ascii="FrankRuehl" w:cs="FrankRuehl" w:eastAsia="FrankRuehl" w:hAnsi="FrankRuehl"/>
          <w:sz w:val="24"/>
          <w:szCs w:val="24"/>
        </w:rPr>
      </w:pP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ברדיצ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מדריכה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במכינה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אחראית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חפ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הטיול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עמלו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מציאת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מסלול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חלופי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ליום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המחרת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התייעצות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גורמים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מקצועיים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מהאזור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החליטו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קיום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טיול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במסלול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נחל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תמר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ונחל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צפית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ומזג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האוויר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יאפשר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למחרת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קמה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ליום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שמשי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שברדיצ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התייעץ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גורמי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מקצוע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לחיזוי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מזג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האוויר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שאיתם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בקשר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יצאה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למסלול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נחל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תמר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ונחל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צפית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שסופו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ידוע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0">
      <w:pPr>
        <w:bidi w:val="1"/>
        <w:spacing w:line="360" w:lineRule="auto"/>
        <w:jc w:val="both"/>
        <w:rPr>
          <w:rFonts w:ascii="FrankRuehl" w:cs="FrankRuehl" w:eastAsia="FrankRuehl" w:hAnsi="FrankRuehl"/>
          <w:sz w:val="24"/>
          <w:szCs w:val="24"/>
        </w:rPr>
      </w:pP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המאשימה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עתרה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להרשיע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הנאשמים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בעשר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עבירות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המתה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בקלות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דעת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ובשתי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עבירות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חבלה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חמורה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הנאשמים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עתרו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לזכות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הנאשמים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מכלל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העבירות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spacing w:line="360" w:lineRule="auto"/>
        <w:jc w:val="both"/>
        <w:rPr>
          <w:rFonts w:ascii="FrankRuehl" w:cs="FrankRuehl" w:eastAsia="FrankRuehl" w:hAnsi="FrankRuehl"/>
          <w:sz w:val="24"/>
          <w:szCs w:val="24"/>
        </w:rPr>
      </w:pP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שדן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בתיק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שהיה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חריג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בהיקפו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בהיבטים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עמד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השתלשלות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האירועים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סקר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העדויות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והראיות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הרבות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שנפרשו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לפניו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עמד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סלעי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המחלוקת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הצדדים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ובחן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יסודות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העבירות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במישור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המשפטי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שהדגיש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ההכרעה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נשענה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הראיות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שהובאו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בפניו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מצא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כאמור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להרשיע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הנאשמים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בעשר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עבירות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גרימת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מוות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ברשלנות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ובעבירה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גרימת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חבלה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ברשלנות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קבע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בנסיבות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העניין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מנהל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מכינה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הישוב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ומנהל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תכנית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במכינה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שמוביל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טיול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הישוב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וצריך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מודע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לאפשרות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מותם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המנוחים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שקבע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הנאשמים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בהתנהגותם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נטלו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סיכון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בלתי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סביר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לגרימת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מותם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המנוחים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כתוצאה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מפגיעת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שיטפון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line="360" w:lineRule="auto"/>
        <w:jc w:val="both"/>
        <w:rPr>
          <w:rFonts w:ascii="FrankRuehl" w:cs="FrankRuehl" w:eastAsia="FrankRuehl" w:hAnsi="FrankRuehl"/>
          <w:sz w:val="24"/>
          <w:szCs w:val="24"/>
        </w:rPr>
      </w:pP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דחה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הטענה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המקדמית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שטענו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הנאשמים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להגנה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הצדק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אכיפה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בררנית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המדריכה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הועמדה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לדין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ואל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שייעצו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לגורמי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המכינה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line="360" w:lineRule="auto"/>
        <w:jc w:val="both"/>
        <w:rPr>
          <w:rFonts w:ascii="FrankRuehl" w:cs="FrankRuehl" w:eastAsia="FrankRuehl" w:hAnsi="FrankRuehl"/>
          <w:sz w:val="24"/>
          <w:szCs w:val="24"/>
        </w:rPr>
      </w:pP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האמור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קבע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המאשימה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הוכיחה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כדבעי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אשמת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הנאשמים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בעבירה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המתה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בקלות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דעת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באשר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נותר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ספק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סביר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ביחס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למודעותם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אמת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לאפשרות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גרימת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תוצאת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מותם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המנוחים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כתוצאה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מפגיעת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שיטפון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spacing w:line="360" w:lineRule="auto"/>
        <w:jc w:val="both"/>
        <w:rPr>
          <w:rFonts w:ascii="FrankRuehl" w:cs="FrankRuehl" w:eastAsia="FrankRuehl" w:hAnsi="FrankRuehl"/>
          <w:sz w:val="24"/>
          <w:szCs w:val="24"/>
        </w:rPr>
      </w:pP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באשר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לכהאן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קבע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שהחליט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הטיול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בנחל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צפית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ולמעשה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נודע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טיול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בשלב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מאוחר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כשהקבוצה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כבר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בעיצומו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הטיול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שהיה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בשטח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והחליט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להכניסה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לערוץ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נחל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צפית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וכי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עודכן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בכלל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התחזיות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ובאזהרות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שברדיצ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שהוביל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הטיול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קיבל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מגורמי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החיזוי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הטיול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line="360" w:lineRule="auto"/>
        <w:jc w:val="both"/>
        <w:rPr>
          <w:rFonts w:ascii="FrankRuehl" w:cs="FrankRuehl" w:eastAsia="FrankRuehl" w:hAnsi="FrankRuehl"/>
          <w:sz w:val="24"/>
          <w:szCs w:val="24"/>
        </w:rPr>
      </w:pP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באשר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לברדיצ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קבע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ספורות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הכניסה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לערוץ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נחל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צפית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קיבל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מידע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מהחפ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שבעצמו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נסמך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איש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מקצוע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מהמקום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לפיו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להיכנס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לנחל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צפית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ולסיימו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שעה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בפועל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השיטפון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פגע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כחצי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שעה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שקיבל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המידע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נקבע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ברדיצ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הסתמך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תמונת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מזג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אוויר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דומה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שקיבל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מגורמים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מקצועיים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לפיה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גשמים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משמעותיים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יתחילו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בשעות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הצוהריים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המאוחרות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וכי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סבר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שכהאן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מודע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לטיול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ומאשר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spacing w:line="360" w:lineRule="auto"/>
        <w:jc w:val="both"/>
        <w:rPr>
          <w:rFonts w:ascii="FrankRuehl" w:cs="FrankRuehl" w:eastAsia="FrankRuehl" w:hAnsi="FrankRuehl"/>
          <w:sz w:val="24"/>
          <w:szCs w:val="24"/>
        </w:rPr>
      </w:pP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עמד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הפגיעה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הקשה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בערך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קדושת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החיים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שגרמה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לאסון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ולתוצאה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הטרגית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עמד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ההתעקשות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כהאן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להוציא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הטיול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במועד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ובאזור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שנקבע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למרות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ההתרעות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החמורות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לשיטפונות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באזור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באותם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ימים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עמד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ההנחות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השגויות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והמטעות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עליהן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התבססה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שיטת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הטיול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הנחיות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הבטיחות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שקבע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כהאן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ולבלבול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והשאלות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הפתוחות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שנותרו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ביחס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לעקרונות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השיטה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ולהנחיות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קבע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שנותר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ספק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שיטת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הטיול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בגדר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פרקטיקה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נוהגת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ומוסדרת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וקבע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כאמירה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נורמטיבית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שמדובר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בשיטה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סיכון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בלתי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סביר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spacing w:line="360" w:lineRule="auto"/>
        <w:jc w:val="both"/>
        <w:rPr>
          <w:rFonts w:ascii="FrankRuehl" w:cs="FrankRuehl" w:eastAsia="FrankRuehl" w:hAnsi="FrankRuehl"/>
          <w:sz w:val="24"/>
          <w:szCs w:val="24"/>
        </w:rPr>
      </w:pP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עמד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שביום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האסון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כהאן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ניתק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קשר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ומגע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חדלונו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כהאן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לברר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היכן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נמצאת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מהן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תכניותיה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המפורטות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ולהגיב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וליצור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קשר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ישיר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מאן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דהוא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FrankRuehl" w:cs="FrankRuehl" w:eastAsia="FrankRuehl" w:hAnsi="FrankRueh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4"/>
          <w:szCs w:val="24"/>
          <w:rtl w:val="1"/>
        </w:rPr>
        <w:t xml:space="preserve">שהיה</w:t>
      </w:r>
      <w:r w:rsidDel="00000000" w:rsidR="00000000" w:rsidRPr="00000000">
        <w:rPr>
          <w:rFonts w:ascii="FrankRuehl" w:cs="FrankRuehl" w:eastAsia="FrankRuehl" w:hAnsi="FrankRueh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4"/>
          <w:szCs w:val="24"/>
          <w:rtl w:val="1"/>
        </w:rPr>
        <w:t xml:space="preserve">מודע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לכך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שהקבוצה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מטיילת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בגשם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הנחל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spacing w:line="360" w:lineRule="auto"/>
        <w:jc w:val="both"/>
        <w:rPr>
          <w:rFonts w:ascii="FrankRuehl" w:cs="FrankRuehl" w:eastAsia="FrankRuehl" w:hAnsi="FrankRuehl"/>
          <w:sz w:val="24"/>
          <w:szCs w:val="24"/>
        </w:rPr>
      </w:pP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בעניינו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ברדיצ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עמד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נמנע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ליזום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קשר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ישיר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כהאן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ולהתייעץ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איתו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שקיבל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התרעות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הטיול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ואף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שנאמר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לטיול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בחוץ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";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ביצע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בדיקות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קפדניות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שקיבל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מהמדריכה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האחראית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חפ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הטיול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התרעה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עדכנית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בסמוך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הכניסה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לערוץ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נחל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צפית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spacing w:line="360" w:lineRule="auto"/>
        <w:jc w:val="both"/>
        <w:rPr>
          <w:rFonts w:ascii="FrankRuehl" w:cs="FrankRuehl" w:eastAsia="FrankRuehl" w:hAnsi="FrankRuehl"/>
          <w:sz w:val="24"/>
          <w:szCs w:val="24"/>
        </w:rPr>
      </w:pP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בשולי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הכרעת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הדין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בשולי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החשיבות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התייחס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באמירה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נורמטיבית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לתחושות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הקשות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שעלו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מהעדויות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לפיהן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החינוך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המכינות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הקדם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צבאיות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קשורות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במובנים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מסוימים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גורם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רשמי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הסכים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לשתף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המכינות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בגיבוש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ותיקוף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הנחיות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בטיחות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ובכלל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בהקשר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לטיולים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ואף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סירב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לאפשר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להן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להסתייע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המצב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החינוך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לקראת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טיולים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ובמהלכם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משל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נטע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זר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עמד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באמת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צורך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שהנחיות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והוראות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בטיחות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יכתבו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בדם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A">
      <w:pPr>
        <w:bidi w:val="1"/>
        <w:spacing w:line="360" w:lineRule="auto"/>
        <w:jc w:val="both"/>
        <w:rPr>
          <w:rFonts w:ascii="FrankRuehl" w:cs="FrankRuehl" w:eastAsia="FrankRuehl" w:hAnsi="FrankRuehl"/>
          <w:sz w:val="24"/>
          <w:szCs w:val="24"/>
        </w:rPr>
      </w:pP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הכרעת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הדין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סיים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במילים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הבאות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1B">
      <w:pPr>
        <w:bidi w:val="1"/>
        <w:spacing w:line="360" w:lineRule="auto"/>
        <w:jc w:val="both"/>
        <w:rPr>
          <w:rFonts w:ascii="FrankRuehl" w:cs="FrankRuehl" w:eastAsia="FrankRuehl" w:hAnsi="FrankRueh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רומי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צור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עדי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מעיין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יעל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גלי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אילן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אגם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ואלה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זכרם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לברכה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יצאו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חניכים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ומדריכים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לטיול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גיבוש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מועמדים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שהתקבלו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למכינה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spacing w:line="360" w:lineRule="auto"/>
        <w:jc w:val="both"/>
        <w:rPr>
          <w:rFonts w:ascii="FrankRuehl" w:cs="FrankRuehl" w:eastAsia="FrankRuehl" w:hAnsi="FrankRuehl"/>
          <w:sz w:val="24"/>
          <w:szCs w:val="24"/>
        </w:rPr>
      </w:pP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ואולם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מהטיול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ישובו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ברשלנותם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גרמו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הנאשמים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למותם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כתוצאה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מפגיעת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שיטפון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הטיול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יצאו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spacing w:line="360" w:lineRule="auto"/>
        <w:jc w:val="both"/>
        <w:rPr>
          <w:rFonts w:ascii="FrankRuehl" w:cs="FrankRuehl" w:eastAsia="FrankRuehl" w:hAnsi="FrankRuehl"/>
          <w:sz w:val="24"/>
          <w:szCs w:val="24"/>
        </w:rPr>
      </w:pP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משפט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ארוך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ובחינה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מעמיקה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לומר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לומר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בצער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E">
      <w:pPr>
        <w:bidi w:val="1"/>
        <w:spacing w:line="360" w:lineRule="auto"/>
        <w:jc w:val="both"/>
        <w:rPr>
          <w:rFonts w:ascii="FrankRuehl" w:cs="FrankRuehl" w:eastAsia="FrankRuehl" w:hAnsi="FrankRuehl"/>
          <w:sz w:val="24"/>
          <w:szCs w:val="24"/>
        </w:rPr>
      </w:pP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הכל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משמיים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מבני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sz w:val="24"/>
          <w:szCs w:val="24"/>
          <w:rtl w:val="1"/>
        </w:rPr>
        <w:t xml:space="preserve">".</w:t>
      </w:r>
    </w:p>
    <w:p w:rsidR="00000000" w:rsidDel="00000000" w:rsidP="00000000" w:rsidRDefault="00000000" w:rsidRPr="00000000" w14:paraId="0000001F">
      <w:pPr>
        <w:bidi w:val="1"/>
        <w:spacing w:after="120" w:line="360" w:lineRule="auto"/>
        <w:jc w:val="both"/>
        <w:rPr>
          <w:rFonts w:ascii="FrankRuehl" w:cs="FrankRuehl" w:eastAsia="FrankRuehl" w:hAnsi="FrankRuehl"/>
          <w:color w:val="323e4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120" w:line="360" w:lineRule="auto"/>
        <w:jc w:val="both"/>
        <w:rPr>
          <w:rFonts w:ascii="FrankRuehl" w:cs="FrankRuehl" w:eastAsia="FrankRuehl" w:hAnsi="FrankRuehl"/>
          <w:color w:val="323e4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after="120" w:line="360" w:lineRule="auto"/>
        <w:jc w:val="both"/>
        <w:rPr>
          <w:rFonts w:ascii="FrankRuehl" w:cs="FrankRuehl" w:eastAsia="FrankRuehl" w:hAnsi="FrankRuehl"/>
          <w:color w:val="323e4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120" w:line="360" w:lineRule="auto"/>
        <w:jc w:val="center"/>
        <w:rPr>
          <w:rFonts w:ascii="FrankRuehl" w:cs="FrankRuehl" w:eastAsia="FrankRuehl" w:hAnsi="FrankRuehl"/>
          <w:b w:val="1"/>
          <w:color w:val="002060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26"/>
          <w:szCs w:val="26"/>
          <w:rtl w:val="1"/>
        </w:rPr>
        <w:t xml:space="preserve">*** 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26"/>
          <w:szCs w:val="26"/>
          <w:rtl w:val="1"/>
        </w:rPr>
        <w:t xml:space="preserve">התקציר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26"/>
          <w:szCs w:val="26"/>
          <w:rtl w:val="1"/>
        </w:rPr>
        <w:t xml:space="preserve">מחליף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26"/>
          <w:szCs w:val="26"/>
          <w:rtl w:val="1"/>
        </w:rPr>
        <w:t xml:space="preserve">פסק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26"/>
          <w:szCs w:val="26"/>
          <w:rtl w:val="1"/>
        </w:rPr>
        <w:t xml:space="preserve">-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26"/>
          <w:szCs w:val="26"/>
          <w:rtl w:val="1"/>
        </w:rPr>
        <w:t xml:space="preserve">הדין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26"/>
          <w:szCs w:val="26"/>
          <w:rtl w:val="1"/>
        </w:rPr>
        <w:t xml:space="preserve">הנוסח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26"/>
          <w:szCs w:val="26"/>
          <w:rtl w:val="1"/>
        </w:rPr>
        <w:t xml:space="preserve">המחייב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26"/>
          <w:szCs w:val="26"/>
          <w:rtl w:val="1"/>
        </w:rPr>
        <w:t xml:space="preserve">הוא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26"/>
          <w:szCs w:val="26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26"/>
          <w:szCs w:val="26"/>
          <w:rtl w:val="1"/>
        </w:rPr>
        <w:t xml:space="preserve">פסק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26"/>
          <w:szCs w:val="26"/>
          <w:rtl w:val="1"/>
        </w:rPr>
        <w:t xml:space="preserve">-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26"/>
          <w:szCs w:val="26"/>
          <w:rtl w:val="1"/>
        </w:rPr>
        <w:t xml:space="preserve">הדין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26"/>
          <w:szCs w:val="26"/>
          <w:rtl w:val="1"/>
        </w:rPr>
        <w:t xml:space="preserve">המלא</w:t>
      </w:r>
      <w:r w:rsidDel="00000000" w:rsidR="00000000" w:rsidRPr="00000000">
        <w:rPr>
          <w:rFonts w:ascii="FrankRuehl" w:cs="FrankRuehl" w:eastAsia="FrankRuehl" w:hAnsi="FrankRuehl"/>
          <w:b w:val="1"/>
          <w:color w:val="002060"/>
          <w:sz w:val="26"/>
          <w:szCs w:val="26"/>
          <w:rtl w:val="1"/>
        </w:rPr>
        <w:t xml:space="preserve"> ***</w:t>
      </w:r>
    </w:p>
    <w:p w:rsidR="00000000" w:rsidDel="00000000" w:rsidP="00000000" w:rsidRDefault="00000000" w:rsidRPr="00000000" w14:paraId="00000023">
      <w:pPr>
        <w:bidi w:val="1"/>
        <w:spacing w:after="0" w:line="276" w:lineRule="auto"/>
        <w:jc w:val="both"/>
        <w:rPr>
          <w:rFonts w:ascii="FrankRuehl" w:cs="FrankRuehl" w:eastAsia="FrankRuehl" w:hAnsi="FrankRueh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="276" w:lineRule="auto"/>
        <w:jc w:val="both"/>
        <w:rPr>
          <w:rFonts w:ascii="FrankRuehl" w:cs="FrankRuehl" w:eastAsia="FrankRuehl" w:hAnsi="FrankRueh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before="280" w:line="240" w:lineRule="auto"/>
        <w:ind w:left="4320" w:firstLine="0"/>
        <w:jc w:val="both"/>
        <w:rPr>
          <w:rFonts w:ascii="FrankRuehl" w:cs="FrankRuehl" w:eastAsia="FrankRuehl" w:hAnsi="FrankRuehl"/>
          <w:b w:val="1"/>
          <w:color w:val="00206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FrankRuehl"/>
  <w:font w:name="Times New Roman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tabs>
        <w:tab w:val="center" w:leader="none" w:pos="4153"/>
        <w:tab w:val="right" w:leader="none" w:pos="8306"/>
      </w:tabs>
      <w:bidi w:val="1"/>
      <w:spacing w:after="0" w:line="240" w:lineRule="auto"/>
      <w:rPr>
        <w:rFonts w:ascii="Times New Roman" w:cs="Times New Roman" w:eastAsia="Times New Roman" w:hAnsi="Times New Roman"/>
        <w:b w:val="1"/>
        <w:color w:val="00008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4"/>
        <w:szCs w:val="24"/>
        <w:rtl w:val="0"/>
      </w:rPr>
      <w:t xml:space="preserve">________________________________________________________________</w:t>
    </w:r>
  </w:p>
  <w:p w:rsidR="00000000" w:rsidDel="00000000" w:rsidP="00000000" w:rsidRDefault="00000000" w:rsidRPr="00000000" w14:paraId="0000002A">
    <w:pPr>
      <w:tabs>
        <w:tab w:val="center" w:leader="none" w:pos="4153"/>
        <w:tab w:val="right" w:leader="none" w:pos="8306"/>
      </w:tabs>
      <w:bidi w:val="1"/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8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4"/>
        <w:szCs w:val="24"/>
        <w:rtl w:val="1"/>
      </w:rPr>
      <w:t xml:space="preserve">בית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4"/>
        <w:szCs w:val="24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4"/>
        <w:szCs w:val="24"/>
        <w:rtl w:val="1"/>
      </w:rPr>
      <w:t xml:space="preserve">משפט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4"/>
        <w:szCs w:val="24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4"/>
        <w:szCs w:val="24"/>
        <w:rtl w:val="1"/>
      </w:rPr>
      <w:t xml:space="preserve">העליון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4"/>
        <w:szCs w:val="24"/>
        <w:rtl w:val="1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4"/>
        <w:szCs w:val="24"/>
        <w:rtl w:val="1"/>
      </w:rPr>
      <w:t xml:space="preserve">דרך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4"/>
        <w:szCs w:val="24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4"/>
        <w:szCs w:val="24"/>
        <w:rtl w:val="1"/>
      </w:rPr>
      <w:t xml:space="preserve">השופט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4"/>
        <w:szCs w:val="24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4"/>
        <w:szCs w:val="24"/>
        <w:rtl w:val="1"/>
      </w:rPr>
      <w:t xml:space="preserve">מאיר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4"/>
        <w:szCs w:val="24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4"/>
        <w:szCs w:val="24"/>
        <w:rtl w:val="1"/>
      </w:rPr>
      <w:t xml:space="preserve">שמגר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4"/>
        <w:szCs w:val="24"/>
        <w:rtl w:val="1"/>
      </w:rPr>
      <w:t xml:space="preserve"> 1 |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4"/>
        <w:szCs w:val="24"/>
        <w:rtl w:val="1"/>
      </w:rPr>
      <w:t xml:space="preserve">קרית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4"/>
        <w:szCs w:val="24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4"/>
        <w:szCs w:val="24"/>
        <w:rtl w:val="1"/>
      </w:rPr>
      <w:t xml:space="preserve">בן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4"/>
        <w:szCs w:val="24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4"/>
        <w:szCs w:val="24"/>
        <w:rtl w:val="1"/>
      </w:rPr>
      <w:t xml:space="preserve">גוריון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4"/>
        <w:szCs w:val="24"/>
        <w:rtl w:val="1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4"/>
        <w:szCs w:val="24"/>
        <w:rtl w:val="1"/>
      </w:rPr>
      <w:t xml:space="preserve">ירושלים</w:t>
    </w:r>
  </w:p>
  <w:p w:rsidR="00000000" w:rsidDel="00000000" w:rsidP="00000000" w:rsidRDefault="00000000" w:rsidRPr="00000000" w14:paraId="0000002B">
    <w:pPr>
      <w:tabs>
        <w:tab w:val="center" w:leader="none" w:pos="4153"/>
        <w:tab w:val="right" w:leader="none" w:pos="8306"/>
      </w:tabs>
      <w:bidi w:val="1"/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8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4"/>
        <w:szCs w:val="24"/>
        <w:rtl w:val="1"/>
      </w:rPr>
      <w:t xml:space="preserve">טל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4"/>
        <w:szCs w:val="24"/>
        <w:rtl w:val="1"/>
      </w:rPr>
      <w:t xml:space="preserve">: 074-7480412                      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4"/>
        <w:szCs w:val="24"/>
        <w:rtl w:val="1"/>
      </w:rPr>
      <w:t xml:space="preserve">דוא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4"/>
        <w:szCs w:val="24"/>
        <w:rtl w:val="1"/>
      </w:rPr>
      <w:t xml:space="preserve">"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4"/>
        <w:szCs w:val="24"/>
        <w:rtl w:val="1"/>
      </w:rPr>
      <w:t xml:space="preserve">ל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4"/>
        <w:szCs w:val="24"/>
        <w:rtl w:val="1"/>
      </w:rPr>
      <w:t xml:space="preserve">: 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u w:val="single"/>
          <w:rtl w:val="0"/>
        </w:rPr>
        <w:t xml:space="preserve">Dover@court.gov.il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tabs>
        <w:tab w:val="center" w:leader="none" w:pos="4153"/>
        <w:tab w:val="right" w:leader="none" w:pos="8306"/>
      </w:tabs>
      <w:bidi w:val="1"/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523875" cy="619125"/>
          <wp:effectExtent b="0" l="0" r="0" t="0"/>
          <wp:docPr descr="תיאור: semel" id="1" name="image1.png"/>
          <a:graphic>
            <a:graphicData uri="http://schemas.openxmlformats.org/drawingml/2006/picture">
              <pic:pic>
                <pic:nvPicPr>
                  <pic:cNvPr descr="תיאור: semel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619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entury" w:cs="Century" w:eastAsia="Century" w:hAnsi="Century"/>
        <w:sz w:val="20"/>
        <w:szCs w:val="20"/>
        <w:rtl w:val="0"/>
      </w:rPr>
      <w:t xml:space="preserve">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tabs>
        <w:tab w:val="center" w:leader="none" w:pos="4153"/>
        <w:tab w:val="right" w:leader="none" w:pos="8306"/>
      </w:tabs>
      <w:bidi w:val="1"/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8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8"/>
        <w:szCs w:val="28"/>
        <w:rtl w:val="1"/>
      </w:rPr>
      <w:t xml:space="preserve">מערכת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8"/>
        <w:szCs w:val="28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8"/>
        <w:szCs w:val="28"/>
        <w:rtl w:val="1"/>
      </w:rPr>
      <w:t xml:space="preserve">בתי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8"/>
        <w:szCs w:val="28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8"/>
        <w:szCs w:val="28"/>
        <w:rtl w:val="1"/>
      </w:rPr>
      <w:t xml:space="preserve">המשפט</w:t>
    </w:r>
  </w:p>
  <w:p w:rsidR="00000000" w:rsidDel="00000000" w:rsidP="00000000" w:rsidRDefault="00000000" w:rsidRPr="00000000" w14:paraId="00000028">
    <w:pPr>
      <w:tabs>
        <w:tab w:val="center" w:leader="none" w:pos="4153"/>
        <w:tab w:val="right" w:leader="none" w:pos="8306"/>
      </w:tabs>
      <w:bidi w:val="1"/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8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8"/>
        <w:szCs w:val="28"/>
        <w:rtl w:val="1"/>
      </w:rPr>
      <w:t xml:space="preserve">דוברות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8"/>
        <w:szCs w:val="28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80"/>
        <w:sz w:val="28"/>
        <w:szCs w:val="28"/>
        <w:rtl w:val="1"/>
      </w:rPr>
      <w:t xml:space="preserve">והסברה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Dover@court.gov.i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