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5ABFCC48" w14:textId="77777777" w:rsidTr="00DD7D05">
        <w:trPr>
          <w:trHeight w:val="851"/>
        </w:trPr>
        <w:tc>
          <w:tcPr>
            <w:tcW w:w="1259" w:type="dxa"/>
            <w:tcBorders>
              <w:top w:val="nil"/>
              <w:left w:val="nil"/>
              <w:bottom w:val="single" w:sz="4" w:space="0" w:color="auto"/>
              <w:right w:val="nil"/>
            </w:tcBorders>
          </w:tcPr>
          <w:p w14:paraId="5DD5EF18"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73425AC2" w14:textId="79F5D058"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3A0CC05" w14:textId="77777777" w:rsidR="00EC2011" w:rsidRDefault="0090338D" w:rsidP="0090338D">
            <w:pPr>
              <w:suppressAutoHyphens w:val="0"/>
              <w:spacing w:after="20"/>
              <w:jc w:val="right"/>
            </w:pPr>
            <w:r w:rsidRPr="0090338D">
              <w:rPr>
                <w:sz w:val="40"/>
              </w:rPr>
              <w:t>A</w:t>
            </w:r>
            <w:r>
              <w:t>/HRC/58/55</w:t>
            </w:r>
          </w:p>
        </w:tc>
      </w:tr>
      <w:tr w:rsidR="00EC2011" w14:paraId="3D36EAF7" w14:textId="77777777" w:rsidTr="00DD7D05">
        <w:trPr>
          <w:trHeight w:val="2835"/>
        </w:trPr>
        <w:tc>
          <w:tcPr>
            <w:tcW w:w="1259" w:type="dxa"/>
            <w:tcBorders>
              <w:top w:val="single" w:sz="4" w:space="0" w:color="auto"/>
              <w:left w:val="nil"/>
              <w:bottom w:val="single" w:sz="12" w:space="0" w:color="auto"/>
              <w:right w:val="nil"/>
            </w:tcBorders>
          </w:tcPr>
          <w:p w14:paraId="0B0CD8A6" w14:textId="1A3B8F51"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06E020C4" w14:textId="35CE4096" w:rsidR="00EC2011" w:rsidRDefault="004D769B"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9F5BAD2" w14:textId="77777777" w:rsidR="0082031F" w:rsidRPr="00904312" w:rsidRDefault="0082031F" w:rsidP="0082031F">
            <w:pPr>
              <w:spacing w:before="240"/>
            </w:pPr>
            <w:r w:rsidRPr="00904312">
              <w:t>Distr.: General</w:t>
            </w:r>
          </w:p>
          <w:p w14:paraId="230CCBDA" w14:textId="05F4CADD" w:rsidR="0082031F" w:rsidRPr="00904312" w:rsidRDefault="00EA39CE" w:rsidP="0082031F">
            <w:pPr>
              <w:suppressAutoHyphens w:val="0"/>
            </w:pPr>
            <w:r>
              <w:t>6</w:t>
            </w:r>
            <w:r w:rsidR="0082031F" w:rsidRPr="00E05D83">
              <w:t xml:space="preserve"> </w:t>
            </w:r>
            <w:r w:rsidR="0082031F">
              <w:t>February</w:t>
            </w:r>
            <w:r w:rsidR="0082031F" w:rsidRPr="00E05D83">
              <w:t xml:space="preserve"> 2025</w:t>
            </w:r>
          </w:p>
          <w:p w14:paraId="3CF54190" w14:textId="77777777" w:rsidR="0082031F" w:rsidRPr="00904312" w:rsidRDefault="0082031F" w:rsidP="0082031F">
            <w:pPr>
              <w:suppressAutoHyphens w:val="0"/>
            </w:pPr>
          </w:p>
          <w:p w14:paraId="3EE6F44C" w14:textId="27E10336" w:rsidR="0090338D" w:rsidRDefault="0082031F" w:rsidP="0082031F">
            <w:pPr>
              <w:suppressAutoHyphens w:val="0"/>
            </w:pPr>
            <w:r w:rsidRPr="00904312">
              <w:t>Original: English</w:t>
            </w:r>
          </w:p>
        </w:tc>
      </w:tr>
    </w:tbl>
    <w:p w14:paraId="51791BE3" w14:textId="77777777" w:rsidR="0082031F" w:rsidRPr="00904312" w:rsidRDefault="0082031F" w:rsidP="0082031F">
      <w:pPr>
        <w:spacing w:before="120"/>
        <w:rPr>
          <w:b/>
          <w:sz w:val="24"/>
          <w:szCs w:val="24"/>
        </w:rPr>
      </w:pPr>
      <w:r w:rsidRPr="00904312">
        <w:rPr>
          <w:b/>
          <w:sz w:val="24"/>
          <w:szCs w:val="24"/>
        </w:rPr>
        <w:t>Human Rights Council</w:t>
      </w:r>
    </w:p>
    <w:p w14:paraId="2E2FBBEB" w14:textId="77777777" w:rsidR="0082031F" w:rsidRPr="00904312" w:rsidRDefault="0082031F" w:rsidP="0082031F">
      <w:pPr>
        <w:rPr>
          <w:b/>
          <w:bCs/>
        </w:rPr>
      </w:pPr>
      <w:r w:rsidRPr="00904312">
        <w:rPr>
          <w:b/>
          <w:bCs/>
        </w:rPr>
        <w:t>Fifty-eighth session</w:t>
      </w:r>
    </w:p>
    <w:p w14:paraId="7848E1C9" w14:textId="77777777" w:rsidR="0082031F" w:rsidRPr="00904312" w:rsidRDefault="0082031F" w:rsidP="0082031F">
      <w:r w:rsidRPr="00904312">
        <w:t>24 February–4 April 2025</w:t>
      </w:r>
    </w:p>
    <w:p w14:paraId="1F0ADDCC" w14:textId="77777777" w:rsidR="0082031F" w:rsidRPr="00904312" w:rsidRDefault="0082031F" w:rsidP="0082031F">
      <w:r w:rsidRPr="00904312">
        <w:t>Agenda item 3</w:t>
      </w:r>
    </w:p>
    <w:p w14:paraId="7EEBA5A9" w14:textId="77777777" w:rsidR="0082031F" w:rsidRPr="00904312" w:rsidRDefault="0082031F" w:rsidP="0082031F">
      <w:pPr>
        <w:rPr>
          <w:b/>
          <w:bCs/>
        </w:rPr>
      </w:pPr>
      <w:r w:rsidRPr="00904312">
        <w:rPr>
          <w:b/>
          <w:bCs/>
        </w:rPr>
        <w:t>Promotion and protection of all human rights, civil,</w:t>
      </w:r>
    </w:p>
    <w:p w14:paraId="313F3A55" w14:textId="77777777" w:rsidR="0082031F" w:rsidRPr="00904312" w:rsidRDefault="0082031F" w:rsidP="0082031F">
      <w:pPr>
        <w:rPr>
          <w:b/>
          <w:bCs/>
        </w:rPr>
      </w:pPr>
      <w:r w:rsidRPr="00904312">
        <w:rPr>
          <w:b/>
          <w:bCs/>
        </w:rPr>
        <w:t>political, economic, social and cultural rights,</w:t>
      </w:r>
    </w:p>
    <w:p w14:paraId="61ADA51F" w14:textId="77777777" w:rsidR="0082031F" w:rsidRPr="00904312" w:rsidRDefault="0082031F" w:rsidP="0082031F">
      <w:pPr>
        <w:rPr>
          <w:b/>
          <w:bCs/>
        </w:rPr>
      </w:pPr>
      <w:r w:rsidRPr="00904312">
        <w:rPr>
          <w:b/>
          <w:bCs/>
        </w:rPr>
        <w:t>including the right to development</w:t>
      </w:r>
    </w:p>
    <w:p w14:paraId="5DA472B9" w14:textId="77777777" w:rsidR="0082031F" w:rsidRPr="00904312" w:rsidRDefault="0082031F" w:rsidP="0082031F">
      <w:pPr>
        <w:pStyle w:val="HChG"/>
        <w:rPr>
          <w:b w:val="0"/>
          <w:bCs/>
          <w:sz w:val="20"/>
        </w:rPr>
      </w:pPr>
      <w:r w:rsidRPr="00904312">
        <w:tab/>
      </w:r>
      <w:r w:rsidRPr="00904312">
        <w:tab/>
      </w:r>
      <w:r>
        <w:t>T</w:t>
      </w:r>
      <w:r w:rsidRPr="00904312">
        <w:t>orture and other cruel, inhuman or degrading treatment or punishment</w:t>
      </w:r>
      <w:r>
        <w:t>: hostage-taking as torture</w:t>
      </w:r>
    </w:p>
    <w:p w14:paraId="08D20298" w14:textId="77777777" w:rsidR="0082031F" w:rsidRDefault="0082031F" w:rsidP="0082031F">
      <w:pPr>
        <w:pStyle w:val="H1G"/>
        <w:rPr>
          <w:b w:val="0"/>
          <w:bCs/>
          <w:color w:val="000000" w:themeColor="text1"/>
          <w:sz w:val="20"/>
          <w:lang w:val="en-ZA"/>
        </w:rPr>
      </w:pPr>
      <w:r w:rsidRPr="00904312">
        <w:tab/>
      </w:r>
      <w:r w:rsidRPr="00904312">
        <w:tab/>
      </w:r>
      <w:r w:rsidRPr="00204589">
        <w:t>Report of the Special Rapporteur on torture and other cruel, inhuman or degrading treatment or punishment</w:t>
      </w:r>
      <w:r>
        <w:t>, Alice Jill Edwards</w:t>
      </w:r>
      <w:r w:rsidRPr="006F0626">
        <w:rPr>
          <w:b w:val="0"/>
          <w:bCs/>
          <w:color w:val="000000" w:themeColor="text1"/>
          <w:sz w:val="20"/>
          <w:lang w:val="en-ZA"/>
        </w:rPr>
        <w:footnoteReference w:customMarkFollows="1" w:id="2"/>
        <w:t>*</w:t>
      </w:r>
    </w:p>
    <w:tbl>
      <w:tblPr>
        <w:tblStyle w:val="TableGrid"/>
        <w:tblW w:w="0" w:type="auto"/>
        <w:jc w:val="center"/>
        <w:tblLook w:val="05E0" w:firstRow="1" w:lastRow="1" w:firstColumn="1" w:lastColumn="1" w:noHBand="0" w:noVBand="1"/>
      </w:tblPr>
      <w:tblGrid>
        <w:gridCol w:w="9629"/>
      </w:tblGrid>
      <w:tr w:rsidR="00694F74" w14:paraId="31C42EB1" w14:textId="77777777" w:rsidTr="00694F74">
        <w:trPr>
          <w:jc w:val="center"/>
        </w:trPr>
        <w:tc>
          <w:tcPr>
            <w:tcW w:w="9637" w:type="dxa"/>
            <w:tcBorders>
              <w:bottom w:val="nil"/>
            </w:tcBorders>
          </w:tcPr>
          <w:p w14:paraId="654C0E0E" w14:textId="41C0A772" w:rsidR="00694F74" w:rsidRPr="00694F74" w:rsidRDefault="00694F74" w:rsidP="00694F74">
            <w:pPr>
              <w:tabs>
                <w:tab w:val="left" w:pos="255"/>
              </w:tabs>
              <w:suppressAutoHyphens w:val="0"/>
              <w:spacing w:before="240" w:after="120"/>
              <w:rPr>
                <w:sz w:val="24"/>
                <w:lang w:val="en-ZA"/>
              </w:rPr>
            </w:pPr>
            <w:r>
              <w:rPr>
                <w:lang w:val="en-ZA"/>
              </w:rPr>
              <w:tab/>
            </w:r>
            <w:r>
              <w:rPr>
                <w:i/>
                <w:sz w:val="24"/>
                <w:lang w:val="en-ZA"/>
              </w:rPr>
              <w:t>Summary</w:t>
            </w:r>
          </w:p>
        </w:tc>
      </w:tr>
      <w:tr w:rsidR="00694F74" w14:paraId="07CA00DB" w14:textId="77777777" w:rsidTr="00694F74">
        <w:trPr>
          <w:jc w:val="center"/>
        </w:trPr>
        <w:tc>
          <w:tcPr>
            <w:tcW w:w="9637" w:type="dxa"/>
            <w:tcBorders>
              <w:top w:val="nil"/>
              <w:bottom w:val="nil"/>
            </w:tcBorders>
            <w:shd w:val="clear" w:color="auto" w:fill="auto"/>
          </w:tcPr>
          <w:p w14:paraId="4E3FFC97" w14:textId="396EBFD9" w:rsidR="00694F74" w:rsidRDefault="00694F74" w:rsidP="00694F74">
            <w:pPr>
              <w:pStyle w:val="SingleTxtG"/>
              <w:rPr>
                <w:lang w:val="en-ZA"/>
              </w:rPr>
            </w:pPr>
            <w:r>
              <w:tab/>
            </w:r>
            <w:r w:rsidRPr="008E5F0C">
              <w:t xml:space="preserve">In the present report, the Special Rapporteur on torture and other cruel, inhuman or degrading treatment or punishment, Alice Jill Edwards, addresses the </w:t>
            </w:r>
            <w:r>
              <w:t xml:space="preserve">crime </w:t>
            </w:r>
            <w:r w:rsidRPr="008E5F0C">
              <w:t>of hostage</w:t>
            </w:r>
            <w:r w:rsidR="006B49D7">
              <w:noBreakHyphen/>
            </w:r>
            <w:r w:rsidRPr="008E5F0C">
              <w:t>taking from the perspective of the absolute prohibition of torture and other cruel, inhuman or degrading treatment or punishment</w:t>
            </w:r>
            <w:r>
              <w:t>,</w:t>
            </w:r>
            <w:r w:rsidRPr="008E5F0C">
              <w:t xml:space="preserve"> with a view to reinvigorating international engagement on the issue; reinforcing </w:t>
            </w:r>
            <w:r>
              <w:t xml:space="preserve">international laws </w:t>
            </w:r>
            <w:r w:rsidRPr="008E5F0C">
              <w:t xml:space="preserve">prohibiting torture and the taking of hostages; </w:t>
            </w:r>
            <w:r>
              <w:t>and</w:t>
            </w:r>
            <w:r w:rsidRPr="008E5F0C">
              <w:t xml:space="preserve"> addressing </w:t>
            </w:r>
            <w:r>
              <w:t xml:space="preserve">legal and policy </w:t>
            </w:r>
            <w:r w:rsidRPr="008E5F0C">
              <w:t xml:space="preserve">gaps </w:t>
            </w:r>
            <w:r>
              <w:t>in</w:t>
            </w:r>
            <w:r w:rsidRPr="008E5F0C">
              <w:t xml:space="preserve"> the prevention of hostage-taking and the protection of hostages. </w:t>
            </w:r>
            <w:r>
              <w:t xml:space="preserve">In the report, the Special Rapporteur highlights </w:t>
            </w:r>
            <w:r w:rsidRPr="008E5F0C">
              <w:t xml:space="preserve">the severe psychological and physical </w:t>
            </w:r>
            <w:r>
              <w:t>torture and other ill-treatment</w:t>
            </w:r>
            <w:r w:rsidRPr="008E5F0C">
              <w:t xml:space="preserve"> suffered by hostages, which </w:t>
            </w:r>
            <w:r>
              <w:t>have</w:t>
            </w:r>
            <w:r w:rsidRPr="008E5F0C">
              <w:t xml:space="preserve"> lasting impact</w:t>
            </w:r>
            <w:r>
              <w:t>s</w:t>
            </w:r>
            <w:r w:rsidRPr="008E5F0C">
              <w:t xml:space="preserve"> on hostages</w:t>
            </w:r>
            <w:r w:rsidR="006B49D7">
              <w:t>’</w:t>
            </w:r>
            <w:r w:rsidRPr="008E5F0C">
              <w:t xml:space="preserve"> families, communities and </w:t>
            </w:r>
            <w:r>
              <w:t>countries</w:t>
            </w:r>
            <w:r w:rsidRPr="008E5F0C">
              <w:t xml:space="preserve">. </w:t>
            </w:r>
            <w:r>
              <w:t>She</w:t>
            </w:r>
            <w:r w:rsidRPr="008E5F0C">
              <w:t xml:space="preserve"> considers that the rising </w:t>
            </w:r>
            <w:r>
              <w:t xml:space="preserve">number </w:t>
            </w:r>
            <w:proofErr w:type="gramStart"/>
            <w:r>
              <w:t>of incidents</w:t>
            </w:r>
            <w:r w:rsidRPr="008E5F0C">
              <w:t xml:space="preserve"> of hostage-taking</w:t>
            </w:r>
            <w:proofErr w:type="gramEnd"/>
            <w:r w:rsidRPr="008E5F0C">
              <w:t xml:space="preserve"> worldwide demand collective international </w:t>
            </w:r>
            <w:proofErr w:type="gramStart"/>
            <w:r w:rsidRPr="008E5F0C">
              <w:t>attention</w:t>
            </w:r>
            <w:r>
              <w:t>,</w:t>
            </w:r>
            <w:r w:rsidRPr="008E5F0C">
              <w:t xml:space="preserve"> and</w:t>
            </w:r>
            <w:proofErr w:type="gramEnd"/>
            <w:r w:rsidRPr="008E5F0C">
              <w:t xml:space="preserve"> calls on the international community to condemn all forms of hostage-taking</w:t>
            </w:r>
            <w:r>
              <w:t xml:space="preserve"> and to fully implement, inter alia, the International Convention on the Taking of Hostages</w:t>
            </w:r>
            <w:r w:rsidRPr="008E5F0C">
              <w:t>. The report concludes with a set of recommendations to States, non-State actors, and entities and bodies of the United Nations.</w:t>
            </w:r>
          </w:p>
        </w:tc>
      </w:tr>
      <w:tr w:rsidR="00694F74" w14:paraId="79BEF528" w14:textId="77777777" w:rsidTr="00694F74">
        <w:trPr>
          <w:jc w:val="center"/>
        </w:trPr>
        <w:tc>
          <w:tcPr>
            <w:tcW w:w="9637" w:type="dxa"/>
            <w:tcBorders>
              <w:top w:val="nil"/>
            </w:tcBorders>
          </w:tcPr>
          <w:p w14:paraId="6B8F766C" w14:textId="77777777" w:rsidR="00694F74" w:rsidRDefault="00694F74" w:rsidP="00694F74">
            <w:pPr>
              <w:suppressAutoHyphens w:val="0"/>
              <w:rPr>
                <w:lang w:val="en-ZA"/>
              </w:rPr>
            </w:pPr>
          </w:p>
        </w:tc>
      </w:tr>
    </w:tbl>
    <w:p w14:paraId="6B7C3136" w14:textId="77777777" w:rsidR="0082031F" w:rsidRPr="00904312" w:rsidRDefault="0082031F" w:rsidP="0082031F">
      <w:pPr>
        <w:suppressAutoHyphens w:val="0"/>
        <w:kinsoku/>
        <w:overflowPunct/>
        <w:autoSpaceDE/>
        <w:autoSpaceDN/>
        <w:adjustRightInd/>
        <w:snapToGrid/>
        <w:spacing w:after="200" w:line="276" w:lineRule="auto"/>
        <w:rPr>
          <w:u w:val="single"/>
        </w:rPr>
      </w:pPr>
      <w:r w:rsidRPr="00904312">
        <w:rPr>
          <w:u w:val="single"/>
        </w:rPr>
        <w:br w:type="page"/>
      </w:r>
    </w:p>
    <w:p w14:paraId="68BF061F" w14:textId="77777777" w:rsidR="00754E7C" w:rsidRDefault="0082031F" w:rsidP="0082031F">
      <w:pPr>
        <w:pStyle w:val="HChG"/>
      </w:pPr>
      <w:r w:rsidRPr="00904312">
        <w:rPr>
          <w:b w:val="0"/>
        </w:rPr>
        <w:lastRenderedPageBreak/>
        <w:tab/>
      </w:r>
      <w:r w:rsidRPr="00904312">
        <w:t>I.</w:t>
      </w:r>
      <w:r w:rsidRPr="00904312">
        <w:tab/>
        <w:t xml:space="preserve">Activities of the </w:t>
      </w:r>
      <w:r>
        <w:t>m</w:t>
      </w:r>
      <w:r w:rsidRPr="00904312">
        <w:t>andate</w:t>
      </w:r>
      <w:r>
        <w:t xml:space="preserve"> holder</w:t>
      </w:r>
    </w:p>
    <w:p w14:paraId="4CC0214D" w14:textId="77777777" w:rsidR="00754E7C" w:rsidRDefault="0082031F" w:rsidP="0082031F">
      <w:pPr>
        <w:pStyle w:val="SingleTxtG"/>
      </w:pPr>
      <w:r w:rsidRPr="00904312">
        <w:rPr>
          <w:bCs/>
        </w:rPr>
        <w:t>1.</w:t>
      </w:r>
      <w:r w:rsidRPr="00904312">
        <w:rPr>
          <w:bCs/>
        </w:rPr>
        <w:tab/>
      </w:r>
      <w:r w:rsidRPr="00904312">
        <w:t xml:space="preserve">The Special Rapporteur on </w:t>
      </w:r>
      <w:r>
        <w:t>t</w:t>
      </w:r>
      <w:r w:rsidRPr="00904312">
        <w:t xml:space="preserve">orture and </w:t>
      </w:r>
      <w:r>
        <w:t>o</w:t>
      </w:r>
      <w:r w:rsidRPr="00904312">
        <w:t xml:space="preserve">ther </w:t>
      </w:r>
      <w:r>
        <w:t>c</w:t>
      </w:r>
      <w:r w:rsidRPr="00904312">
        <w:t xml:space="preserve">ruel, </w:t>
      </w:r>
      <w:r>
        <w:t>i</w:t>
      </w:r>
      <w:r w:rsidRPr="00904312">
        <w:t xml:space="preserve">nhuman or </w:t>
      </w:r>
      <w:r>
        <w:t>d</w:t>
      </w:r>
      <w:r w:rsidRPr="00904312">
        <w:t xml:space="preserve">egrading </w:t>
      </w:r>
      <w:r>
        <w:t>t</w:t>
      </w:r>
      <w:r w:rsidRPr="00904312">
        <w:t xml:space="preserve">reatment or </w:t>
      </w:r>
      <w:r>
        <w:t>p</w:t>
      </w:r>
      <w:r w:rsidRPr="00904312">
        <w:t xml:space="preserve">unishment, Alice Jill Edwards, undertook </w:t>
      </w:r>
      <w:proofErr w:type="gramStart"/>
      <w:r w:rsidRPr="00904312">
        <w:t>a number of</w:t>
      </w:r>
      <w:proofErr w:type="gramEnd"/>
      <w:r w:rsidRPr="00904312">
        <w:t xml:space="preserve"> notable activities during the period from 15 December 2023 to 31 December 2024.</w:t>
      </w:r>
      <w:r w:rsidRPr="00A81C62">
        <w:rPr>
          <w:rStyle w:val="FootnoteReference"/>
        </w:rPr>
        <w:footnoteReference w:id="3"/>
      </w:r>
    </w:p>
    <w:p w14:paraId="4C865682" w14:textId="77777777" w:rsidR="00754E7C" w:rsidRDefault="0082031F" w:rsidP="0082031F">
      <w:pPr>
        <w:pStyle w:val="SingleTxtG"/>
      </w:pPr>
      <w:r w:rsidRPr="00904312">
        <w:rPr>
          <w:bCs/>
        </w:rPr>
        <w:t>2.</w:t>
      </w:r>
      <w:r w:rsidRPr="00904312">
        <w:rPr>
          <w:bCs/>
        </w:rPr>
        <w:tab/>
      </w:r>
      <w:r w:rsidRPr="00904312">
        <w:t xml:space="preserve">She issued </w:t>
      </w:r>
      <w:r w:rsidRPr="008E5F0C">
        <w:t>80</w:t>
      </w:r>
      <w:r>
        <w:t xml:space="preserve"> </w:t>
      </w:r>
      <w:r w:rsidRPr="00904312">
        <w:t>communications to States and non-State actors and 50 press statements, either individually or jointly with other mandate holders.</w:t>
      </w:r>
      <w:r w:rsidRPr="00A81C62">
        <w:rPr>
          <w:rStyle w:val="FootnoteReference"/>
        </w:rPr>
        <w:footnoteReference w:id="4"/>
      </w:r>
      <w:r w:rsidRPr="00904312">
        <w:t xml:space="preserve"> Throughout</w:t>
      </w:r>
      <w:r>
        <w:t xml:space="preserve"> the period</w:t>
      </w:r>
      <w:r w:rsidRPr="00904312">
        <w:t xml:space="preserve">, she engaged with many </w:t>
      </w:r>
      <w:r>
        <w:t>G</w:t>
      </w:r>
      <w:r w:rsidRPr="00904312">
        <w:t>overnments and continued to push for action on allegations.</w:t>
      </w:r>
    </w:p>
    <w:p w14:paraId="31B40136" w14:textId="77777777" w:rsidR="00754E7C" w:rsidRDefault="0082031F" w:rsidP="0082031F">
      <w:pPr>
        <w:pStyle w:val="SingleTxtG"/>
      </w:pPr>
      <w:r w:rsidRPr="00904312">
        <w:rPr>
          <w:bCs/>
        </w:rPr>
        <w:t>3.</w:t>
      </w:r>
      <w:r w:rsidRPr="00904312">
        <w:rPr>
          <w:bCs/>
        </w:rPr>
        <w:tab/>
      </w:r>
      <w:r>
        <w:t>She sent out 39 requests for country visits, but none were accepted to take place during 2024. The Special Rapporteur is grateful to the States that have since sent her invitations and looks forward to restarting country visits in 2025. She thanks Switzerland for the provision of a Junior Professional Officer to support the mandate. The arrangement ended in October 2024.</w:t>
      </w:r>
    </w:p>
    <w:p w14:paraId="3566E923" w14:textId="77777777" w:rsidR="00754E7C" w:rsidRDefault="0082031F" w:rsidP="0082031F">
      <w:pPr>
        <w:pStyle w:val="SingleTxtG"/>
      </w:pPr>
      <w:r w:rsidRPr="00904312">
        <w:rPr>
          <w:bCs/>
        </w:rPr>
        <w:t>4.</w:t>
      </w:r>
      <w:r w:rsidRPr="00904312">
        <w:rPr>
          <w:bCs/>
        </w:rPr>
        <w:tab/>
      </w:r>
      <w:r w:rsidRPr="00904312">
        <w:t>The Special Rapporteur presented two thematic reports</w:t>
      </w:r>
      <w:r>
        <w:t xml:space="preserve"> during the reporting period,</w:t>
      </w:r>
      <w:r w:rsidRPr="00904312">
        <w:t xml:space="preserve"> on current issues and good practices in prison management</w:t>
      </w:r>
      <w:r w:rsidRPr="00A81C62">
        <w:rPr>
          <w:rStyle w:val="FootnoteReference"/>
        </w:rPr>
        <w:footnoteReference w:id="5"/>
      </w:r>
      <w:r w:rsidRPr="00904312">
        <w:t xml:space="preserve"> at the </w:t>
      </w:r>
      <w:r>
        <w:t>fifty-fifth</w:t>
      </w:r>
      <w:r w:rsidRPr="00904312">
        <w:t xml:space="preserve"> session of the Human Rights Council</w:t>
      </w:r>
      <w:r>
        <w:t>,</w:t>
      </w:r>
      <w:r w:rsidRPr="00904312">
        <w:t xml:space="preserve"> and on good practices and challenges in investigating, prosecuting and preventing wartime sexual torture, and providing rehabilitation for victims and survivors</w:t>
      </w:r>
      <w:r w:rsidRPr="00A81C62">
        <w:rPr>
          <w:rStyle w:val="FootnoteReference"/>
        </w:rPr>
        <w:footnoteReference w:id="6"/>
      </w:r>
      <w:r w:rsidRPr="00904312">
        <w:t xml:space="preserve"> to the Third Committee of the General Assembly</w:t>
      </w:r>
      <w:r>
        <w:t xml:space="preserve"> at its seventy-ninth session</w:t>
      </w:r>
      <w:r w:rsidRPr="00904312">
        <w:t>.</w:t>
      </w:r>
    </w:p>
    <w:p w14:paraId="5D7BB4C0" w14:textId="77777777" w:rsidR="00754E7C" w:rsidRDefault="0082031F" w:rsidP="0082031F">
      <w:pPr>
        <w:pStyle w:val="SingleTxtG"/>
      </w:pPr>
      <w:r w:rsidRPr="00904312">
        <w:rPr>
          <w:bCs/>
        </w:rPr>
        <w:t>5.</w:t>
      </w:r>
      <w:r w:rsidRPr="00904312">
        <w:rPr>
          <w:bCs/>
        </w:rPr>
        <w:tab/>
      </w:r>
      <w:r w:rsidRPr="00904312">
        <w:t>During the year, the Special Rapporteur undertook three study visits. The first, to D</w:t>
      </w:r>
      <w:r>
        <w:t>a</w:t>
      </w:r>
      <w:r w:rsidRPr="00904312">
        <w:t>h</w:t>
      </w:r>
      <w:r>
        <w:t>u</w:t>
      </w:r>
      <w:r w:rsidRPr="00904312">
        <w:t xml:space="preserve">k and Erbil in northern Iraq (June), explored the challenges and successes of implementing </w:t>
      </w:r>
      <w:r>
        <w:t>the</w:t>
      </w:r>
      <w:r w:rsidRPr="00904312">
        <w:t xml:space="preserve"> groundbreaking Yazidi Survivors Law for survivors of </w:t>
      </w:r>
      <w:r>
        <w:t>Da</w:t>
      </w:r>
      <w:r w:rsidR="006B49D7">
        <w:t>’</w:t>
      </w:r>
      <w:r>
        <w:t>esh</w:t>
      </w:r>
      <w:r w:rsidRPr="00904312">
        <w:t xml:space="preserve"> crimes. </w:t>
      </w:r>
      <w:r>
        <w:t>It</w:t>
      </w:r>
      <w:r w:rsidRPr="00904312">
        <w:t xml:space="preserve"> was organi</w:t>
      </w:r>
      <w:r>
        <w:t>z</w:t>
      </w:r>
      <w:r w:rsidRPr="00904312">
        <w:t>ed by the Coalition for Just Reparations and the Jiyan Foundation for Human Rights. She met with survivors and with the authorities in northern Iraq.</w:t>
      </w:r>
    </w:p>
    <w:p w14:paraId="2EE31261" w14:textId="77777777" w:rsidR="00754E7C" w:rsidRDefault="0082031F" w:rsidP="0082031F">
      <w:pPr>
        <w:pStyle w:val="SingleTxtG"/>
      </w:pPr>
      <w:r w:rsidRPr="00904312">
        <w:rPr>
          <w:bCs/>
        </w:rPr>
        <w:t>6.</w:t>
      </w:r>
      <w:r w:rsidRPr="00904312">
        <w:rPr>
          <w:bCs/>
        </w:rPr>
        <w:tab/>
      </w:r>
      <w:r w:rsidRPr="00904312">
        <w:t xml:space="preserve">In September, the Special Rapporteur </w:t>
      </w:r>
      <w:r>
        <w:t xml:space="preserve">met </w:t>
      </w:r>
      <w:r w:rsidRPr="00904312">
        <w:t xml:space="preserve">with victims and survivors of torture from 14 sub-Saharan African countries in Kenya at </w:t>
      </w:r>
      <w:r>
        <w:t xml:space="preserve">a three-day hearing </w:t>
      </w:r>
      <w:r w:rsidRPr="00904312">
        <w:t>organized by the International Rehabilitation Council for Torture Victims, the World Organi</w:t>
      </w:r>
      <w:r>
        <w:t>z</w:t>
      </w:r>
      <w:r w:rsidRPr="00904312">
        <w:t xml:space="preserve">ation Against Torture and the Independent Medico Legal Unit. The </w:t>
      </w:r>
      <w:r>
        <w:t xml:space="preserve">participating </w:t>
      </w:r>
      <w:r w:rsidRPr="00904312">
        <w:t>survivors issued the Nairobi Declaration, which she commends to States.</w:t>
      </w:r>
      <w:r w:rsidRPr="00A81C62">
        <w:rPr>
          <w:rStyle w:val="FootnoteReference"/>
        </w:rPr>
        <w:footnoteReference w:id="7"/>
      </w:r>
    </w:p>
    <w:p w14:paraId="65E939B7" w14:textId="77777777" w:rsidR="00754E7C" w:rsidRDefault="0082031F" w:rsidP="0082031F">
      <w:pPr>
        <w:pStyle w:val="SingleTxtG"/>
        <w:rPr>
          <w:lang w:val="en-CA"/>
        </w:rPr>
      </w:pPr>
      <w:r w:rsidRPr="00904312">
        <w:rPr>
          <w:bCs/>
          <w:lang w:val="en-CA"/>
        </w:rPr>
        <w:t>7.</w:t>
      </w:r>
      <w:r w:rsidRPr="00904312">
        <w:rPr>
          <w:bCs/>
          <w:lang w:val="en-CA"/>
        </w:rPr>
        <w:tab/>
      </w:r>
      <w:r w:rsidRPr="00904312">
        <w:rPr>
          <w:lang w:val="en-CA"/>
        </w:rPr>
        <w:t xml:space="preserve">In December, the Special Rapporteur traveled to Israel and Palestine (Ramallah) to meet authorities, Israeli former hostages and families of hostages, Palestinian victims of torture, academia and civil society </w:t>
      </w:r>
      <w:r w:rsidRPr="00904312">
        <w:t>organi</w:t>
      </w:r>
      <w:r>
        <w:t>z</w:t>
      </w:r>
      <w:r w:rsidRPr="00904312">
        <w:t>ations</w:t>
      </w:r>
      <w:r w:rsidRPr="00904312">
        <w:rPr>
          <w:lang w:val="en-CA"/>
        </w:rPr>
        <w:t xml:space="preserve">. </w:t>
      </w:r>
      <w:r>
        <w:rPr>
          <w:lang w:val="en-CA"/>
        </w:rPr>
        <w:t xml:space="preserve">Among other activities, she </w:t>
      </w:r>
      <w:r w:rsidRPr="00904312">
        <w:rPr>
          <w:lang w:val="en-CA"/>
        </w:rPr>
        <w:t xml:space="preserve">conducted site visits to </w:t>
      </w:r>
      <w:r w:rsidRPr="00904312">
        <w:t>locations</w:t>
      </w:r>
      <w:r w:rsidRPr="00904312">
        <w:rPr>
          <w:lang w:val="en-CA"/>
        </w:rPr>
        <w:t xml:space="preserve"> that were attacked on 7 October 2023.</w:t>
      </w:r>
    </w:p>
    <w:p w14:paraId="760FDC2B" w14:textId="5844E3EF" w:rsidR="0082031F" w:rsidRPr="00904312" w:rsidRDefault="0082031F" w:rsidP="0082031F">
      <w:pPr>
        <w:pStyle w:val="SingleTxtG"/>
      </w:pPr>
      <w:r w:rsidRPr="00904312">
        <w:rPr>
          <w:bCs/>
        </w:rPr>
        <w:t>8.</w:t>
      </w:r>
      <w:r w:rsidRPr="00904312">
        <w:rPr>
          <w:bCs/>
        </w:rPr>
        <w:tab/>
      </w:r>
      <w:r w:rsidRPr="00904312">
        <w:t xml:space="preserve">There was considerable public interest in the work of the mandate, with hundreds of media mentions in more than 70 States. She </w:t>
      </w:r>
      <w:r w:rsidRPr="00904312">
        <w:rPr>
          <w:lang w:val="en-CA"/>
        </w:rPr>
        <w:t>published</w:t>
      </w:r>
      <w:r w:rsidRPr="00904312">
        <w:t xml:space="preserve"> opinion pieces in </w:t>
      </w:r>
      <w:r w:rsidRPr="5E61D3E5">
        <w:rPr>
          <w:i/>
          <w:iCs/>
        </w:rPr>
        <w:t>Le Monde</w:t>
      </w:r>
      <w:r>
        <w:t>,</w:t>
      </w:r>
      <w:r w:rsidRPr="00A81C62">
        <w:rPr>
          <w:rStyle w:val="FootnoteReference"/>
        </w:rPr>
        <w:footnoteReference w:id="8"/>
      </w:r>
      <w:r w:rsidRPr="5E61D3E5">
        <w:rPr>
          <w:i/>
          <w:iCs/>
        </w:rPr>
        <w:t xml:space="preserve"> Foreign Policy</w:t>
      </w:r>
      <w:r w:rsidRPr="008F4301">
        <w:t>,</w:t>
      </w:r>
      <w:r w:rsidRPr="00A81C62">
        <w:rPr>
          <w:rStyle w:val="FootnoteReference"/>
        </w:rPr>
        <w:footnoteReference w:id="9"/>
      </w:r>
      <w:r w:rsidRPr="00904312">
        <w:t xml:space="preserve"> </w:t>
      </w:r>
      <w:r w:rsidRPr="5E61D3E5">
        <w:rPr>
          <w:i/>
          <w:iCs/>
        </w:rPr>
        <w:t>The Guardian</w:t>
      </w:r>
      <w:r w:rsidRPr="00A81C62">
        <w:rPr>
          <w:rStyle w:val="FootnoteReference"/>
        </w:rPr>
        <w:footnoteReference w:id="10"/>
      </w:r>
      <w:r w:rsidRPr="5E61D3E5">
        <w:rPr>
          <w:i/>
          <w:iCs/>
        </w:rPr>
        <w:t xml:space="preserve"> </w:t>
      </w:r>
      <w:r w:rsidRPr="00904312">
        <w:t xml:space="preserve">and </w:t>
      </w:r>
      <w:r w:rsidRPr="5E61D3E5">
        <w:rPr>
          <w:i/>
          <w:iCs/>
        </w:rPr>
        <w:t xml:space="preserve">The National </w:t>
      </w:r>
      <w:r w:rsidRPr="008F4301">
        <w:t>(U</w:t>
      </w:r>
      <w:r>
        <w:t xml:space="preserve">nited </w:t>
      </w:r>
      <w:r w:rsidRPr="008F4301">
        <w:t>A</w:t>
      </w:r>
      <w:r>
        <w:t xml:space="preserve">rab </w:t>
      </w:r>
      <w:r w:rsidRPr="008F4301">
        <w:t>E</w:t>
      </w:r>
      <w:r>
        <w:t>mirates</w:t>
      </w:r>
      <w:r w:rsidRPr="008F4301">
        <w:t>).</w:t>
      </w:r>
      <w:r w:rsidRPr="00A81C62">
        <w:rPr>
          <w:rStyle w:val="FootnoteReference"/>
        </w:rPr>
        <w:footnoteReference w:id="11"/>
      </w:r>
      <w:r w:rsidRPr="00904312">
        <w:t xml:space="preserve"> She was interviewed on multiple global news networks, in several podcasts</w:t>
      </w:r>
      <w:r w:rsidRPr="00A81C62">
        <w:rPr>
          <w:rStyle w:val="FootnoteReference"/>
        </w:rPr>
        <w:footnoteReference w:id="12"/>
      </w:r>
      <w:r w:rsidRPr="00904312">
        <w:t xml:space="preserve"> and was featured in a documentary</w:t>
      </w:r>
      <w:r>
        <w:t>.</w:t>
      </w:r>
      <w:r w:rsidRPr="00A81C62">
        <w:rPr>
          <w:rStyle w:val="FootnoteReference"/>
        </w:rPr>
        <w:footnoteReference w:id="13"/>
      </w:r>
    </w:p>
    <w:p w14:paraId="597E4ED6" w14:textId="5C9F04B8" w:rsidR="0082031F" w:rsidRPr="00904312" w:rsidRDefault="0082031F" w:rsidP="0082031F">
      <w:pPr>
        <w:pStyle w:val="SingleTxtG"/>
        <w:rPr>
          <w:lang w:val="en-CA"/>
        </w:rPr>
      </w:pPr>
      <w:r w:rsidRPr="00904312">
        <w:rPr>
          <w:bCs/>
          <w:lang w:val="en-CA"/>
        </w:rPr>
        <w:lastRenderedPageBreak/>
        <w:t>9.</w:t>
      </w:r>
      <w:r w:rsidRPr="00904312">
        <w:rPr>
          <w:bCs/>
          <w:lang w:val="en-CA"/>
        </w:rPr>
        <w:tab/>
      </w:r>
      <w:r w:rsidRPr="00904312">
        <w:rPr>
          <w:lang w:val="en-CA"/>
        </w:rPr>
        <w:t xml:space="preserve">The </w:t>
      </w:r>
      <w:r w:rsidRPr="00904312">
        <w:t>Special</w:t>
      </w:r>
      <w:r w:rsidRPr="00904312">
        <w:rPr>
          <w:lang w:val="en-CA"/>
        </w:rPr>
        <w:t xml:space="preserve"> Rapporteur</w:t>
      </w:r>
      <w:r w:rsidR="006B49D7">
        <w:rPr>
          <w:lang w:val="en-CA"/>
        </w:rPr>
        <w:t>’</w:t>
      </w:r>
      <w:r w:rsidRPr="00904312">
        <w:rPr>
          <w:lang w:val="en-CA"/>
        </w:rPr>
        <w:t>s major speaking engagements included:</w:t>
      </w:r>
    </w:p>
    <w:p w14:paraId="5DA35343" w14:textId="68F7C5D2" w:rsidR="0082031F" w:rsidRPr="00904312" w:rsidRDefault="00C56002" w:rsidP="00C56002">
      <w:pPr>
        <w:pStyle w:val="SingleTxtG"/>
      </w:pPr>
      <w:r>
        <w:tab/>
      </w:r>
      <w:r w:rsidR="0082031F" w:rsidRPr="00904312">
        <w:t>(a)</w:t>
      </w:r>
      <w:r w:rsidR="0082031F" w:rsidRPr="00904312">
        <w:tab/>
        <w:t xml:space="preserve">A speech at the </w:t>
      </w:r>
      <w:r w:rsidR="0082031F">
        <w:t>m</w:t>
      </w:r>
      <w:r w:rsidR="0082031F" w:rsidRPr="00904312">
        <w:t>eeting of the Committee of Ministers of the Council of Europe on key trends and challenges in torture prevention and response (February</w:t>
      </w:r>
      <w:proofErr w:type="gramStart"/>
      <w:r w:rsidR="0082031F" w:rsidRPr="00904312">
        <w:t>)</w:t>
      </w:r>
      <w:r w:rsidR="0082031F">
        <w:t>;</w:t>
      </w:r>
      <w:proofErr w:type="gramEnd"/>
    </w:p>
    <w:p w14:paraId="5DBE2447" w14:textId="43F06F97" w:rsidR="0082031F" w:rsidRPr="00904312" w:rsidRDefault="00C56002" w:rsidP="00C56002">
      <w:pPr>
        <w:pStyle w:val="SingleTxtG"/>
      </w:pPr>
      <w:r>
        <w:tab/>
      </w:r>
      <w:r w:rsidR="0082031F" w:rsidRPr="00904312">
        <w:t>(b)</w:t>
      </w:r>
      <w:r w:rsidR="0082031F" w:rsidRPr="00904312">
        <w:tab/>
        <w:t>A statement at a side-event</w:t>
      </w:r>
      <w:r w:rsidR="0082031F">
        <w:t xml:space="preserve"> during the fifty-fifth session of the Human Rights Council on the theme </w:t>
      </w:r>
      <w:r w:rsidR="006B49D7">
        <w:t>“</w:t>
      </w:r>
      <w:r w:rsidR="0082031F" w:rsidRPr="00904312">
        <w:t xml:space="preserve">Preventing </w:t>
      </w:r>
      <w:r w:rsidR="0082031F">
        <w:t>t</w:t>
      </w:r>
      <w:r w:rsidR="0082031F" w:rsidRPr="00904312">
        <w:t xml:space="preserve">orture in </w:t>
      </w:r>
      <w:r w:rsidR="0082031F">
        <w:t>p</w:t>
      </w:r>
      <w:r w:rsidR="0082031F" w:rsidRPr="00904312">
        <w:t xml:space="preserve">rison: </w:t>
      </w:r>
      <w:r w:rsidR="0082031F">
        <w:t>c</w:t>
      </w:r>
      <w:r w:rsidR="0082031F" w:rsidRPr="00904312">
        <w:t xml:space="preserve">urrent </w:t>
      </w:r>
      <w:r w:rsidR="0082031F">
        <w:t>i</w:t>
      </w:r>
      <w:r w:rsidR="0082031F" w:rsidRPr="00904312">
        <w:t xml:space="preserve">ssues and </w:t>
      </w:r>
      <w:r w:rsidR="0082031F">
        <w:t>g</w:t>
      </w:r>
      <w:r w:rsidR="0082031F" w:rsidRPr="00904312">
        <w:t xml:space="preserve">ood </w:t>
      </w:r>
      <w:r w:rsidR="0082031F">
        <w:t>p</w:t>
      </w:r>
      <w:r w:rsidR="0082031F" w:rsidRPr="00904312">
        <w:t xml:space="preserve">ractices in </w:t>
      </w:r>
      <w:r w:rsidR="0082031F">
        <w:t>p</w:t>
      </w:r>
      <w:r w:rsidR="0082031F" w:rsidRPr="00904312">
        <w:t xml:space="preserve">rison </w:t>
      </w:r>
      <w:r w:rsidR="0082031F">
        <w:t>m</w:t>
      </w:r>
      <w:r w:rsidR="0082031F" w:rsidRPr="00904312">
        <w:t>anagement</w:t>
      </w:r>
      <w:r w:rsidR="006B49D7">
        <w:t>”</w:t>
      </w:r>
      <w:r w:rsidR="0082031F">
        <w:t>,</w:t>
      </w:r>
      <w:r w:rsidR="0082031F" w:rsidRPr="00904312">
        <w:t xml:space="preserve"> organi</w:t>
      </w:r>
      <w:r w:rsidR="0082031F">
        <w:t>z</w:t>
      </w:r>
      <w:r w:rsidR="0082031F" w:rsidRPr="00904312">
        <w:t xml:space="preserve">ed by </w:t>
      </w:r>
      <w:r w:rsidR="0082031F" w:rsidRPr="00041F71">
        <w:t>the Danish Institute Against Torture</w:t>
      </w:r>
      <w:r w:rsidR="0082031F" w:rsidRPr="00904312">
        <w:t xml:space="preserve"> </w:t>
      </w:r>
      <w:r w:rsidR="0082031F" w:rsidRPr="00041F71">
        <w:t>(March</w:t>
      </w:r>
      <w:proofErr w:type="gramStart"/>
      <w:r w:rsidR="0082031F" w:rsidRPr="00041F71">
        <w:t>)</w:t>
      </w:r>
      <w:r w:rsidR="0082031F">
        <w:t>;</w:t>
      </w:r>
      <w:proofErr w:type="gramEnd"/>
    </w:p>
    <w:p w14:paraId="6282AA0F" w14:textId="12607E0D" w:rsidR="0082031F" w:rsidRPr="00904312" w:rsidRDefault="00C56002" w:rsidP="00C56002">
      <w:pPr>
        <w:pStyle w:val="SingleTxtG"/>
      </w:pPr>
      <w:r>
        <w:tab/>
      </w:r>
      <w:r w:rsidR="0082031F" w:rsidRPr="00904312">
        <w:t>(c)</w:t>
      </w:r>
      <w:r w:rsidR="0082031F" w:rsidRPr="00904312">
        <w:tab/>
        <w:t xml:space="preserve">A keynote address </w:t>
      </w:r>
      <w:r w:rsidR="0082031F">
        <w:t xml:space="preserve">on the theme </w:t>
      </w:r>
      <w:r w:rsidR="006B49D7">
        <w:t>“</w:t>
      </w:r>
      <w:r w:rsidR="0082031F" w:rsidRPr="00904312">
        <w:t xml:space="preserve">Repairing the </w:t>
      </w:r>
      <w:r w:rsidR="0082031F">
        <w:t>i</w:t>
      </w:r>
      <w:r w:rsidR="0082031F" w:rsidRPr="00904312">
        <w:t xml:space="preserve">rreparable: </w:t>
      </w:r>
      <w:r w:rsidR="0082031F">
        <w:t>r</w:t>
      </w:r>
      <w:r w:rsidR="0082031F" w:rsidRPr="00904312">
        <w:t xml:space="preserve">emedies, </w:t>
      </w:r>
      <w:r w:rsidR="0082031F">
        <w:t>r</w:t>
      </w:r>
      <w:r w:rsidR="0082031F" w:rsidRPr="00904312">
        <w:t xml:space="preserve">ehabilitation and </w:t>
      </w:r>
      <w:r w:rsidR="0082031F">
        <w:t>r</w:t>
      </w:r>
      <w:r w:rsidR="0082031F" w:rsidRPr="00904312">
        <w:t xml:space="preserve">eparations for </w:t>
      </w:r>
      <w:r w:rsidR="0082031F">
        <w:t>s</w:t>
      </w:r>
      <w:r w:rsidR="0082031F" w:rsidRPr="00904312">
        <w:t xml:space="preserve">urvivors, </w:t>
      </w:r>
      <w:r w:rsidR="0082031F">
        <w:t>f</w:t>
      </w:r>
      <w:r w:rsidR="0082031F" w:rsidRPr="00904312">
        <w:t xml:space="preserve">amilies and </w:t>
      </w:r>
      <w:r w:rsidR="0082031F">
        <w:t>c</w:t>
      </w:r>
      <w:r w:rsidR="0082031F" w:rsidRPr="00904312">
        <w:t xml:space="preserve">ommunities </w:t>
      </w:r>
      <w:r w:rsidR="0082031F">
        <w:t>i</w:t>
      </w:r>
      <w:r w:rsidR="0082031F" w:rsidRPr="00904312">
        <w:t xml:space="preserve">mpacted by </w:t>
      </w:r>
      <w:r w:rsidR="0082031F">
        <w:t>s</w:t>
      </w:r>
      <w:r w:rsidR="0082031F" w:rsidRPr="00904312">
        <w:t xml:space="preserve">exual </w:t>
      </w:r>
      <w:r w:rsidR="0082031F">
        <w:t>t</w:t>
      </w:r>
      <w:r w:rsidR="0082031F" w:rsidRPr="00904312">
        <w:t xml:space="preserve">orture in </w:t>
      </w:r>
      <w:r w:rsidR="0082031F">
        <w:t>a</w:t>
      </w:r>
      <w:r w:rsidR="0082031F" w:rsidRPr="00904312">
        <w:t xml:space="preserve">rmed </w:t>
      </w:r>
      <w:r w:rsidR="0082031F">
        <w:t>c</w:t>
      </w:r>
      <w:r w:rsidR="0082031F" w:rsidRPr="00904312">
        <w:t>onflict,</w:t>
      </w:r>
      <w:r w:rsidR="006B49D7">
        <w:t>”</w:t>
      </w:r>
      <w:r w:rsidR="00F9316B">
        <w:t xml:space="preserve"> </w:t>
      </w:r>
      <w:r w:rsidR="0082031F">
        <w:t xml:space="preserve">at an event </w:t>
      </w:r>
      <w:r w:rsidR="0082031F" w:rsidRPr="00904312">
        <w:t>organi</w:t>
      </w:r>
      <w:r w:rsidR="0082031F">
        <w:t>z</w:t>
      </w:r>
      <w:r w:rsidR="0082031F" w:rsidRPr="00904312">
        <w:t xml:space="preserve">ed by the Coalition for Just Reparations </w:t>
      </w:r>
      <w:r w:rsidR="0082031F" w:rsidRPr="00041F71">
        <w:t>in Erbil</w:t>
      </w:r>
      <w:r w:rsidR="0082031F" w:rsidRPr="00904312">
        <w:t xml:space="preserve"> </w:t>
      </w:r>
      <w:r w:rsidR="0082031F" w:rsidRPr="00041F71">
        <w:t>(June</w:t>
      </w:r>
      <w:proofErr w:type="gramStart"/>
      <w:r w:rsidR="0082031F" w:rsidRPr="00041F71">
        <w:t>)</w:t>
      </w:r>
      <w:r w:rsidR="0082031F">
        <w:t>;</w:t>
      </w:r>
      <w:proofErr w:type="gramEnd"/>
    </w:p>
    <w:p w14:paraId="49C2DB5D" w14:textId="043870C1" w:rsidR="0082031F" w:rsidRPr="00904312" w:rsidRDefault="00C56002" w:rsidP="00C56002">
      <w:pPr>
        <w:pStyle w:val="SingleTxtG"/>
      </w:pPr>
      <w:r>
        <w:tab/>
      </w:r>
      <w:r w:rsidR="0082031F" w:rsidRPr="00904312">
        <w:t>(d)</w:t>
      </w:r>
      <w:r w:rsidR="0082031F" w:rsidRPr="00904312">
        <w:tab/>
        <w:t xml:space="preserve">A presentation at the </w:t>
      </w:r>
      <w:r w:rsidR="0082031F">
        <w:t xml:space="preserve">forty-seventh </w:t>
      </w:r>
      <w:r w:rsidR="0082031F" w:rsidRPr="00904312">
        <w:t>Round Table on Current Issues of International Humanitarian Law that provided insights on contemporary challenges and protections in sexual torture in armed conflict. Held in Sanremo, Italy</w:t>
      </w:r>
      <w:r w:rsidR="0082031F">
        <w:t>,</w:t>
      </w:r>
      <w:r w:rsidR="0082031F" w:rsidRPr="00904312" w:rsidDel="001E491A">
        <w:t xml:space="preserve"> </w:t>
      </w:r>
      <w:r w:rsidR="0082031F" w:rsidRPr="00904312">
        <w:t>this event was organized by the International Institute of Humanitarian Law and the International Committee of the Red Cross</w:t>
      </w:r>
      <w:r w:rsidR="0082031F">
        <w:t xml:space="preserve"> (ICRC)</w:t>
      </w:r>
      <w:r w:rsidR="0082031F" w:rsidRPr="00904312">
        <w:t xml:space="preserve"> (September</w:t>
      </w:r>
      <w:proofErr w:type="gramStart"/>
      <w:r w:rsidR="0082031F" w:rsidRPr="00904312">
        <w:t>)</w:t>
      </w:r>
      <w:r w:rsidR="0082031F">
        <w:t>;</w:t>
      </w:r>
      <w:proofErr w:type="gramEnd"/>
    </w:p>
    <w:p w14:paraId="5366576D" w14:textId="7B568349" w:rsidR="0082031F" w:rsidRPr="00904312" w:rsidRDefault="00C56002" w:rsidP="00C56002">
      <w:pPr>
        <w:pStyle w:val="SingleTxtG"/>
      </w:pPr>
      <w:r>
        <w:tab/>
      </w:r>
      <w:r w:rsidR="0082031F" w:rsidRPr="00904312">
        <w:t>(e)</w:t>
      </w:r>
      <w:r w:rsidR="0082031F" w:rsidRPr="00904312">
        <w:tab/>
        <w:t xml:space="preserve">An address at an event hosted by the </w:t>
      </w:r>
      <w:r w:rsidR="0082031F">
        <w:t>Permanent</w:t>
      </w:r>
      <w:r w:rsidR="0082031F" w:rsidRPr="00904312">
        <w:t xml:space="preserve"> Mission </w:t>
      </w:r>
      <w:r w:rsidR="0082031F">
        <w:t xml:space="preserve">of Germany </w:t>
      </w:r>
      <w:r w:rsidR="0082031F" w:rsidRPr="00904312">
        <w:t xml:space="preserve">to the United Nations and the Office of the Special Representative of the Secretary-General on Conflict-Related Sexual Violence </w:t>
      </w:r>
      <w:r w:rsidR="0082031F">
        <w:t xml:space="preserve">on the theme </w:t>
      </w:r>
      <w:r w:rsidR="006B49D7">
        <w:t>“</w:t>
      </w:r>
      <w:r w:rsidR="0082031F" w:rsidRPr="00904312">
        <w:t xml:space="preserve">15 </w:t>
      </w:r>
      <w:r w:rsidR="0082031F">
        <w:t>y</w:t>
      </w:r>
      <w:r w:rsidR="0082031F" w:rsidRPr="00904312">
        <w:t xml:space="preserve">ears of </w:t>
      </w:r>
      <w:r w:rsidR="0082031F">
        <w:t>a</w:t>
      </w:r>
      <w:r w:rsidR="0082031F" w:rsidRPr="00904312">
        <w:t xml:space="preserve">dvancing </w:t>
      </w:r>
      <w:r w:rsidR="0082031F">
        <w:t>a</w:t>
      </w:r>
      <w:r w:rsidR="0082031F" w:rsidRPr="00904312">
        <w:t xml:space="preserve">ccountability for </w:t>
      </w:r>
      <w:r w:rsidR="0082031F">
        <w:t>s</w:t>
      </w:r>
      <w:r w:rsidR="0082031F" w:rsidRPr="00904312">
        <w:t xml:space="preserve">exual </w:t>
      </w:r>
      <w:r w:rsidR="0082031F">
        <w:t>v</w:t>
      </w:r>
      <w:r w:rsidR="0082031F" w:rsidRPr="00904312">
        <w:t xml:space="preserve">iolence in </w:t>
      </w:r>
      <w:r w:rsidR="0082031F">
        <w:t>c</w:t>
      </w:r>
      <w:r w:rsidR="0082031F" w:rsidRPr="00904312">
        <w:t xml:space="preserve">onflict: </w:t>
      </w:r>
      <w:r w:rsidR="0082031F">
        <w:t>p</w:t>
      </w:r>
      <w:r w:rsidR="0082031F" w:rsidRPr="00904312">
        <w:t xml:space="preserve">rosecuting </w:t>
      </w:r>
      <w:r w:rsidR="0082031F">
        <w:t>c</w:t>
      </w:r>
      <w:r w:rsidR="0082031F" w:rsidRPr="00904312">
        <w:t>onflict-</w:t>
      </w:r>
      <w:r w:rsidR="0082031F">
        <w:t>r</w:t>
      </w:r>
      <w:r w:rsidR="0082031F" w:rsidRPr="00904312">
        <w:t xml:space="preserve">elated </w:t>
      </w:r>
      <w:r w:rsidR="0082031F">
        <w:t>s</w:t>
      </w:r>
      <w:r w:rsidR="0082031F" w:rsidRPr="00904312">
        <w:t xml:space="preserve">exual </w:t>
      </w:r>
      <w:r w:rsidR="0082031F">
        <w:t>v</w:t>
      </w:r>
      <w:r w:rsidR="0082031F" w:rsidRPr="00904312">
        <w:t xml:space="preserve">iolence as </w:t>
      </w:r>
      <w:r w:rsidR="0082031F">
        <w:t>i</w:t>
      </w:r>
      <w:r w:rsidR="0082031F" w:rsidRPr="00904312">
        <w:t xml:space="preserve">nternational </w:t>
      </w:r>
      <w:r w:rsidR="0082031F">
        <w:t>c</w:t>
      </w:r>
      <w:r w:rsidR="0082031F" w:rsidRPr="00904312">
        <w:t xml:space="preserve">rimes under </w:t>
      </w:r>
      <w:r w:rsidR="0082031F">
        <w:t>u</w:t>
      </w:r>
      <w:r w:rsidR="0082031F" w:rsidRPr="00904312">
        <w:t xml:space="preserve">niversal </w:t>
      </w:r>
      <w:r w:rsidR="0082031F">
        <w:t>j</w:t>
      </w:r>
      <w:r w:rsidR="0082031F" w:rsidRPr="00904312">
        <w:t xml:space="preserve">urisdiction – the </w:t>
      </w:r>
      <w:r w:rsidR="0082031F">
        <w:t>c</w:t>
      </w:r>
      <w:r w:rsidR="0082031F" w:rsidRPr="00904312">
        <w:t>ase of Al-Khatib</w:t>
      </w:r>
      <w:r w:rsidR="006B49D7">
        <w:t>”</w:t>
      </w:r>
      <w:r w:rsidR="0082031F" w:rsidRPr="00904312">
        <w:t>, in New York</w:t>
      </w:r>
      <w:r w:rsidR="0082031F" w:rsidRPr="00041F71">
        <w:t xml:space="preserve"> (</w:t>
      </w:r>
      <w:r w:rsidR="0082031F" w:rsidRPr="00904312">
        <w:t>October</w:t>
      </w:r>
      <w:proofErr w:type="gramStart"/>
      <w:r w:rsidR="0082031F" w:rsidRPr="00904312">
        <w:t>)</w:t>
      </w:r>
      <w:r w:rsidR="0082031F">
        <w:t>;</w:t>
      </w:r>
      <w:proofErr w:type="gramEnd"/>
    </w:p>
    <w:p w14:paraId="1834C5DE" w14:textId="2F5282C2" w:rsidR="0082031F" w:rsidRPr="00904312" w:rsidRDefault="00C56002" w:rsidP="00C56002">
      <w:pPr>
        <w:pStyle w:val="SingleTxtG"/>
      </w:pPr>
      <w:r>
        <w:tab/>
      </w:r>
      <w:r w:rsidR="0082031F" w:rsidRPr="00904312">
        <w:t>(f)</w:t>
      </w:r>
      <w:r w:rsidR="0082031F" w:rsidRPr="00904312">
        <w:tab/>
      </w:r>
      <w:r w:rsidR="0082031F">
        <w:t>A presentation</w:t>
      </w:r>
      <w:r w:rsidR="0082031F" w:rsidRPr="00904312">
        <w:t xml:space="preserve"> at the Council on Foreign Relations in New York about preventing and responding to </w:t>
      </w:r>
      <w:r w:rsidR="0082031F">
        <w:t xml:space="preserve">wartime </w:t>
      </w:r>
      <w:r w:rsidR="0082031F" w:rsidRPr="00904312">
        <w:t>sexual torture (October</w:t>
      </w:r>
      <w:proofErr w:type="gramStart"/>
      <w:r w:rsidR="0082031F" w:rsidRPr="00904312">
        <w:t>)</w:t>
      </w:r>
      <w:r w:rsidR="0082031F">
        <w:t>;</w:t>
      </w:r>
      <w:proofErr w:type="gramEnd"/>
    </w:p>
    <w:p w14:paraId="3B97A440" w14:textId="5E821341" w:rsidR="0082031F" w:rsidRPr="00904312" w:rsidRDefault="00C56002" w:rsidP="00C56002">
      <w:pPr>
        <w:pStyle w:val="SingleTxtG"/>
      </w:pPr>
      <w:r>
        <w:tab/>
      </w:r>
      <w:r w:rsidR="0082031F" w:rsidRPr="00904312">
        <w:t>(g)</w:t>
      </w:r>
      <w:r w:rsidR="0082031F" w:rsidRPr="00904312">
        <w:tab/>
        <w:t xml:space="preserve">Opening remarks at </w:t>
      </w:r>
      <w:r w:rsidR="0082031F">
        <w:t xml:space="preserve">an event on the theme </w:t>
      </w:r>
      <w:r w:rsidR="006B49D7">
        <w:t>“</w:t>
      </w:r>
      <w:r w:rsidR="0082031F" w:rsidRPr="00904312">
        <w:t xml:space="preserve">25 </w:t>
      </w:r>
      <w:r w:rsidR="0082031F">
        <w:t>y</w:t>
      </w:r>
      <w:r w:rsidR="0082031F" w:rsidRPr="00904312">
        <w:t xml:space="preserve">ears of </w:t>
      </w:r>
      <w:r w:rsidR="0082031F">
        <w:t>i</w:t>
      </w:r>
      <w:r w:rsidR="0082031F" w:rsidRPr="00904312">
        <w:t xml:space="preserve">mplementation of the Convention </w:t>
      </w:r>
      <w:r w:rsidR="0082031F">
        <w:t>a</w:t>
      </w:r>
      <w:r w:rsidR="0082031F" w:rsidRPr="00904312">
        <w:t>gainst Torture</w:t>
      </w:r>
      <w:r w:rsidR="006B49D7">
        <w:t>”</w:t>
      </w:r>
      <w:r w:rsidR="00F9316B">
        <w:t xml:space="preserve"> </w:t>
      </w:r>
      <w:r w:rsidR="0082031F" w:rsidRPr="00904312">
        <w:t>in Indonesia, organized by Komnas Perempuan (October</w:t>
      </w:r>
      <w:proofErr w:type="gramStart"/>
      <w:r w:rsidR="0082031F" w:rsidRPr="00904312">
        <w:t>)</w:t>
      </w:r>
      <w:r w:rsidR="0082031F">
        <w:t>;</w:t>
      </w:r>
      <w:proofErr w:type="gramEnd"/>
    </w:p>
    <w:p w14:paraId="4384F37B" w14:textId="134DA685" w:rsidR="0082031F" w:rsidRPr="00904312" w:rsidRDefault="00C56002" w:rsidP="00C56002">
      <w:pPr>
        <w:pStyle w:val="SingleTxtG"/>
      </w:pPr>
      <w:r>
        <w:tab/>
      </w:r>
      <w:r w:rsidR="0082031F" w:rsidRPr="00904312">
        <w:t>(h)</w:t>
      </w:r>
      <w:r w:rsidR="0082031F" w:rsidRPr="00904312">
        <w:tab/>
        <w:t>As an official guest at the Ministerial Conference on the Human Dimension of Ukraine</w:t>
      </w:r>
      <w:r w:rsidR="006B49D7">
        <w:t>’</w:t>
      </w:r>
      <w:r w:rsidR="0082031F" w:rsidRPr="00904312">
        <w:t>s 10-Point Peace Formula, co-organized by Canada, Norway and Ukraine, in Montr</w:t>
      </w:r>
      <w:r w:rsidR="0082031F">
        <w:t>e</w:t>
      </w:r>
      <w:r w:rsidR="0082031F" w:rsidRPr="00904312">
        <w:t>al, Canada</w:t>
      </w:r>
      <w:r w:rsidR="0082031F">
        <w:t>, a</w:t>
      </w:r>
      <w:r w:rsidR="0082031F" w:rsidRPr="00904312">
        <w:t xml:space="preserve"> presentation on the humane treatment of civilians and prisoners of war (October</w:t>
      </w:r>
      <w:proofErr w:type="gramStart"/>
      <w:r w:rsidR="0082031F" w:rsidRPr="00904312">
        <w:t>)</w:t>
      </w:r>
      <w:r w:rsidR="0082031F">
        <w:t>;</w:t>
      </w:r>
      <w:proofErr w:type="gramEnd"/>
    </w:p>
    <w:p w14:paraId="5E7D936B" w14:textId="1366E896" w:rsidR="0082031F" w:rsidRPr="00904312" w:rsidRDefault="00C56002" w:rsidP="00C56002">
      <w:pPr>
        <w:pStyle w:val="SingleTxtG"/>
      </w:pPr>
      <w:r>
        <w:tab/>
      </w:r>
      <w:r w:rsidR="0082031F" w:rsidRPr="00904312">
        <w:t>(i)</w:t>
      </w:r>
      <w:r w:rsidR="0082031F" w:rsidRPr="00904312">
        <w:tab/>
        <w:t xml:space="preserve">Opening and closing remarks at the webinar series </w:t>
      </w:r>
      <w:r w:rsidR="0082031F">
        <w:t xml:space="preserve">of the International Rehabilitation Council for Torture Victims </w:t>
      </w:r>
      <w:r w:rsidR="0082031F" w:rsidRPr="00904312">
        <w:t>focusing on her report on sexual torture, which gathered approximately 400 civil society participants (September and October</w:t>
      </w:r>
      <w:proofErr w:type="gramStart"/>
      <w:r w:rsidR="0082031F" w:rsidRPr="00904312">
        <w:t>)</w:t>
      </w:r>
      <w:r w:rsidR="0082031F">
        <w:t>;</w:t>
      </w:r>
      <w:proofErr w:type="gramEnd"/>
    </w:p>
    <w:p w14:paraId="128D52A1" w14:textId="6DF576F1" w:rsidR="0082031F" w:rsidRPr="00904312" w:rsidRDefault="00C56002" w:rsidP="00C56002">
      <w:pPr>
        <w:pStyle w:val="SingleTxtG"/>
      </w:pPr>
      <w:r>
        <w:tab/>
      </w:r>
      <w:r w:rsidR="0082031F" w:rsidRPr="00904312">
        <w:t>(j)</w:t>
      </w:r>
      <w:r w:rsidR="0082031F" w:rsidRPr="00904312">
        <w:tab/>
        <w:t xml:space="preserve">Addresses at </w:t>
      </w:r>
      <w:r w:rsidR="0082031F">
        <w:t>two</w:t>
      </w:r>
      <w:r w:rsidR="0082031F" w:rsidRPr="00904312">
        <w:t xml:space="preserve"> </w:t>
      </w:r>
      <w:r w:rsidR="0082031F">
        <w:t>events marking the fortieth</w:t>
      </w:r>
      <w:r w:rsidR="0082031F" w:rsidRPr="00904312">
        <w:t xml:space="preserve"> </w:t>
      </w:r>
      <w:r w:rsidR="0082031F">
        <w:t>a</w:t>
      </w:r>
      <w:r w:rsidR="0082031F" w:rsidRPr="00904312">
        <w:t>nniversary of the Convention against Torture</w:t>
      </w:r>
      <w:r w:rsidR="0082031F">
        <w:t xml:space="preserve"> and Other Cruel, Inhuman or Degrading Treatment or Punishment, organized by the Committee against Torture and the Convention against Torture Initiative, respectively,</w:t>
      </w:r>
      <w:r w:rsidR="0082031F" w:rsidRPr="00904312">
        <w:t xml:space="preserve"> in Geneva</w:t>
      </w:r>
      <w:r w:rsidR="0082031F">
        <w:t>. She also spoke at</w:t>
      </w:r>
      <w:r w:rsidR="0082031F" w:rsidRPr="00904312">
        <w:t xml:space="preserve"> </w:t>
      </w:r>
      <w:r w:rsidR="0082031F">
        <w:t>an event of the</w:t>
      </w:r>
      <w:r w:rsidR="0082031F" w:rsidRPr="00904312">
        <w:t xml:space="preserve"> Working Group on Arbitrary Detention commemorating 100 sessions (November</w:t>
      </w:r>
      <w:proofErr w:type="gramStart"/>
      <w:r w:rsidR="0082031F" w:rsidRPr="00904312">
        <w:t>)</w:t>
      </w:r>
      <w:r w:rsidR="0082031F">
        <w:t>;</w:t>
      </w:r>
      <w:proofErr w:type="gramEnd"/>
    </w:p>
    <w:p w14:paraId="52A7AD66" w14:textId="09C9B932" w:rsidR="0082031F" w:rsidRPr="00904312" w:rsidRDefault="00C56002" w:rsidP="00C56002">
      <w:pPr>
        <w:pStyle w:val="SingleTxtG"/>
      </w:pPr>
      <w:r>
        <w:tab/>
      </w:r>
      <w:r w:rsidR="0082031F" w:rsidRPr="00904312">
        <w:t>(k)</w:t>
      </w:r>
      <w:r w:rsidR="0082031F" w:rsidRPr="00904312">
        <w:tab/>
        <w:t xml:space="preserve">A presentation at a Council of Europe workshop on </w:t>
      </w:r>
      <w:r w:rsidR="0082031F">
        <w:t xml:space="preserve">the theme </w:t>
      </w:r>
      <w:r w:rsidR="006B49D7">
        <w:t>“</w:t>
      </w:r>
      <w:r w:rsidR="0082031F" w:rsidRPr="00904312">
        <w:t xml:space="preserve">Strengthening </w:t>
      </w:r>
      <w:r w:rsidR="0082031F">
        <w:t>m</w:t>
      </w:r>
      <w:r w:rsidR="0082031F" w:rsidRPr="00904312">
        <w:t xml:space="preserve">ultilateral </w:t>
      </w:r>
      <w:r w:rsidR="0082031F">
        <w:t>e</w:t>
      </w:r>
      <w:r w:rsidR="0082031F" w:rsidRPr="00904312">
        <w:t xml:space="preserve">fforts to </w:t>
      </w:r>
      <w:r w:rsidR="0082031F">
        <w:t>c</w:t>
      </w:r>
      <w:r w:rsidR="0082031F" w:rsidRPr="00904312">
        <w:t xml:space="preserve">urb </w:t>
      </w:r>
      <w:r w:rsidR="0082031F">
        <w:t>t</w:t>
      </w:r>
      <w:r w:rsidR="0082031F" w:rsidRPr="00904312">
        <w:t xml:space="preserve">rade in </w:t>
      </w:r>
      <w:r w:rsidR="0082031F">
        <w:t>t</w:t>
      </w:r>
      <w:r w:rsidR="0082031F" w:rsidRPr="00904312">
        <w:t xml:space="preserve">orture and </w:t>
      </w:r>
      <w:r w:rsidR="0082031F">
        <w:t>d</w:t>
      </w:r>
      <w:r w:rsidR="0082031F" w:rsidRPr="00904312">
        <w:t xml:space="preserve">eath </w:t>
      </w:r>
      <w:r w:rsidR="0082031F">
        <w:t>p</w:t>
      </w:r>
      <w:r w:rsidR="0082031F" w:rsidRPr="00904312">
        <w:t xml:space="preserve">enalty </w:t>
      </w:r>
      <w:r w:rsidR="0082031F">
        <w:t>g</w:t>
      </w:r>
      <w:r w:rsidR="0082031F" w:rsidRPr="00904312">
        <w:t>oods</w:t>
      </w:r>
      <w:r w:rsidR="006B49D7">
        <w:t>”</w:t>
      </w:r>
      <w:r w:rsidR="0082031F" w:rsidRPr="00904312">
        <w:t xml:space="preserve"> (November) and a presentation at </w:t>
      </w:r>
      <w:r w:rsidR="0082031F">
        <w:t>a</w:t>
      </w:r>
      <w:r w:rsidR="0082031F" w:rsidRPr="00904312">
        <w:t xml:space="preserve"> meeting of the Torture-Free Trade Network</w:t>
      </w:r>
      <w:r w:rsidR="0082031F">
        <w:t xml:space="preserve"> of non-governmental organizations</w:t>
      </w:r>
      <w:r w:rsidR="0082031F" w:rsidRPr="00904312">
        <w:t xml:space="preserve"> (December</w:t>
      </w:r>
      <w:proofErr w:type="gramStart"/>
      <w:r w:rsidR="0082031F" w:rsidRPr="00904312">
        <w:t>)</w:t>
      </w:r>
      <w:r w:rsidR="0082031F">
        <w:t>;</w:t>
      </w:r>
      <w:proofErr w:type="gramEnd"/>
    </w:p>
    <w:p w14:paraId="05B403C4" w14:textId="072A5ABC" w:rsidR="0082031F" w:rsidRPr="00904312" w:rsidRDefault="00C56002" w:rsidP="00C56002">
      <w:pPr>
        <w:pStyle w:val="SingleTxtG"/>
      </w:pPr>
      <w:r>
        <w:tab/>
      </w:r>
      <w:r w:rsidR="0082031F" w:rsidRPr="00904312">
        <w:t>(l)</w:t>
      </w:r>
      <w:r w:rsidR="0082031F" w:rsidRPr="00904312">
        <w:tab/>
        <w:t>The keynote address to launch the Hebrew version of the</w:t>
      </w:r>
      <w:r w:rsidR="00855602">
        <w:t xml:space="preserve"> </w:t>
      </w:r>
      <w:r w:rsidR="0082031F">
        <w:t>Manual</w:t>
      </w:r>
      <w:r w:rsidR="0082031F" w:rsidRPr="00904312">
        <w:t xml:space="preserve"> on the Effective Investigation</w:t>
      </w:r>
      <w:r w:rsidR="0082031F">
        <w:t xml:space="preserve"> and Documentation</w:t>
      </w:r>
      <w:r w:rsidR="0082031F" w:rsidRPr="00904312">
        <w:t xml:space="preserve"> of Torture </w:t>
      </w:r>
      <w:r w:rsidR="0082031F">
        <w:t xml:space="preserve">and Other Cruel, Inhuman or Degrading Treatment or Punishment (Istanbul Protocol) </w:t>
      </w:r>
      <w:r w:rsidR="0082031F" w:rsidRPr="00041F71">
        <w:t>at an event organized by the Public Committee Against Torture in Israel</w:t>
      </w:r>
      <w:r w:rsidR="0082031F" w:rsidRPr="00904312">
        <w:t xml:space="preserve"> (December</w:t>
      </w:r>
      <w:proofErr w:type="gramStart"/>
      <w:r w:rsidR="0082031F" w:rsidRPr="00904312">
        <w:t>)</w:t>
      </w:r>
      <w:r w:rsidR="0082031F">
        <w:t>;</w:t>
      </w:r>
      <w:proofErr w:type="gramEnd"/>
    </w:p>
    <w:p w14:paraId="66012448" w14:textId="2525FCC3" w:rsidR="0082031F" w:rsidRPr="00904312" w:rsidRDefault="00C56002" w:rsidP="00C56002">
      <w:pPr>
        <w:pStyle w:val="SingleTxtG"/>
      </w:pPr>
      <w:r>
        <w:tab/>
      </w:r>
      <w:r w:rsidR="0082031F" w:rsidRPr="00904312">
        <w:t>(m)</w:t>
      </w:r>
      <w:r w:rsidR="0082031F" w:rsidRPr="00904312">
        <w:tab/>
        <w:t>Closing remarks at an academic conference</w:t>
      </w:r>
      <w:r w:rsidR="0082031F">
        <w:t xml:space="preserve"> on the theme </w:t>
      </w:r>
      <w:r w:rsidR="006B49D7">
        <w:t>“</w:t>
      </w:r>
      <w:r w:rsidR="0082031F" w:rsidRPr="00904312">
        <w:t xml:space="preserve">From </w:t>
      </w:r>
      <w:r w:rsidR="0082031F">
        <w:t>h</w:t>
      </w:r>
      <w:r w:rsidR="0082031F" w:rsidRPr="00904312">
        <w:t xml:space="preserve">opelessness to </w:t>
      </w:r>
      <w:r w:rsidR="0082031F">
        <w:t>h</w:t>
      </w:r>
      <w:r w:rsidR="0082031F" w:rsidRPr="00904312">
        <w:t xml:space="preserve">opefulness: </w:t>
      </w:r>
      <w:r w:rsidR="0082031F">
        <w:t>s</w:t>
      </w:r>
      <w:r w:rsidR="0082031F" w:rsidRPr="00904312">
        <w:t xml:space="preserve">trengthening </w:t>
      </w:r>
      <w:r w:rsidR="0082031F">
        <w:t>c</w:t>
      </w:r>
      <w:r w:rsidR="0082031F" w:rsidRPr="00904312">
        <w:t>hildren</w:t>
      </w:r>
      <w:r w:rsidR="006B49D7">
        <w:t>’</w:t>
      </w:r>
      <w:r w:rsidR="0082031F" w:rsidRPr="00904312">
        <w:t xml:space="preserve">s </w:t>
      </w:r>
      <w:r w:rsidR="0082031F">
        <w:t>r</w:t>
      </w:r>
      <w:r w:rsidR="0082031F" w:rsidRPr="00904312">
        <w:t xml:space="preserve">ights and </w:t>
      </w:r>
      <w:r w:rsidR="0082031F">
        <w:t>w</w:t>
      </w:r>
      <w:r w:rsidR="0082031F" w:rsidRPr="00904312">
        <w:t xml:space="preserve">ell-being </w:t>
      </w:r>
      <w:r w:rsidR="0082031F">
        <w:t>d</w:t>
      </w:r>
      <w:r w:rsidR="0082031F" w:rsidRPr="00904312">
        <w:t xml:space="preserve">uring and </w:t>
      </w:r>
      <w:r w:rsidR="0082031F">
        <w:t>a</w:t>
      </w:r>
      <w:r w:rsidR="0082031F" w:rsidRPr="00904312">
        <w:t xml:space="preserve">fter </w:t>
      </w:r>
      <w:r w:rsidR="0082031F">
        <w:t>c</w:t>
      </w:r>
      <w:r w:rsidR="0082031F" w:rsidRPr="00904312">
        <w:t>risis</w:t>
      </w:r>
      <w:r w:rsidR="006B49D7">
        <w:t>”</w:t>
      </w:r>
      <w:r w:rsidR="0082031F" w:rsidRPr="00904312">
        <w:t xml:space="preserve"> at </w:t>
      </w:r>
      <w:r w:rsidR="0082031F">
        <w:t xml:space="preserve">the </w:t>
      </w:r>
      <w:r w:rsidR="0082031F" w:rsidRPr="00904312">
        <w:t>Hebrew University in Jerusalem, Israel (December</w:t>
      </w:r>
      <w:proofErr w:type="gramStart"/>
      <w:r w:rsidR="0082031F" w:rsidRPr="00904312">
        <w:t>)</w:t>
      </w:r>
      <w:r w:rsidR="0082031F">
        <w:t>;</w:t>
      </w:r>
      <w:proofErr w:type="gramEnd"/>
    </w:p>
    <w:p w14:paraId="54D9D331" w14:textId="67A49FB9" w:rsidR="0082031F" w:rsidRPr="00041F71" w:rsidRDefault="00C56002" w:rsidP="00C56002">
      <w:pPr>
        <w:pStyle w:val="SingleTxtG"/>
      </w:pPr>
      <w:r>
        <w:tab/>
      </w:r>
      <w:r w:rsidR="0082031F" w:rsidRPr="00041F71">
        <w:t>(n)</w:t>
      </w:r>
      <w:r w:rsidR="0082031F" w:rsidRPr="00041F71">
        <w:tab/>
      </w:r>
      <w:r w:rsidR="0082031F" w:rsidRPr="00904312">
        <w:t>Exchanges at a round</w:t>
      </w:r>
      <w:r w:rsidR="0082031F">
        <w:t xml:space="preserve"> </w:t>
      </w:r>
      <w:r w:rsidR="0082031F" w:rsidRPr="00904312">
        <w:t xml:space="preserve">table with academics, experts and government authorities on how the legal framework prohibiting </w:t>
      </w:r>
      <w:r w:rsidR="0082031F">
        <w:t xml:space="preserve">sexual </w:t>
      </w:r>
      <w:r w:rsidR="0082031F" w:rsidRPr="00904312">
        <w:t xml:space="preserve">torture </w:t>
      </w:r>
      <w:r w:rsidR="0082031F">
        <w:t>should be used to</w:t>
      </w:r>
      <w:r w:rsidR="0082031F" w:rsidRPr="00904312">
        <w:t xml:space="preserve"> investigat</w:t>
      </w:r>
      <w:r w:rsidR="0082031F">
        <w:t>e</w:t>
      </w:r>
      <w:r w:rsidR="0082031F" w:rsidRPr="00904312">
        <w:t xml:space="preserve"> and prosecut</w:t>
      </w:r>
      <w:r w:rsidR="0082031F">
        <w:t>e</w:t>
      </w:r>
      <w:r w:rsidR="0082031F" w:rsidRPr="00904312">
        <w:t xml:space="preserve"> such crimes, hosted by the Dinah Project and Bar-Ilan University, Israel (December)</w:t>
      </w:r>
      <w:r w:rsidR="0082031F">
        <w:t>.</w:t>
      </w:r>
    </w:p>
    <w:p w14:paraId="4387F45D" w14:textId="77777777" w:rsidR="0082031F" w:rsidRPr="00904312" w:rsidRDefault="0082031F" w:rsidP="0082031F">
      <w:pPr>
        <w:pStyle w:val="HChG"/>
        <w:rPr>
          <w:lang w:val="en-US"/>
        </w:rPr>
      </w:pPr>
      <w:r w:rsidRPr="00904312">
        <w:rPr>
          <w:lang w:val="en-US"/>
        </w:rPr>
        <w:lastRenderedPageBreak/>
        <w:tab/>
        <w:t>II.</w:t>
      </w:r>
      <w:r w:rsidRPr="00904312">
        <w:rPr>
          <w:lang w:val="en-US"/>
        </w:rPr>
        <w:tab/>
        <w:t xml:space="preserve">Torture and </w:t>
      </w:r>
      <w:r>
        <w:rPr>
          <w:lang w:val="en-US"/>
        </w:rPr>
        <w:t>h</w:t>
      </w:r>
      <w:r w:rsidRPr="00904312">
        <w:rPr>
          <w:lang w:val="en-US"/>
        </w:rPr>
        <w:t>ostage-</w:t>
      </w:r>
      <w:r>
        <w:rPr>
          <w:lang w:val="en-US"/>
        </w:rPr>
        <w:t>t</w:t>
      </w:r>
      <w:r w:rsidRPr="00904312">
        <w:rPr>
          <w:lang w:val="en-US"/>
        </w:rPr>
        <w:t>aking</w:t>
      </w:r>
    </w:p>
    <w:p w14:paraId="51B66D66" w14:textId="77777777" w:rsidR="0082031F" w:rsidRPr="00904312" w:rsidRDefault="0082031F" w:rsidP="0082031F">
      <w:pPr>
        <w:pStyle w:val="H1G"/>
      </w:pPr>
      <w:r w:rsidRPr="00904312">
        <w:tab/>
        <w:t>A.</w:t>
      </w:r>
      <w:r w:rsidRPr="00904312">
        <w:tab/>
        <w:t>Introduction</w:t>
      </w:r>
    </w:p>
    <w:p w14:paraId="5E8FC52F" w14:textId="744D6D7A" w:rsidR="0082031F" w:rsidRPr="00904312" w:rsidRDefault="0082031F" w:rsidP="0082031F">
      <w:pPr>
        <w:pStyle w:val="SingleTxtG"/>
      </w:pPr>
      <w:r w:rsidRPr="00904312">
        <w:rPr>
          <w:bCs/>
        </w:rPr>
        <w:t>10.</w:t>
      </w:r>
      <w:r w:rsidRPr="00904312">
        <w:rPr>
          <w:bCs/>
        </w:rPr>
        <w:tab/>
      </w:r>
      <w:r w:rsidRPr="00904312">
        <w:t xml:space="preserve">Hostage-taking for any purpose is an abhorrent and inhuman act, which is </w:t>
      </w:r>
      <w:r w:rsidR="006B49D7">
        <w:t>“</w:t>
      </w:r>
      <w:r w:rsidRPr="00904312">
        <w:t>incompatible with universally accepted standards of human conduct</w:t>
      </w:r>
      <w:r w:rsidR="006B49D7">
        <w:t>”</w:t>
      </w:r>
      <w:r w:rsidRPr="00904312">
        <w:t>.</w:t>
      </w:r>
      <w:r w:rsidRPr="00A81C62">
        <w:rPr>
          <w:rStyle w:val="FootnoteReference"/>
        </w:rPr>
        <w:footnoteReference w:id="14"/>
      </w:r>
      <w:r w:rsidR="00CC69B8">
        <w:t xml:space="preserve"> </w:t>
      </w:r>
      <w:r w:rsidRPr="00904312">
        <w:t>It is an internationally unlawful act that is perpetrated by State and non-State actors. This practice was integral to foreign affairs in the ancient world and has taken place for millenni</w:t>
      </w:r>
      <w:r>
        <w:t>ums</w:t>
      </w:r>
      <w:r w:rsidRPr="00904312">
        <w:t>. It continues unabated to this day, in total disregard of international law and our collective humanity.</w:t>
      </w:r>
    </w:p>
    <w:p w14:paraId="2DDB4441" w14:textId="77777777" w:rsidR="00754E7C" w:rsidRDefault="0082031F" w:rsidP="0082031F">
      <w:pPr>
        <w:pStyle w:val="SingleTxtG"/>
      </w:pPr>
      <w:r w:rsidRPr="00904312">
        <w:rPr>
          <w:bCs/>
        </w:rPr>
        <w:t>11.</w:t>
      </w:r>
      <w:r w:rsidRPr="00904312">
        <w:rPr>
          <w:bCs/>
        </w:rPr>
        <w:tab/>
      </w:r>
      <w:r w:rsidRPr="00904312">
        <w:t xml:space="preserve">States, armed groups, terrorists and criminals use hostage-taking to try to secure concessions or benefits. These benefits may be political, financial or military in nature. Hostage-taking happens during war or as an act of terrorism. In the case of hostage-taking by </w:t>
      </w:r>
      <w:r>
        <w:t>S</w:t>
      </w:r>
      <w:r w:rsidRPr="00904312">
        <w:t>tates, individuals become pawns in often strained inter</w:t>
      </w:r>
      <w:r>
        <w:t>-S</w:t>
      </w:r>
      <w:r w:rsidRPr="00904312">
        <w:t>tate relations. It is a cruel game.</w:t>
      </w:r>
    </w:p>
    <w:p w14:paraId="6A223DEF" w14:textId="77777777" w:rsidR="00754E7C" w:rsidRDefault="0082031F" w:rsidP="0082031F">
      <w:pPr>
        <w:pStyle w:val="SingleTxtG"/>
      </w:pPr>
      <w:r w:rsidRPr="00904312">
        <w:rPr>
          <w:bCs/>
        </w:rPr>
        <w:t>12.</w:t>
      </w:r>
      <w:r w:rsidRPr="00904312">
        <w:rPr>
          <w:bCs/>
        </w:rPr>
        <w:tab/>
      </w:r>
      <w:r w:rsidRPr="00904312">
        <w:t>In most cases, hostages are subjected to forms of physical and mental torture. Most also experience other cruel, inhuman or degrading treatment or punishment. Some are also</w:t>
      </w:r>
      <w:r>
        <w:t xml:space="preserve"> </w:t>
      </w:r>
      <w:r w:rsidRPr="00904312">
        <w:t>subjected to sexual torture.</w:t>
      </w:r>
      <w:r w:rsidRPr="00A81C62">
        <w:rPr>
          <w:rStyle w:val="FootnoteReference"/>
        </w:rPr>
        <w:footnoteReference w:id="15"/>
      </w:r>
      <w:r w:rsidRPr="00904312">
        <w:t xml:space="preserve"> Torture, substandard treatment, threats to kill or injure and the prospect of indefinite detention are used to influence negotiations for their release. These individuals are being mistreated and denigrated, as their captors pursue the </w:t>
      </w:r>
      <w:r w:rsidR="006B49D7">
        <w:t>“</w:t>
      </w:r>
      <w:r w:rsidRPr="00904312">
        <w:t>best possible deal</w:t>
      </w:r>
      <w:r w:rsidR="006B49D7">
        <w:t>”</w:t>
      </w:r>
      <w:r w:rsidRPr="00904312">
        <w:t>.</w:t>
      </w:r>
    </w:p>
    <w:p w14:paraId="5548636D" w14:textId="77777777" w:rsidR="00754E7C" w:rsidRDefault="0082031F" w:rsidP="0082031F">
      <w:pPr>
        <w:pStyle w:val="SingleTxtG"/>
      </w:pPr>
      <w:r w:rsidRPr="00904312">
        <w:rPr>
          <w:bCs/>
        </w:rPr>
        <w:t>13.</w:t>
      </w:r>
      <w:r w:rsidRPr="00904312">
        <w:rPr>
          <w:bCs/>
        </w:rPr>
        <w:tab/>
      </w:r>
      <w:r w:rsidRPr="00904312">
        <w:t xml:space="preserve">The conditions that hostages are held in can be unspeakable – in recent cases these have included unsanitary cells or facilities in remote and inaccessible locations, such as in jungles or in underground cellars, caves and tunnels. Hostages are often deprived of food, water, light and clean air. Many </w:t>
      </w:r>
      <w:proofErr w:type="gramStart"/>
      <w:r w:rsidRPr="00904312">
        <w:t>experience</w:t>
      </w:r>
      <w:proofErr w:type="gramEnd"/>
      <w:r w:rsidRPr="00904312">
        <w:t xml:space="preserve"> extended solitary confinement and are deprived of contact with the outside world. Medical care is often absent or wholly inadequate. Proof of life may be </w:t>
      </w:r>
      <w:proofErr w:type="gramStart"/>
      <w:r w:rsidRPr="00904312">
        <w:t>refused, or</w:t>
      </w:r>
      <w:proofErr w:type="gramEnd"/>
      <w:r w:rsidRPr="00904312">
        <w:t xml:space="preserve"> take the form of forced and traumatic video </w:t>
      </w:r>
      <w:r w:rsidR="006B49D7">
        <w:t>“</w:t>
      </w:r>
      <w:r w:rsidRPr="00904312">
        <w:t>confessions</w:t>
      </w:r>
      <w:r w:rsidR="006B49D7">
        <w:t>”</w:t>
      </w:r>
      <w:r w:rsidRPr="00904312">
        <w:t>.</w:t>
      </w:r>
    </w:p>
    <w:p w14:paraId="10A68572" w14:textId="77777777" w:rsidR="00754E7C" w:rsidRDefault="0082031F" w:rsidP="0082031F">
      <w:pPr>
        <w:pStyle w:val="SingleTxtG"/>
      </w:pPr>
      <w:r w:rsidRPr="00904312">
        <w:rPr>
          <w:bCs/>
        </w:rPr>
        <w:t>14.</w:t>
      </w:r>
      <w:r w:rsidRPr="00904312">
        <w:rPr>
          <w:bCs/>
        </w:rPr>
        <w:tab/>
      </w:r>
      <w:r w:rsidRPr="00904312">
        <w:t>In all scenarios</w:t>
      </w:r>
      <w:r>
        <w:t>,</w:t>
      </w:r>
      <w:r w:rsidRPr="00904312">
        <w:t xml:space="preserve"> hostages and their families are greatly impacted. The physical and mental pain or suffering they experience meets the threshold of torture or other cruel, inhuman or degrading treatment or punishment. The uncertainty about whether and when individuals will be released, causes significant psychological harm to victims and their relatives. Families are powerless and</w:t>
      </w:r>
      <w:r>
        <w:t>, like the relatives of the forcibly disappeared,</w:t>
      </w:r>
      <w:r w:rsidRPr="00904312">
        <w:t xml:space="preserve"> may experience despair.</w:t>
      </w:r>
    </w:p>
    <w:p w14:paraId="62977C68" w14:textId="551B3AAB" w:rsidR="0082031F" w:rsidRPr="00904312" w:rsidRDefault="0082031F" w:rsidP="0082031F">
      <w:pPr>
        <w:pStyle w:val="SingleTxtG"/>
      </w:pPr>
      <w:r w:rsidRPr="00904312">
        <w:rPr>
          <w:bCs/>
        </w:rPr>
        <w:t>15.</w:t>
      </w:r>
      <w:r w:rsidRPr="00904312">
        <w:rPr>
          <w:bCs/>
        </w:rPr>
        <w:tab/>
      </w:r>
      <w:r w:rsidRPr="00904312">
        <w:t>Th</w:t>
      </w:r>
      <w:r>
        <w:t>e present</w:t>
      </w:r>
      <w:r w:rsidRPr="00904312">
        <w:t xml:space="preserve"> report addresses hostage-taking</w:t>
      </w:r>
      <w:r w:rsidR="0000262E">
        <w:t xml:space="preserve"> </w:t>
      </w:r>
      <w:r w:rsidRPr="00904312">
        <w:t xml:space="preserve">from the perspective of the absolute prohibition of torture and other cruel, inhuman or degrading treatment or punishment. The goals include reinvigorating international engagement on this issue, reinforcing laws and conventions prohibiting torture and the taking of hostages, as well as addressing gaps in international and national laws and policies for the prevention of hostage-taking and the protection of hostages. The report does not cover recommendations regarding negotiation strategies. </w:t>
      </w:r>
    </w:p>
    <w:p w14:paraId="44EA3E6F" w14:textId="77777777" w:rsidR="008F7B75" w:rsidRDefault="0082031F" w:rsidP="0082031F">
      <w:pPr>
        <w:pStyle w:val="SingleTxtG"/>
      </w:pPr>
      <w:r w:rsidRPr="00904312">
        <w:rPr>
          <w:bCs/>
        </w:rPr>
        <w:t>16.</w:t>
      </w:r>
      <w:r w:rsidRPr="00904312">
        <w:rPr>
          <w:bCs/>
        </w:rPr>
        <w:tab/>
      </w:r>
      <w:r w:rsidRPr="00904312">
        <w:t xml:space="preserve">As noted in the preamble to the </w:t>
      </w:r>
      <w:r w:rsidRPr="00C41157">
        <w:t>International Convention against the Taking of Hostages</w:t>
      </w:r>
      <w:r w:rsidRPr="00904312">
        <w:t xml:space="preserve">, hostage-taking undermines the collective aspiration of the Charter </w:t>
      </w:r>
      <w:r>
        <w:t xml:space="preserve">of the United Nations </w:t>
      </w:r>
      <w:r w:rsidRPr="00904312">
        <w:t xml:space="preserve">to achieve international peace and security. It also undermines full implementation of the Convention against Torture </w:t>
      </w:r>
      <w:r>
        <w:t xml:space="preserve">and Other Cruel, Inhuman or Degrading Treatment or Punishment </w:t>
      </w:r>
      <w:r w:rsidRPr="00904312">
        <w:t>and other prohibitions against torture.</w:t>
      </w:r>
    </w:p>
    <w:p w14:paraId="20F08D4E" w14:textId="77777777" w:rsidR="008F7B75" w:rsidRDefault="0082031F" w:rsidP="0082031F">
      <w:pPr>
        <w:pStyle w:val="SingleTxtG"/>
      </w:pPr>
      <w:r w:rsidRPr="00904312">
        <w:rPr>
          <w:bCs/>
        </w:rPr>
        <w:t>17.</w:t>
      </w:r>
      <w:r w:rsidRPr="00904312">
        <w:rPr>
          <w:bCs/>
        </w:rPr>
        <w:tab/>
      </w:r>
      <w:r w:rsidRPr="00904312">
        <w:t xml:space="preserve">The term </w:t>
      </w:r>
      <w:r w:rsidR="006B49D7">
        <w:t>“</w:t>
      </w:r>
      <w:r w:rsidRPr="00904312">
        <w:t>State hostage-taking</w:t>
      </w:r>
      <w:r w:rsidR="006B49D7">
        <w:t>”</w:t>
      </w:r>
      <w:r w:rsidRPr="00904312">
        <w:t xml:space="preserve"> is used here to describe hostage-taking by State actors, including organs or agents whose conduct is attributable to the State.</w:t>
      </w:r>
      <w:r w:rsidRPr="00A81C62">
        <w:rPr>
          <w:rStyle w:val="FootnoteReference"/>
        </w:rPr>
        <w:footnoteReference w:id="16"/>
      </w:r>
      <w:r w:rsidRPr="00904312">
        <w:t xml:space="preserve"> </w:t>
      </w:r>
      <w:r w:rsidR="006B49D7">
        <w:t>“</w:t>
      </w:r>
      <w:proofErr w:type="gramStart"/>
      <w:r w:rsidRPr="00904312">
        <w:t>Non-State</w:t>
      </w:r>
      <w:proofErr w:type="gramEnd"/>
      <w:r w:rsidRPr="00904312">
        <w:t xml:space="preserve"> hostage-taking</w:t>
      </w:r>
      <w:r w:rsidR="006B49D7">
        <w:t>”</w:t>
      </w:r>
      <w:r w:rsidRPr="00904312">
        <w:t xml:space="preserve"> is used when the hostage-taking is carried out by non-State actors or entities. Often</w:t>
      </w:r>
      <w:r>
        <w:t>,</w:t>
      </w:r>
      <w:r w:rsidRPr="00904312">
        <w:t xml:space="preserve"> cases do not neatly fall into one category</w:t>
      </w:r>
      <w:r>
        <w:t xml:space="preserve"> or the other</w:t>
      </w:r>
      <w:r w:rsidRPr="00904312">
        <w:t>.</w:t>
      </w:r>
    </w:p>
    <w:p w14:paraId="3CFBE358" w14:textId="77777777" w:rsidR="008F7B75" w:rsidRDefault="0082031F" w:rsidP="0082031F">
      <w:pPr>
        <w:pStyle w:val="SingleTxtG"/>
      </w:pPr>
      <w:r w:rsidRPr="00904312">
        <w:rPr>
          <w:bCs/>
        </w:rPr>
        <w:t>18.</w:t>
      </w:r>
      <w:r w:rsidRPr="00904312">
        <w:rPr>
          <w:bCs/>
        </w:rPr>
        <w:tab/>
      </w:r>
      <w:r w:rsidRPr="00904312">
        <w:t xml:space="preserve">The Special Rapporteur, individually or together with other mandate holders, has sent communications to </w:t>
      </w:r>
      <w:r>
        <w:t>S</w:t>
      </w:r>
      <w:r w:rsidRPr="00904312">
        <w:t xml:space="preserve">tates over the years concerning hostage-taking and the treatment of </w:t>
      </w:r>
      <w:r w:rsidRPr="00904312">
        <w:lastRenderedPageBreak/>
        <w:t>hostages.</w:t>
      </w:r>
      <w:r w:rsidRPr="00A81C62">
        <w:rPr>
          <w:rStyle w:val="FootnoteReference"/>
        </w:rPr>
        <w:footnoteReference w:id="17"/>
      </w:r>
      <w:r w:rsidRPr="00904312">
        <w:t xml:space="preserve"> The Special Rapporteur reminds all </w:t>
      </w:r>
      <w:r>
        <w:t>S</w:t>
      </w:r>
      <w:r w:rsidRPr="00904312">
        <w:t>tates that all hostages should be unconditionally and immediately released.</w:t>
      </w:r>
    </w:p>
    <w:p w14:paraId="03879714" w14:textId="77777777" w:rsidR="008F7B75" w:rsidRDefault="0082031F" w:rsidP="0082031F">
      <w:pPr>
        <w:pStyle w:val="SingleTxtG"/>
      </w:pPr>
      <w:r w:rsidRPr="00904312">
        <w:rPr>
          <w:bCs/>
        </w:rPr>
        <w:t>19.</w:t>
      </w:r>
      <w:r w:rsidRPr="00904312">
        <w:rPr>
          <w:bCs/>
        </w:rPr>
        <w:tab/>
      </w:r>
      <w:r w:rsidRPr="00904312">
        <w:t xml:space="preserve">The Special Rapporteur is grateful to all who contributed to </w:t>
      </w:r>
      <w:r>
        <w:t>the present</w:t>
      </w:r>
      <w:r w:rsidRPr="00904312">
        <w:t xml:space="preserve"> report.</w:t>
      </w:r>
      <w:r w:rsidRPr="00A81C62">
        <w:rPr>
          <w:rStyle w:val="FootnoteReference"/>
        </w:rPr>
        <w:footnoteReference w:id="18"/>
      </w:r>
      <w:r w:rsidRPr="00904312">
        <w:t xml:space="preserve"> She is especially indebted to </w:t>
      </w:r>
      <w:r>
        <w:t xml:space="preserve">the </w:t>
      </w:r>
      <w:r w:rsidRPr="00904312">
        <w:t xml:space="preserve">former hostages and members of their families who shared their experiences and views </w:t>
      </w:r>
      <w:r>
        <w:t>during</w:t>
      </w:r>
      <w:r w:rsidRPr="00904312">
        <w:t xml:space="preserve"> the preparation of th</w:t>
      </w:r>
      <w:r>
        <w:t>e</w:t>
      </w:r>
      <w:r w:rsidRPr="00904312">
        <w:t xml:space="preserve"> report. In the process</w:t>
      </w:r>
      <w:r>
        <w:t>,</w:t>
      </w:r>
      <w:r w:rsidRPr="00904312">
        <w:t xml:space="preserve"> they recounted traumatic and painful experiences. Their bravery and determination to see change is testament to the strength of the human spirit in the face of the most atrocious abuses.</w:t>
      </w:r>
      <w:r w:rsidRPr="00A81C62">
        <w:rPr>
          <w:rStyle w:val="FootnoteReference"/>
        </w:rPr>
        <w:footnoteReference w:id="19"/>
      </w:r>
    </w:p>
    <w:p w14:paraId="54CBB765" w14:textId="264D6E27" w:rsidR="0082031F" w:rsidRPr="00904312" w:rsidRDefault="0082031F" w:rsidP="0082031F">
      <w:pPr>
        <w:pStyle w:val="H1G"/>
      </w:pPr>
      <w:r w:rsidRPr="00904312">
        <w:tab/>
        <w:t>B.</w:t>
      </w:r>
      <w:r w:rsidRPr="00904312">
        <w:tab/>
        <w:t xml:space="preserve">Trends and </w:t>
      </w:r>
      <w:r>
        <w:t>d</w:t>
      </w:r>
      <w:r w:rsidRPr="00904312">
        <w:t>evelopments</w:t>
      </w:r>
    </w:p>
    <w:p w14:paraId="264777AF" w14:textId="77777777" w:rsidR="0082031F" w:rsidRPr="00904312" w:rsidRDefault="0082031F" w:rsidP="0082031F">
      <w:pPr>
        <w:pStyle w:val="SingleTxtG"/>
        <w:rPr>
          <w:rFonts w:eastAsia="Times New Roman"/>
        </w:rPr>
      </w:pPr>
      <w:r w:rsidRPr="00904312">
        <w:rPr>
          <w:rFonts w:eastAsia="Times New Roman"/>
          <w:bCs/>
        </w:rPr>
        <w:t>20.</w:t>
      </w:r>
      <w:r w:rsidRPr="00904312">
        <w:rPr>
          <w:rFonts w:eastAsia="Times New Roman"/>
          <w:bCs/>
        </w:rPr>
        <w:tab/>
      </w:r>
      <w:r w:rsidRPr="00904312">
        <w:rPr>
          <w:rFonts w:eastAsia="Times New Roman"/>
        </w:rPr>
        <w:t>There are no official global statistics for the number of hostage-taking incidents. However, over the past 50 years there have been many high-profile incidents that have received widespread attention, as well as numerous other</w:t>
      </w:r>
      <w:r>
        <w:rPr>
          <w:rFonts w:eastAsia="Times New Roman"/>
        </w:rPr>
        <w:t>,</w:t>
      </w:r>
      <w:r w:rsidRPr="00904312">
        <w:rPr>
          <w:rFonts w:eastAsia="Times New Roman"/>
        </w:rPr>
        <w:t xml:space="preserve"> less</w:t>
      </w:r>
      <w:r>
        <w:rPr>
          <w:rFonts w:eastAsia="Times New Roman"/>
        </w:rPr>
        <w:t xml:space="preserve"> </w:t>
      </w:r>
      <w:r w:rsidRPr="00904312">
        <w:rPr>
          <w:rFonts w:eastAsia="Times New Roman"/>
        </w:rPr>
        <w:t>covered cases.</w:t>
      </w:r>
    </w:p>
    <w:p w14:paraId="4BB57527" w14:textId="77777777" w:rsidR="008F7B75" w:rsidRDefault="0082031F" w:rsidP="0082031F">
      <w:pPr>
        <w:pStyle w:val="SingleTxtG"/>
        <w:rPr>
          <w:rFonts w:eastAsia="Times New Roman"/>
        </w:rPr>
      </w:pPr>
      <w:r w:rsidRPr="00904312">
        <w:rPr>
          <w:rFonts w:eastAsia="Times New Roman"/>
          <w:bCs/>
        </w:rPr>
        <w:t>21.</w:t>
      </w:r>
      <w:r w:rsidRPr="00904312">
        <w:rPr>
          <w:rFonts w:eastAsia="Times New Roman"/>
          <w:bCs/>
        </w:rPr>
        <w:tab/>
      </w:r>
      <w:r w:rsidRPr="00904312">
        <w:rPr>
          <w:rFonts w:eastAsia="Times New Roman"/>
        </w:rPr>
        <w:t>Hostage International has helped more than 500 people affected by hostage-taking and arbitrary detention outside their home countr</w:t>
      </w:r>
      <w:r>
        <w:rPr>
          <w:rFonts w:eastAsia="Times New Roman"/>
        </w:rPr>
        <w:t>ies</w:t>
      </w:r>
      <w:r w:rsidRPr="00904312">
        <w:rPr>
          <w:rFonts w:eastAsia="Times New Roman"/>
        </w:rPr>
        <w:t xml:space="preserve"> over </w:t>
      </w:r>
      <w:r w:rsidRPr="00904312">
        <w:t>the</w:t>
      </w:r>
      <w:r w:rsidRPr="00904312">
        <w:rPr>
          <w:rFonts w:eastAsia="Times New Roman"/>
        </w:rPr>
        <w:t xml:space="preserve"> past two decades. At any time, they support up to 70 individuals in </w:t>
      </w:r>
      <w:r>
        <w:rPr>
          <w:rFonts w:eastAsia="Times New Roman"/>
        </w:rPr>
        <w:t>10</w:t>
      </w:r>
      <w:r w:rsidRPr="00904312">
        <w:rPr>
          <w:rFonts w:eastAsia="Times New Roman"/>
        </w:rPr>
        <w:t xml:space="preserve"> different countries.</w:t>
      </w:r>
      <w:r w:rsidRPr="00A81C62">
        <w:rPr>
          <w:rStyle w:val="FootnoteReference"/>
        </w:rPr>
        <w:footnoteReference w:id="20"/>
      </w:r>
      <w:r w:rsidRPr="00904312">
        <w:rPr>
          <w:rFonts w:eastAsia="Times New Roman"/>
        </w:rPr>
        <w:t xml:space="preserve"> In 2023, 91 humanitarian</w:t>
      </w:r>
      <w:r>
        <w:rPr>
          <w:rFonts w:eastAsia="Times New Roman"/>
        </w:rPr>
        <w:t xml:space="preserve"> workers</w:t>
      </w:r>
      <w:r w:rsidRPr="00904312">
        <w:rPr>
          <w:rFonts w:eastAsia="Times New Roman"/>
        </w:rPr>
        <w:t xml:space="preserve"> were taken hostage </w:t>
      </w:r>
      <w:r>
        <w:rPr>
          <w:rFonts w:eastAsia="Times New Roman"/>
        </w:rPr>
        <w:t xml:space="preserve">or arbitrarily detained </w:t>
      </w:r>
      <w:r w:rsidRPr="00904312">
        <w:rPr>
          <w:rFonts w:eastAsia="Times New Roman"/>
        </w:rPr>
        <w:t>globally.</w:t>
      </w:r>
      <w:r w:rsidRPr="00A81C62">
        <w:rPr>
          <w:rStyle w:val="FootnoteReference"/>
        </w:rPr>
        <w:footnoteReference w:id="21"/>
      </w:r>
      <w:r w:rsidRPr="00904312">
        <w:rPr>
          <w:rFonts w:eastAsia="Times New Roman"/>
        </w:rPr>
        <w:t xml:space="preserve"> </w:t>
      </w:r>
      <w:r>
        <w:rPr>
          <w:rFonts w:eastAsia="Times New Roman"/>
        </w:rPr>
        <w:t>Hostage Aid Worldwide repor</w:t>
      </w:r>
      <w:r w:rsidRPr="00904312">
        <w:rPr>
          <w:rFonts w:eastAsia="Times New Roman"/>
        </w:rPr>
        <w:t>t</w:t>
      </w:r>
      <w:r>
        <w:rPr>
          <w:rFonts w:eastAsia="Times New Roman"/>
        </w:rPr>
        <w:t>ed that, at</w:t>
      </w:r>
      <w:r w:rsidRPr="00904312">
        <w:rPr>
          <w:rFonts w:eastAsia="Times New Roman"/>
        </w:rPr>
        <w:t xml:space="preserve"> the end of the same year, there were </w:t>
      </w:r>
      <w:r>
        <w:rPr>
          <w:rFonts w:eastAsia="Times New Roman"/>
        </w:rPr>
        <w:t xml:space="preserve">people of </w:t>
      </w:r>
      <w:r w:rsidRPr="00904312">
        <w:rPr>
          <w:rFonts w:eastAsia="Times New Roman"/>
        </w:rPr>
        <w:t xml:space="preserve">53 nationalities </w:t>
      </w:r>
      <w:r>
        <w:rPr>
          <w:rFonts w:eastAsia="Times New Roman"/>
        </w:rPr>
        <w:t xml:space="preserve">being </w:t>
      </w:r>
      <w:r w:rsidRPr="00904312">
        <w:rPr>
          <w:rFonts w:eastAsia="Times New Roman"/>
        </w:rPr>
        <w:t xml:space="preserve">held hostage or </w:t>
      </w:r>
      <w:r>
        <w:rPr>
          <w:rFonts w:eastAsia="Times New Roman"/>
        </w:rPr>
        <w:t>arbitrarily</w:t>
      </w:r>
      <w:r w:rsidRPr="00904312">
        <w:rPr>
          <w:rFonts w:eastAsia="Times New Roman"/>
        </w:rPr>
        <w:t xml:space="preserve"> detained around the world.</w:t>
      </w:r>
      <w:r w:rsidRPr="00A81C62">
        <w:rPr>
          <w:rStyle w:val="FootnoteReference"/>
        </w:rPr>
        <w:footnoteReference w:id="22"/>
      </w:r>
    </w:p>
    <w:p w14:paraId="6DEF24EF" w14:textId="77777777" w:rsidR="008F7B75" w:rsidRDefault="0082031F" w:rsidP="0082031F">
      <w:pPr>
        <w:pStyle w:val="SingleTxtG"/>
      </w:pPr>
      <w:r w:rsidRPr="00904312">
        <w:rPr>
          <w:bCs/>
        </w:rPr>
        <w:t>22.</w:t>
      </w:r>
      <w:r w:rsidRPr="00904312">
        <w:rPr>
          <w:bCs/>
        </w:rPr>
        <w:tab/>
      </w:r>
      <w:r w:rsidRPr="00904312">
        <w:t xml:space="preserve">While hostage-taking has evolved over the decades with geopolitical shifts, advances in technology and changes in global security, the reasons for hostage-taking have remained consistent: to obtain concessions or gains </w:t>
      </w:r>
      <w:r>
        <w:t>by</w:t>
      </w:r>
      <w:r w:rsidRPr="00904312">
        <w:t xml:space="preserve"> detaining people unlawfully and using them as bargaining chips.</w:t>
      </w:r>
    </w:p>
    <w:p w14:paraId="56A571A9" w14:textId="0B5C45D1" w:rsidR="0082031F" w:rsidRPr="00904312" w:rsidRDefault="0082031F" w:rsidP="0082031F">
      <w:pPr>
        <w:pStyle w:val="SingleTxtG"/>
      </w:pPr>
      <w:r w:rsidRPr="00904312">
        <w:rPr>
          <w:bCs/>
        </w:rPr>
        <w:t>23.</w:t>
      </w:r>
      <w:r w:rsidRPr="00904312">
        <w:rPr>
          <w:bCs/>
        </w:rPr>
        <w:tab/>
      </w:r>
      <w:r w:rsidRPr="00904312">
        <w:rPr>
          <w:rFonts w:eastAsia="Times New Roman"/>
        </w:rPr>
        <w:t>I</w:t>
      </w:r>
      <w:r w:rsidRPr="00904312">
        <w:t>n the 1970s</w:t>
      </w:r>
      <w:r>
        <w:t>,</w:t>
      </w:r>
      <w:r w:rsidRPr="00904312">
        <w:t xml:space="preserve"> hostage-taking was driven by political motivations and terrorism.</w:t>
      </w:r>
      <w:r w:rsidRPr="00A81C62">
        <w:rPr>
          <w:rStyle w:val="FootnoteReference"/>
        </w:rPr>
        <w:footnoteReference w:id="23"/>
      </w:r>
      <w:r w:rsidRPr="00904312">
        <w:t xml:space="preserve"> High profile non-State hostage-taking incidents</w:t>
      </w:r>
      <w:r>
        <w:t>,</w:t>
      </w:r>
      <w:r w:rsidRPr="00A81C62">
        <w:rPr>
          <w:rStyle w:val="FootnoteReference"/>
        </w:rPr>
        <w:footnoteReference w:id="24"/>
      </w:r>
      <w:r w:rsidRPr="00904312">
        <w:t xml:space="preserve"> led to the negotiation and adoption of the International Convention against the </w:t>
      </w:r>
      <w:r>
        <w:t>T</w:t>
      </w:r>
      <w:r w:rsidRPr="00904312">
        <w:t xml:space="preserve">aking of </w:t>
      </w:r>
      <w:r>
        <w:t>H</w:t>
      </w:r>
      <w:r w:rsidRPr="00904312">
        <w:t>ostages in 1979. Hostage-taking had become a global problem that threatened international peace and security.</w:t>
      </w:r>
    </w:p>
    <w:p w14:paraId="24064B78" w14:textId="70062162" w:rsidR="0082031F" w:rsidRPr="00904312" w:rsidRDefault="0082031F" w:rsidP="0082031F">
      <w:pPr>
        <w:pStyle w:val="SingleTxtG"/>
      </w:pPr>
      <w:r w:rsidRPr="00904312">
        <w:rPr>
          <w:bCs/>
        </w:rPr>
        <w:t>24.</w:t>
      </w:r>
      <w:r w:rsidRPr="00904312">
        <w:rPr>
          <w:bCs/>
        </w:rPr>
        <w:tab/>
      </w:r>
      <w:r w:rsidRPr="00904312">
        <w:t xml:space="preserve">In the subsequent decades there were further prominent cases of hostage-taking. </w:t>
      </w:r>
      <w:r>
        <w:t>In 1979</w:t>
      </w:r>
      <w:r w:rsidRPr="00904312">
        <w:t>, 53 diplomats and citizens</w:t>
      </w:r>
      <w:r>
        <w:t xml:space="preserve"> of the United States of America</w:t>
      </w:r>
      <w:r w:rsidRPr="00904312">
        <w:t xml:space="preserve"> were taken hostage in the </w:t>
      </w:r>
      <w:r>
        <w:t>United States</w:t>
      </w:r>
      <w:r w:rsidRPr="00904312">
        <w:t xml:space="preserve"> embassy in Tehran by armed students, whose actions were later endorsed by the </w:t>
      </w:r>
      <w:r>
        <w:t xml:space="preserve">Government of the Islamic Republic of </w:t>
      </w:r>
      <w:r w:rsidRPr="00904312">
        <w:t>Iran. The stand-off was finally resolved after 444</w:t>
      </w:r>
      <w:r w:rsidR="00582FAE">
        <w:t> </w:t>
      </w:r>
      <w:r w:rsidRPr="00904312">
        <w:t xml:space="preserve">days, and after a failed rescue attempt. </w:t>
      </w:r>
      <w:r>
        <w:t>D</w:t>
      </w:r>
      <w:r w:rsidRPr="00904312">
        <w:t xml:space="preserve">uring the </w:t>
      </w:r>
      <w:r>
        <w:t>c</w:t>
      </w:r>
      <w:r w:rsidRPr="00904312">
        <w:t xml:space="preserve">ivil </w:t>
      </w:r>
      <w:r>
        <w:t>w</w:t>
      </w:r>
      <w:r w:rsidRPr="00904312">
        <w:t>ar</w:t>
      </w:r>
      <w:r>
        <w:t xml:space="preserve"> in Lebanon (1975–</w:t>
      </w:r>
      <w:r w:rsidRPr="00904312">
        <w:t>199</w:t>
      </w:r>
      <w:r>
        <w:t>0)</w:t>
      </w:r>
      <w:r w:rsidRPr="00904312">
        <w:t xml:space="preserve">, </w:t>
      </w:r>
      <w:r>
        <w:t xml:space="preserve">at least </w:t>
      </w:r>
      <w:r w:rsidRPr="00904312">
        <w:t xml:space="preserve">104 foreign hostages were taken by Hezbollah and other </w:t>
      </w:r>
      <w:r>
        <w:t xml:space="preserve">armed </w:t>
      </w:r>
      <w:r w:rsidRPr="00904312">
        <w:t xml:space="preserve">groups. Other protracted cases include the kidnappings by the </w:t>
      </w:r>
      <w:r>
        <w:t>Fuerza Alternative Revolucionaria del Común (</w:t>
      </w:r>
      <w:r w:rsidRPr="00904312">
        <w:t>FARC</w:t>
      </w:r>
      <w:r>
        <w:t>)</w:t>
      </w:r>
      <w:r w:rsidRPr="00904312">
        <w:t xml:space="preserve"> in Colombia from 1982</w:t>
      </w:r>
      <w:r>
        <w:t xml:space="preserve"> to </w:t>
      </w:r>
      <w:r w:rsidRPr="00904312">
        <w:t>2012</w:t>
      </w:r>
      <w:r>
        <w:t>,</w:t>
      </w:r>
      <w:r w:rsidRPr="00904312">
        <w:t xml:space="preserve"> </w:t>
      </w:r>
      <w:r>
        <w:t xml:space="preserve">in which </w:t>
      </w:r>
      <w:r w:rsidRPr="00904312">
        <w:t>extortion was prevalent.</w:t>
      </w:r>
      <w:r w:rsidRPr="00A81C62">
        <w:rPr>
          <w:rStyle w:val="FootnoteReference"/>
        </w:rPr>
        <w:footnoteReference w:id="25"/>
      </w:r>
      <w:r w:rsidRPr="00904312">
        <w:t xml:space="preserve"> In 1996</w:t>
      </w:r>
      <w:r>
        <w:t xml:space="preserve"> and </w:t>
      </w:r>
      <w:r w:rsidRPr="00904312">
        <w:t xml:space="preserve">1997, leftist </w:t>
      </w:r>
      <w:r w:rsidRPr="00904312">
        <w:lastRenderedPageBreak/>
        <w:t xml:space="preserve">militants </w:t>
      </w:r>
      <w:r>
        <w:t>held</w:t>
      </w:r>
      <w:r w:rsidRPr="00904312">
        <w:t xml:space="preserve"> more than 400 hostages at the Japanese Ambassador</w:t>
      </w:r>
      <w:r w:rsidR="006B49D7">
        <w:t>’</w:t>
      </w:r>
      <w:r w:rsidRPr="00904312">
        <w:t>s residence in Lima in an incident that lasted 126 days.</w:t>
      </w:r>
    </w:p>
    <w:p w14:paraId="208A03BA" w14:textId="2889C1CB" w:rsidR="0082031F" w:rsidRPr="00904312" w:rsidRDefault="0082031F" w:rsidP="0082031F">
      <w:pPr>
        <w:pStyle w:val="SingleTxtG"/>
      </w:pPr>
      <w:r w:rsidRPr="00904312">
        <w:rPr>
          <w:bCs/>
        </w:rPr>
        <w:t>25.</w:t>
      </w:r>
      <w:r w:rsidRPr="00904312">
        <w:rPr>
          <w:bCs/>
        </w:rPr>
        <w:tab/>
      </w:r>
      <w:r w:rsidRPr="00904312">
        <w:t>The rise in jihadist terrorism in the 2000s, led to the targeting of school children, women, humanitarian workers and journalists in Africa, the Middle East, Central Asia</w:t>
      </w:r>
      <w:r>
        <w:t xml:space="preserve"> and the Russian Federation</w:t>
      </w:r>
      <w:r w:rsidRPr="00904312">
        <w:t xml:space="preserve">. Targets included American James Foley, a freelance journalist who was abducted in </w:t>
      </w:r>
      <w:r>
        <w:t xml:space="preserve">the </w:t>
      </w:r>
      <w:r w:rsidRPr="00904312">
        <w:t>Syria</w:t>
      </w:r>
      <w:r>
        <w:t>n Arab Republic</w:t>
      </w:r>
      <w:r w:rsidRPr="00904312">
        <w:t xml:space="preserve"> and murdered by </w:t>
      </w:r>
      <w:r>
        <w:t>Da</w:t>
      </w:r>
      <w:r w:rsidR="006B49D7">
        <w:t>’</w:t>
      </w:r>
      <w:r>
        <w:t>esh</w:t>
      </w:r>
      <w:r w:rsidRPr="00904312">
        <w:t>.</w:t>
      </w:r>
      <w:r w:rsidRPr="00A81C62">
        <w:rPr>
          <w:rStyle w:val="FootnoteReference"/>
        </w:rPr>
        <w:footnoteReference w:id="26"/>
      </w:r>
      <w:r w:rsidRPr="00904312">
        <w:t xml:space="preserve"> In 2014, Boko Haram abducted 276 schoolgirls in north-eastern Nigeria</w:t>
      </w:r>
      <w:r>
        <w:t>,</w:t>
      </w:r>
      <w:r w:rsidRPr="00904312">
        <w:t xml:space="preserve"> </w:t>
      </w:r>
      <w:r>
        <w:t>and</w:t>
      </w:r>
      <w:r w:rsidRPr="00904312">
        <w:t xml:space="preserve"> some </w:t>
      </w:r>
      <w:r>
        <w:t xml:space="preserve">were </w:t>
      </w:r>
      <w:r w:rsidRPr="00904312">
        <w:t>subsequently offered in exchange for prisoners.</w:t>
      </w:r>
      <w:r w:rsidRPr="00A81C62">
        <w:rPr>
          <w:rStyle w:val="FootnoteReference"/>
        </w:rPr>
        <w:footnoteReference w:id="27"/>
      </w:r>
      <w:r w:rsidRPr="00904312">
        <w:t xml:space="preserve"> In 2023, it was reported that 98 of the girls remained in captivity.</w:t>
      </w:r>
      <w:r w:rsidRPr="00A81C62">
        <w:rPr>
          <w:rStyle w:val="FootnoteReference"/>
        </w:rPr>
        <w:footnoteReference w:id="28"/>
      </w:r>
      <w:r w:rsidRPr="00904312">
        <w:t xml:space="preserve"> Jeff Woodke, a humanitarian aid worker</w:t>
      </w:r>
      <w:r>
        <w:t>,</w:t>
      </w:r>
      <w:r w:rsidRPr="00904312">
        <w:t xml:space="preserve"> was abducted by terrorists in Niger in 2016 and held hostage in northern Mali for more than six years for exchange purposes.</w:t>
      </w:r>
      <w:r w:rsidRPr="00A81C62">
        <w:rPr>
          <w:rStyle w:val="FootnoteReference"/>
        </w:rPr>
        <w:footnoteReference w:id="29"/>
      </w:r>
      <w:r w:rsidRPr="00904312">
        <w:t xml:space="preserve"> </w:t>
      </w:r>
      <w:r>
        <w:t>The Houthis in Yemen are currently holding at</w:t>
      </w:r>
      <w:r w:rsidRPr="00904312">
        <w:t xml:space="preserve"> least 30 humanitarians</w:t>
      </w:r>
      <w:r>
        <w:t>,</w:t>
      </w:r>
      <w:r w:rsidRPr="00A81C62">
        <w:rPr>
          <w:rStyle w:val="FootnoteReference"/>
        </w:rPr>
        <w:footnoteReference w:id="30"/>
      </w:r>
      <w:r w:rsidRPr="00904312">
        <w:t xml:space="preserve"> with </w:t>
      </w:r>
      <w:r>
        <w:t>an implied</w:t>
      </w:r>
      <w:r w:rsidRPr="00904312">
        <w:t xml:space="preserve"> intention </w:t>
      </w:r>
      <w:r>
        <w:t>of</w:t>
      </w:r>
      <w:r w:rsidRPr="00904312">
        <w:t xml:space="preserve"> us</w:t>
      </w:r>
      <w:r>
        <w:t>ing</w:t>
      </w:r>
      <w:r w:rsidRPr="00904312">
        <w:t xml:space="preserve"> them as leverage in the broader regional conflict.</w:t>
      </w:r>
    </w:p>
    <w:p w14:paraId="754C6D88" w14:textId="77777777" w:rsidR="008F7B75" w:rsidRDefault="0082031F" w:rsidP="0082031F">
      <w:pPr>
        <w:pStyle w:val="SingleTxtG"/>
      </w:pPr>
      <w:r w:rsidRPr="00904312">
        <w:rPr>
          <w:bCs/>
        </w:rPr>
        <w:t>26.</w:t>
      </w:r>
      <w:r w:rsidRPr="00904312">
        <w:rPr>
          <w:bCs/>
        </w:rPr>
        <w:tab/>
      </w:r>
      <w:r w:rsidRPr="00904312">
        <w:t>Many non-State hostage-takings have resulted in mass casualties, often during rescue operations and raids. The Moscow theatre siege in 2002 by Chechen militants resulted in the deaths of approximately 128 hostages, mostly from poisoning from the gas used in the rescue operation.</w:t>
      </w:r>
      <w:r w:rsidRPr="00A81C62">
        <w:rPr>
          <w:rStyle w:val="FootnoteReference"/>
        </w:rPr>
        <w:footnoteReference w:id="31"/>
      </w:r>
      <w:r w:rsidRPr="00904312">
        <w:t xml:space="preserve"> In the Beslan school siege</w:t>
      </w:r>
      <w:r>
        <w:t>,</w:t>
      </w:r>
      <w:r w:rsidRPr="00904312">
        <w:t xml:space="preserve"> more than 300 people, including 186 children, were killed when Russian forces attempted to liberate more than 1,000 people who had been taken hostage by Islamists.</w:t>
      </w:r>
      <w:r w:rsidRPr="00A81C62">
        <w:rPr>
          <w:rStyle w:val="FootnoteReference"/>
        </w:rPr>
        <w:footnoteReference w:id="32"/>
      </w:r>
      <w:r w:rsidRPr="00904312">
        <w:t xml:space="preserve"> In 2013, an Al-Qa</w:t>
      </w:r>
      <w:r>
        <w:t>i</w:t>
      </w:r>
      <w:r w:rsidRPr="00904312">
        <w:t>da affiliate attacked the Amenas gas facility in Algeria, taking 800 hostages</w:t>
      </w:r>
      <w:r>
        <w:t>.</w:t>
      </w:r>
      <w:r w:rsidRPr="00904312">
        <w:t xml:space="preserve"> </w:t>
      </w:r>
      <w:r>
        <w:t>A</w:t>
      </w:r>
      <w:r w:rsidRPr="00904312">
        <w:t>fter the subsequent Algerian army raid</w:t>
      </w:r>
      <w:r>
        <w:t>,</w:t>
      </w:r>
      <w:r w:rsidRPr="00904312">
        <w:t xml:space="preserve"> some 40 hostages were left dead.</w:t>
      </w:r>
      <w:r w:rsidRPr="00A81C62">
        <w:rPr>
          <w:rStyle w:val="FootnoteReference"/>
        </w:rPr>
        <w:footnoteReference w:id="33"/>
      </w:r>
    </w:p>
    <w:p w14:paraId="40CC3F86" w14:textId="77777777" w:rsidR="008F7B75" w:rsidRDefault="0082031F" w:rsidP="0082031F">
      <w:pPr>
        <w:pStyle w:val="SingleTxtG"/>
      </w:pPr>
      <w:r w:rsidRPr="00904312">
        <w:rPr>
          <w:bCs/>
        </w:rPr>
        <w:t>27.</w:t>
      </w:r>
      <w:r w:rsidRPr="00904312">
        <w:rPr>
          <w:bCs/>
        </w:rPr>
        <w:tab/>
      </w:r>
      <w:r w:rsidRPr="00904312">
        <w:t>Hamas and other Palestinian armed groups</w:t>
      </w:r>
      <w:r>
        <w:t>,</w:t>
      </w:r>
      <w:r w:rsidRPr="00904312">
        <w:t xml:space="preserve"> as part of their lethal attack of 7 October 2023</w:t>
      </w:r>
      <w:r>
        <w:t>,</w:t>
      </w:r>
      <w:r w:rsidRPr="00904312">
        <w:t xml:space="preserve"> abducted 251 people inside Israel, taking them to the Gaza Strip. At the time of writing</w:t>
      </w:r>
      <w:r>
        <w:t>,</w:t>
      </w:r>
      <w:r w:rsidRPr="00904312">
        <w:t xml:space="preserve"> 100 hostages, including two infant children, women and older persons, remain</w:t>
      </w:r>
      <w:r>
        <w:t>ed</w:t>
      </w:r>
      <w:r w:rsidRPr="00904312">
        <w:t xml:space="preserve"> unaccounted for. The Special Rapporteur is on record repeatedly calling for their immediate and unconditional release.</w:t>
      </w:r>
      <w:r w:rsidRPr="00A81C62">
        <w:rPr>
          <w:rStyle w:val="FootnoteReference"/>
        </w:rPr>
        <w:footnoteReference w:id="34"/>
      </w:r>
      <w:r w:rsidRPr="00904312">
        <w:t xml:space="preserve"> She has also called for accountability for all international crimes committed by Hamas and other armed groups and Israel in the context of the war in Gaza.</w:t>
      </w:r>
      <w:r w:rsidRPr="00A81C62">
        <w:rPr>
          <w:rStyle w:val="FootnoteReference"/>
        </w:rPr>
        <w:footnoteReference w:id="35"/>
      </w:r>
      <w:r w:rsidRPr="00904312">
        <w:t xml:space="preserve"> The Independent International Commission of Inquiry </w:t>
      </w:r>
      <w:r>
        <w:t xml:space="preserve">on the Occupied Palestinian Territory, including East Jerusalem, and Israel </w:t>
      </w:r>
      <w:r w:rsidRPr="00904312">
        <w:t xml:space="preserve">has reported that abductions </w:t>
      </w:r>
      <w:r>
        <w:t xml:space="preserve">by Hamas </w:t>
      </w:r>
      <w:r w:rsidRPr="00904312">
        <w:t>are war crimes. The Commission noted that</w:t>
      </w:r>
      <w:r>
        <w:t>,</w:t>
      </w:r>
      <w:r w:rsidRPr="00904312">
        <w:t xml:space="preserve"> in most cases</w:t>
      </w:r>
      <w:r>
        <w:t>,</w:t>
      </w:r>
      <w:r w:rsidRPr="00904312">
        <w:t xml:space="preserve"> there have also been outrages </w:t>
      </w:r>
      <w:r>
        <w:t>up</w:t>
      </w:r>
      <w:r w:rsidRPr="00904312">
        <w:t>on personal dignity and inhumane treatment, as well as sexual and gender-based violence.</w:t>
      </w:r>
      <w:r w:rsidRPr="00A81C62">
        <w:rPr>
          <w:rStyle w:val="FootnoteReference"/>
        </w:rPr>
        <w:footnoteReference w:id="36"/>
      </w:r>
      <w:r w:rsidRPr="00904312">
        <w:t xml:space="preserve"> The Office of the </w:t>
      </w:r>
      <w:r>
        <w:t xml:space="preserve">United Nations </w:t>
      </w:r>
      <w:r w:rsidRPr="00904312">
        <w:t xml:space="preserve">High Commissioner for Human Rights found that the holding of </w:t>
      </w:r>
      <w:r w:rsidRPr="00904312">
        <w:lastRenderedPageBreak/>
        <w:t xml:space="preserve">hostages under the current conditions in Gaza, including underground for months, </w:t>
      </w:r>
      <w:r>
        <w:t>might</w:t>
      </w:r>
      <w:r w:rsidRPr="00904312">
        <w:t xml:space="preserve"> amount to the war crime of torture or other ill-treatment.</w:t>
      </w:r>
      <w:r w:rsidRPr="00A81C62">
        <w:rPr>
          <w:rStyle w:val="FootnoteReference"/>
        </w:rPr>
        <w:footnoteReference w:id="37"/>
      </w:r>
      <w:r w:rsidRPr="00904312">
        <w:t xml:space="preserve"> The Special Representative of the Secretary-General on Sexual Violence </w:t>
      </w:r>
      <w:r>
        <w:t xml:space="preserve">in Conflict </w:t>
      </w:r>
      <w:r w:rsidRPr="00904312">
        <w:t xml:space="preserve">documented </w:t>
      </w:r>
      <w:r w:rsidR="006B49D7">
        <w:t>“</w:t>
      </w:r>
      <w:r w:rsidRPr="00904312">
        <w:t>clear and convincing information</w:t>
      </w:r>
      <w:r w:rsidR="006B49D7">
        <w:t>”</w:t>
      </w:r>
      <w:r>
        <w:t>,</w:t>
      </w:r>
      <w:r w:rsidRPr="00904312">
        <w:t xml:space="preserve"> based on first-hand accounts of released hostages</w:t>
      </w:r>
      <w:r>
        <w:t>,</w:t>
      </w:r>
      <w:r w:rsidRPr="00904312">
        <w:t xml:space="preserve"> of rape and sexualized torture against female hostages.</w:t>
      </w:r>
      <w:r w:rsidRPr="00A81C62">
        <w:rPr>
          <w:rStyle w:val="FootnoteReference"/>
        </w:rPr>
        <w:footnoteReference w:id="38"/>
      </w:r>
    </w:p>
    <w:p w14:paraId="04D97C8E" w14:textId="1012EAF4" w:rsidR="0082031F" w:rsidRPr="00904312" w:rsidRDefault="0082031F" w:rsidP="0082031F">
      <w:pPr>
        <w:pStyle w:val="SingleTxtG"/>
        <w:rPr>
          <w:rFonts w:eastAsia="Times New Roman"/>
          <w:lang w:eastAsia="en-GB"/>
        </w:rPr>
      </w:pPr>
      <w:r w:rsidRPr="00904312">
        <w:rPr>
          <w:rFonts w:eastAsia="Times New Roman"/>
          <w:bCs/>
          <w:lang w:eastAsia="en-GB"/>
        </w:rPr>
        <w:t>28.</w:t>
      </w:r>
      <w:r w:rsidRPr="00904312">
        <w:rPr>
          <w:rFonts w:eastAsia="Times New Roman"/>
          <w:bCs/>
          <w:lang w:eastAsia="en-GB"/>
        </w:rPr>
        <w:tab/>
      </w:r>
      <w:r w:rsidRPr="00904312">
        <w:t>State hostage-taking has been increasing over the past decade.</w:t>
      </w:r>
      <w:r w:rsidRPr="00A81C62">
        <w:rPr>
          <w:rStyle w:val="FootnoteReference"/>
        </w:rPr>
        <w:footnoteReference w:id="39"/>
      </w:r>
      <w:r w:rsidRPr="00904312">
        <w:t xml:space="preserve"> </w:t>
      </w:r>
      <w:r>
        <w:rPr>
          <w:rFonts w:eastAsia="Times New Roman"/>
          <w:lang w:eastAsia="en-GB"/>
        </w:rPr>
        <w:t>Certain</w:t>
      </w:r>
      <w:r w:rsidRPr="00904312">
        <w:rPr>
          <w:rFonts w:eastAsia="Times New Roman"/>
          <w:lang w:eastAsia="en-GB"/>
        </w:rPr>
        <w:t xml:space="preserve"> States are increasingly detaining foreign nationals under fabricated or exaggerated charges to serve foreign policy or other </w:t>
      </w:r>
      <w:r w:rsidRPr="00904312">
        <w:t>objectives</w:t>
      </w:r>
      <w:r w:rsidRPr="00904312">
        <w:rPr>
          <w:rFonts w:eastAsia="Times New Roman"/>
          <w:lang w:eastAsia="en-GB"/>
        </w:rPr>
        <w:t>. By manipulating justice systems and exploiting procedural mechanisms, these States prolong and complicate release while denying the detainees</w:t>
      </w:r>
      <w:r w:rsidR="006B49D7">
        <w:rPr>
          <w:rFonts w:eastAsia="Times New Roman"/>
          <w:lang w:eastAsia="en-GB"/>
        </w:rPr>
        <w:t>’</w:t>
      </w:r>
      <w:r w:rsidRPr="00904312">
        <w:rPr>
          <w:rFonts w:eastAsia="Times New Roman"/>
          <w:lang w:eastAsia="en-GB"/>
        </w:rPr>
        <w:t xml:space="preserve"> status as hostages or wrongful detainees. These cases have included severe physical and psychological torture.</w:t>
      </w:r>
      <w:r w:rsidRPr="00A81C62">
        <w:rPr>
          <w:rStyle w:val="FootnoteReference"/>
        </w:rPr>
        <w:footnoteReference w:id="40"/>
      </w:r>
    </w:p>
    <w:p w14:paraId="04295A0E" w14:textId="77777777" w:rsidR="008F7B75" w:rsidRDefault="0082031F" w:rsidP="0082031F">
      <w:pPr>
        <w:pStyle w:val="SingleTxtG"/>
      </w:pPr>
      <w:r w:rsidRPr="005C2FF2">
        <w:rPr>
          <w:bCs/>
        </w:rPr>
        <w:t>29.</w:t>
      </w:r>
      <w:r w:rsidRPr="005C2FF2">
        <w:rPr>
          <w:bCs/>
        </w:rPr>
        <w:tab/>
      </w:r>
      <w:r w:rsidRPr="00904312">
        <w:t xml:space="preserve">Foreign nationals have allegedly </w:t>
      </w:r>
      <w:r>
        <w:t xml:space="preserve">been </w:t>
      </w:r>
      <w:r w:rsidRPr="00904312">
        <w:t xml:space="preserve">arbitrarily detained with the purpose </w:t>
      </w:r>
      <w:r>
        <w:t>of</w:t>
      </w:r>
      <w:r w:rsidRPr="00904312">
        <w:t xml:space="preserve"> us</w:t>
      </w:r>
      <w:r>
        <w:t>ing</w:t>
      </w:r>
      <w:r w:rsidRPr="00904312">
        <w:t xml:space="preserve"> them for financial, </w:t>
      </w:r>
      <w:r w:rsidRPr="005C2FF2">
        <w:t>political or other forms of leverage by China</w:t>
      </w:r>
      <w:r>
        <w:t>,</w:t>
      </w:r>
      <w:r w:rsidRPr="00A81C62">
        <w:rPr>
          <w:rStyle w:val="FootnoteReference"/>
        </w:rPr>
        <w:footnoteReference w:id="41"/>
      </w:r>
      <w:r>
        <w:t xml:space="preserve"> the Democratic People</w:t>
      </w:r>
      <w:r w:rsidR="006B49D7">
        <w:t>’</w:t>
      </w:r>
      <w:r>
        <w:t>s Republic of</w:t>
      </w:r>
      <w:r w:rsidRPr="005C2FF2">
        <w:t xml:space="preserve"> Korea</w:t>
      </w:r>
      <w:r>
        <w:t>,</w:t>
      </w:r>
      <w:r w:rsidRPr="00A81C62">
        <w:rPr>
          <w:rStyle w:val="FootnoteReference"/>
        </w:rPr>
        <w:footnoteReference w:id="42"/>
      </w:r>
      <w:r w:rsidRPr="005C2FF2">
        <w:t xml:space="preserve"> Iran</w:t>
      </w:r>
      <w:r>
        <w:t xml:space="preserve"> (Islamic Republic of),</w:t>
      </w:r>
      <w:r w:rsidRPr="00A81C62">
        <w:rPr>
          <w:rStyle w:val="FootnoteReference"/>
        </w:rPr>
        <w:footnoteReference w:id="43"/>
      </w:r>
      <w:r w:rsidRPr="005C2FF2">
        <w:t xml:space="preserve"> Myanmar</w:t>
      </w:r>
      <w:r>
        <w:t>,</w:t>
      </w:r>
      <w:r w:rsidRPr="00A81C62">
        <w:rPr>
          <w:rStyle w:val="FootnoteReference"/>
        </w:rPr>
        <w:footnoteReference w:id="44"/>
      </w:r>
      <w:r w:rsidRPr="005C2FF2">
        <w:t xml:space="preserve"> </w:t>
      </w:r>
      <w:r>
        <w:t xml:space="preserve">the </w:t>
      </w:r>
      <w:r w:rsidRPr="005C2FF2">
        <w:t>Russia</w:t>
      </w:r>
      <w:r>
        <w:t>n Federation,</w:t>
      </w:r>
      <w:r w:rsidRPr="00A81C62">
        <w:rPr>
          <w:rStyle w:val="FootnoteReference"/>
        </w:rPr>
        <w:footnoteReference w:id="45"/>
      </w:r>
      <w:r w:rsidRPr="005C2FF2">
        <w:t xml:space="preserve"> the United Arab Emirates</w:t>
      </w:r>
      <w:r w:rsidRPr="00A81C62">
        <w:rPr>
          <w:rStyle w:val="FootnoteReference"/>
        </w:rPr>
        <w:footnoteReference w:id="46"/>
      </w:r>
      <w:r w:rsidRPr="005C2FF2">
        <w:t xml:space="preserve"> and Venezuela</w:t>
      </w:r>
      <w:r>
        <w:t xml:space="preserve"> (Bolivarian Republic of).</w:t>
      </w:r>
      <w:r w:rsidRPr="00A81C62">
        <w:rPr>
          <w:rStyle w:val="FootnoteReference"/>
        </w:rPr>
        <w:footnoteReference w:id="47"/>
      </w:r>
      <w:r w:rsidRPr="005C2FF2">
        <w:t xml:space="preserve"> </w:t>
      </w:r>
      <w:r w:rsidRPr="005C2FF2">
        <w:rPr>
          <w:rFonts w:eastAsia="Times New Roman"/>
        </w:rPr>
        <w:t xml:space="preserve">At least 66 cases of </w:t>
      </w:r>
      <w:r>
        <w:rPr>
          <w:rFonts w:eastAsia="Times New Roman"/>
        </w:rPr>
        <w:t>S</w:t>
      </w:r>
      <w:r w:rsidRPr="005C2FF2">
        <w:rPr>
          <w:rFonts w:eastAsia="Times New Roman"/>
        </w:rPr>
        <w:t>tate hostage-taking in</w:t>
      </w:r>
      <w:r>
        <w:rPr>
          <w:rFonts w:eastAsia="Times New Roman"/>
        </w:rPr>
        <w:t xml:space="preserve"> the Islamic Republic of</w:t>
      </w:r>
      <w:r w:rsidRPr="005C2FF2">
        <w:rPr>
          <w:rFonts w:eastAsia="Times New Roman"/>
        </w:rPr>
        <w:t xml:space="preserve"> Iran have been reported since 2010.</w:t>
      </w:r>
      <w:r w:rsidRPr="00A81C62">
        <w:rPr>
          <w:rStyle w:val="FootnoteReference"/>
        </w:rPr>
        <w:footnoteReference w:id="48"/>
      </w:r>
      <w:r w:rsidRPr="005C2FF2">
        <w:rPr>
          <w:rFonts w:eastAsia="Times New Roman"/>
        </w:rPr>
        <w:t xml:space="preserve"> </w:t>
      </w:r>
      <w:r w:rsidRPr="005C2FF2">
        <w:t>Journalists, aid workers, academics, business travellers and human rights defenders are especially vulnerable.</w:t>
      </w:r>
      <w:r w:rsidRPr="00A81C62">
        <w:rPr>
          <w:rStyle w:val="FootnoteReference"/>
        </w:rPr>
        <w:footnoteReference w:id="49"/>
      </w:r>
      <w:r w:rsidRPr="005C2FF2">
        <w:t xml:space="preserve"> Dual nationals are often specifically targeted</w:t>
      </w:r>
      <w:r>
        <w:t>, and,</w:t>
      </w:r>
      <w:r w:rsidRPr="005C2FF2">
        <w:t xml:space="preserve"> </w:t>
      </w:r>
      <w:r>
        <w:t>i</w:t>
      </w:r>
      <w:r w:rsidRPr="005C2FF2">
        <w:t>n some cases, th</w:t>
      </w:r>
      <w:r>
        <w:t>o</w:t>
      </w:r>
      <w:r w:rsidRPr="005C2FF2">
        <w:t>se individuals have been denied consular assistance from their other country of nationality.</w:t>
      </w:r>
    </w:p>
    <w:p w14:paraId="65901BA1" w14:textId="76ADC9F3" w:rsidR="0082031F" w:rsidRPr="005C2FF2" w:rsidRDefault="0082031F" w:rsidP="0082031F">
      <w:pPr>
        <w:pStyle w:val="SingleTxtG"/>
      </w:pPr>
      <w:r w:rsidRPr="005C2FF2">
        <w:rPr>
          <w:bCs/>
        </w:rPr>
        <w:t>30.</w:t>
      </w:r>
      <w:r w:rsidRPr="005C2FF2">
        <w:rPr>
          <w:bCs/>
        </w:rPr>
        <w:tab/>
      </w:r>
      <w:r w:rsidRPr="005C2FF2">
        <w:t xml:space="preserve">State hostage-taking during armed conflict is also occurring. </w:t>
      </w:r>
      <w:r>
        <w:t xml:space="preserve">The </w:t>
      </w:r>
      <w:r w:rsidRPr="005C2FF2">
        <w:t>Russia</w:t>
      </w:r>
      <w:r>
        <w:t>n Federation</w:t>
      </w:r>
      <w:r w:rsidRPr="005C2FF2">
        <w:t xml:space="preserve"> is reportedly holding more than 15,000 Ukrainian civilians hostage, as a means of applying political and psychological pressure on Ukraine</w:t>
      </w:r>
      <w:r w:rsidRPr="00A81C62">
        <w:rPr>
          <w:rStyle w:val="FootnoteReference"/>
        </w:rPr>
        <w:footnoteReference w:id="50"/>
      </w:r>
      <w:r w:rsidRPr="005C2FF2">
        <w:t xml:space="preserve"> and to intimidate occupied populations</w:t>
      </w:r>
      <w:r>
        <w:t>.</w:t>
      </w:r>
      <w:r w:rsidRPr="00A81C62">
        <w:rPr>
          <w:rStyle w:val="FootnoteReference"/>
        </w:rPr>
        <w:footnoteReference w:id="51"/>
      </w:r>
      <w:r w:rsidRPr="005C2FF2">
        <w:t xml:space="preserve"> The abduct</w:t>
      </w:r>
      <w:r>
        <w:t>ion</w:t>
      </w:r>
      <w:r w:rsidRPr="005C2FF2">
        <w:t xml:space="preserve"> </w:t>
      </w:r>
      <w:r>
        <w:t>of</w:t>
      </w:r>
      <w:r w:rsidRPr="005C2FF2">
        <w:t xml:space="preserve"> Ukrainian children to </w:t>
      </w:r>
      <w:r>
        <w:t xml:space="preserve">the </w:t>
      </w:r>
      <w:r w:rsidRPr="005C2FF2">
        <w:t>Russia</w:t>
      </w:r>
      <w:r>
        <w:t>n Federation, which is</w:t>
      </w:r>
      <w:r w:rsidRPr="005C2FF2">
        <w:t xml:space="preserve"> the subject of I</w:t>
      </w:r>
      <w:r>
        <w:t xml:space="preserve">nternational </w:t>
      </w:r>
      <w:r w:rsidRPr="005C2FF2">
        <w:t>C</w:t>
      </w:r>
      <w:r>
        <w:t xml:space="preserve">riminal </w:t>
      </w:r>
      <w:r w:rsidRPr="005C2FF2">
        <w:t>C</w:t>
      </w:r>
      <w:r>
        <w:t>ourt</w:t>
      </w:r>
      <w:r w:rsidRPr="005C2FF2">
        <w:t xml:space="preserve"> arrest warrants</w:t>
      </w:r>
      <w:r>
        <w:t>,</w:t>
      </w:r>
      <w:r w:rsidRPr="005C2FF2">
        <w:t xml:space="preserve"> may also qualify as hostage-taking</w:t>
      </w:r>
      <w:r>
        <w:t>,</w:t>
      </w:r>
      <w:r w:rsidRPr="005C2FF2">
        <w:t xml:space="preserve"> in addition to </w:t>
      </w:r>
      <w:r>
        <w:t xml:space="preserve">the </w:t>
      </w:r>
      <w:r w:rsidRPr="005C2FF2">
        <w:t>alleged crimes of unlawful transfer and deportation.</w:t>
      </w:r>
      <w:r w:rsidRPr="00A81C62">
        <w:rPr>
          <w:rStyle w:val="FootnoteReference"/>
        </w:rPr>
        <w:footnoteReference w:id="52"/>
      </w:r>
      <w:r w:rsidRPr="005C2FF2">
        <w:t xml:space="preserve"> </w:t>
      </w:r>
      <w:r>
        <w:t>In its r</w:t>
      </w:r>
      <w:r w:rsidRPr="005C2FF2">
        <w:t>esolution 78/221 on the situation of human rights in Crimea</w:t>
      </w:r>
      <w:r>
        <w:t>, the General Assembly</w:t>
      </w:r>
      <w:r w:rsidRPr="005C2FF2">
        <w:t xml:space="preserve"> call</w:t>
      </w:r>
      <w:r>
        <w:t>ed</w:t>
      </w:r>
      <w:r w:rsidRPr="005C2FF2">
        <w:t xml:space="preserve"> out </w:t>
      </w:r>
      <w:r>
        <w:t>the</w:t>
      </w:r>
      <w:r w:rsidRPr="005C2FF2">
        <w:t xml:space="preserve"> arbitrary detention </w:t>
      </w:r>
      <w:r w:rsidRPr="005C2FF2">
        <w:lastRenderedPageBreak/>
        <w:t>and holding of civilian hostages</w:t>
      </w:r>
      <w:r>
        <w:t xml:space="preserve"> by the Russian Federation</w:t>
      </w:r>
      <w:r w:rsidRPr="005C2FF2">
        <w:t>.</w:t>
      </w:r>
      <w:r w:rsidRPr="00A81C62">
        <w:rPr>
          <w:rStyle w:val="FootnoteReference"/>
        </w:rPr>
        <w:footnoteReference w:id="53"/>
      </w:r>
      <w:r w:rsidRPr="005C2FF2">
        <w:t xml:space="preserve"> In Chechnya</w:t>
      </w:r>
      <w:r>
        <w:t>,</w:t>
      </w:r>
      <w:r w:rsidRPr="005C2FF2">
        <w:t xml:space="preserve"> the relatives of bloggers </w:t>
      </w:r>
      <w:r>
        <w:t xml:space="preserve">who </w:t>
      </w:r>
      <w:r w:rsidRPr="005C2FF2">
        <w:t>liv</w:t>
      </w:r>
      <w:r>
        <w:t>e</w:t>
      </w:r>
      <w:r w:rsidRPr="005C2FF2">
        <w:t xml:space="preserve"> abroad have been reportedly abducted to exert pressure on them to provide information about the </w:t>
      </w:r>
      <w:r>
        <w:t>bloggers</w:t>
      </w:r>
      <w:r w:rsidR="006B49D7">
        <w:t>’</w:t>
      </w:r>
      <w:r>
        <w:t xml:space="preserve"> </w:t>
      </w:r>
      <w:r w:rsidRPr="005C2FF2">
        <w:t>whereabouts;</w:t>
      </w:r>
      <w:r w:rsidRPr="00A81C62">
        <w:rPr>
          <w:rStyle w:val="FootnoteReference"/>
        </w:rPr>
        <w:footnoteReference w:id="54"/>
      </w:r>
      <w:r w:rsidRPr="005C2FF2">
        <w:t xml:space="preserve"> similar practices are reported in Myanmar.</w:t>
      </w:r>
      <w:r w:rsidRPr="00A81C62">
        <w:rPr>
          <w:rStyle w:val="FootnoteReference"/>
        </w:rPr>
        <w:footnoteReference w:id="55"/>
      </w:r>
    </w:p>
    <w:p w14:paraId="6480D4A4" w14:textId="054163CD" w:rsidR="0082031F" w:rsidRPr="00904312" w:rsidRDefault="0082031F" w:rsidP="0082031F">
      <w:pPr>
        <w:pStyle w:val="SingleTxtG"/>
      </w:pPr>
      <w:r w:rsidRPr="00904312">
        <w:rPr>
          <w:bCs/>
        </w:rPr>
        <w:t>31.</w:t>
      </w:r>
      <w:r w:rsidRPr="00904312">
        <w:rPr>
          <w:bCs/>
        </w:rPr>
        <w:tab/>
      </w:r>
      <w:r w:rsidRPr="00904312">
        <w:t>At the international level</w:t>
      </w:r>
      <w:r>
        <w:t>,</w:t>
      </w:r>
      <w:r w:rsidRPr="00904312">
        <w:t xml:space="preserve"> a new initiative to address </w:t>
      </w:r>
      <w:r>
        <w:t>wrongful</w:t>
      </w:r>
      <w:r w:rsidRPr="00904312">
        <w:t xml:space="preserve"> detention</w:t>
      </w:r>
      <w:r>
        <w:t>s</w:t>
      </w:r>
      <w:r w:rsidRPr="00904312">
        <w:t xml:space="preserve"> was launched by Canada in 2021.</w:t>
      </w:r>
      <w:r w:rsidRPr="00A81C62">
        <w:rPr>
          <w:rStyle w:val="FootnoteReference"/>
        </w:rPr>
        <w:footnoteReference w:id="56"/>
      </w:r>
      <w:r w:rsidRPr="00904312">
        <w:t xml:space="preserve"> The Declaration against Arbitrary Detention in State-to</w:t>
      </w:r>
      <w:r>
        <w:t>-</w:t>
      </w:r>
      <w:r w:rsidRPr="00904312">
        <w:t>State Relations aims to increase international solidarity against the use of judicial systems to arbitrar</w:t>
      </w:r>
      <w:r>
        <w:t>il</w:t>
      </w:r>
      <w:r w:rsidRPr="00904312">
        <w:t>y arrest, det</w:t>
      </w:r>
      <w:r>
        <w:t>ain</w:t>
      </w:r>
      <w:r w:rsidRPr="00904312">
        <w:t xml:space="preserve"> and sentenc</w:t>
      </w:r>
      <w:r>
        <w:t>e</w:t>
      </w:r>
      <w:r w:rsidRPr="00904312">
        <w:t xml:space="preserve"> persons for</w:t>
      </w:r>
      <w:r>
        <w:t xml:space="preserve"> the purpose of</w:t>
      </w:r>
      <w:r w:rsidRPr="00904312">
        <w:t xml:space="preserve"> leverage</w:t>
      </w:r>
      <w:r>
        <w:t>. The Declaration has secured the endorsement of 79 States so far</w:t>
      </w:r>
      <w:r w:rsidRPr="00904312">
        <w:t xml:space="preserve">. In January 2024, Canada established </w:t>
      </w:r>
      <w:r>
        <w:t>the</w:t>
      </w:r>
      <w:r w:rsidRPr="00904312">
        <w:t xml:space="preserve"> Independent International Panel on Arbitrary</w:t>
      </w:r>
      <w:r w:rsidR="00E96400">
        <w:t xml:space="preserve"> </w:t>
      </w:r>
      <w:r w:rsidRPr="00904312">
        <w:t>Detention in State-to-State Relations, which is due to report in June 2025. It will provide an analysis of the international framework, identify gaps and develop recommendations to strengthen the norms related to hostage diplomacy.</w:t>
      </w:r>
      <w:r w:rsidRPr="00A81C62">
        <w:rPr>
          <w:rStyle w:val="FootnoteReference"/>
        </w:rPr>
        <w:footnoteReference w:id="57"/>
      </w:r>
      <w:r w:rsidRPr="00904312">
        <w:t xml:space="preserve"> The Special Rapporteur welcomes this initiative and hopes the present report will help inform that process.</w:t>
      </w:r>
    </w:p>
    <w:p w14:paraId="3D6A79A9" w14:textId="77777777" w:rsidR="0082031F" w:rsidRPr="00904312" w:rsidRDefault="0082031F" w:rsidP="0082031F">
      <w:pPr>
        <w:pStyle w:val="H1G"/>
      </w:pPr>
      <w:r w:rsidRPr="00904312">
        <w:tab/>
        <w:t>C.</w:t>
      </w:r>
      <w:r w:rsidRPr="00904312">
        <w:tab/>
      </w:r>
      <w:r>
        <w:t>A</w:t>
      </w:r>
      <w:r w:rsidRPr="00904312">
        <w:t xml:space="preserve">bsolute </w:t>
      </w:r>
      <w:r>
        <w:t>p</w:t>
      </w:r>
      <w:r w:rsidRPr="00904312">
        <w:t xml:space="preserve">rohibition </w:t>
      </w:r>
      <w:r>
        <w:t>a</w:t>
      </w:r>
      <w:r w:rsidRPr="00904312">
        <w:t xml:space="preserve">gainst </w:t>
      </w:r>
      <w:r>
        <w:t>t</w:t>
      </w:r>
      <w:r w:rsidRPr="00904312">
        <w:t xml:space="preserve">aking </w:t>
      </w:r>
      <w:r>
        <w:t>h</w:t>
      </w:r>
      <w:r w:rsidRPr="00904312">
        <w:t>ostages</w:t>
      </w:r>
    </w:p>
    <w:p w14:paraId="12C87698" w14:textId="77777777" w:rsidR="008F7B75" w:rsidRDefault="0082031F" w:rsidP="0082031F">
      <w:pPr>
        <w:pStyle w:val="SingleTxtG"/>
        <w:rPr>
          <w:rFonts w:eastAsiaTheme="minorEastAsia"/>
        </w:rPr>
      </w:pPr>
      <w:r w:rsidRPr="00904312">
        <w:rPr>
          <w:rFonts w:eastAsiaTheme="minorEastAsia"/>
          <w:bCs/>
        </w:rPr>
        <w:t>32.</w:t>
      </w:r>
      <w:r w:rsidRPr="00904312">
        <w:rPr>
          <w:rFonts w:eastAsiaTheme="minorEastAsia"/>
          <w:bCs/>
        </w:rPr>
        <w:tab/>
      </w:r>
      <w:r w:rsidRPr="00904312">
        <w:rPr>
          <w:rFonts w:eastAsiaTheme="minorEastAsia"/>
        </w:rPr>
        <w:t xml:space="preserve">The International Convention against the Taking of Hostages has been widely relied upon as providing the </w:t>
      </w:r>
      <w:r w:rsidRPr="00904312">
        <w:t>general</w:t>
      </w:r>
      <w:r w:rsidRPr="00904312">
        <w:rPr>
          <w:rFonts w:eastAsiaTheme="minorEastAsia"/>
        </w:rPr>
        <w:t xml:space="preserve"> international legal definition of </w:t>
      </w:r>
      <w:r w:rsidR="006B49D7">
        <w:rPr>
          <w:rFonts w:eastAsiaTheme="minorEastAsia"/>
        </w:rPr>
        <w:t>“</w:t>
      </w:r>
      <w:r w:rsidRPr="00904312">
        <w:rPr>
          <w:rFonts w:eastAsiaTheme="minorEastAsia"/>
        </w:rPr>
        <w:t>hostage-taking</w:t>
      </w:r>
      <w:r w:rsidR="006B49D7">
        <w:rPr>
          <w:rFonts w:eastAsiaTheme="minorEastAsia"/>
        </w:rPr>
        <w:t>”</w:t>
      </w:r>
      <w:r w:rsidRPr="00904312">
        <w:rPr>
          <w:rFonts w:eastAsiaTheme="minorEastAsia"/>
        </w:rPr>
        <w:t xml:space="preserve">. Article 1 provides </w:t>
      </w:r>
      <w:r>
        <w:rPr>
          <w:rFonts w:eastAsiaTheme="minorEastAsia"/>
        </w:rPr>
        <w:t xml:space="preserve">a definition </w:t>
      </w:r>
      <w:r w:rsidRPr="00904312">
        <w:rPr>
          <w:rFonts w:eastAsiaTheme="minorEastAsia"/>
        </w:rPr>
        <w:t>for the offence of hostage-taking – as well as the separate offences of attempting and aiding hostage-taking – as follows:</w:t>
      </w:r>
    </w:p>
    <w:p w14:paraId="3C3A18DC" w14:textId="4170786B" w:rsidR="0082031F" w:rsidRPr="00904312" w:rsidRDefault="0082031F" w:rsidP="0082031F">
      <w:pPr>
        <w:pStyle w:val="Bullet1G"/>
        <w:numPr>
          <w:ilvl w:val="0"/>
          <w:numId w:val="0"/>
        </w:numPr>
        <w:ind w:left="1701"/>
      </w:pPr>
      <w:r w:rsidRPr="00904312">
        <w:t xml:space="preserve">Any person who seizes or detains and threatens to kill, to injure or to continue to detain another person (hereinafter referred to as the </w:t>
      </w:r>
      <w:r w:rsidR="006B49D7">
        <w:t>“</w:t>
      </w:r>
      <w:r w:rsidRPr="00904312">
        <w:t>hostage</w:t>
      </w:r>
      <w:r w:rsidR="006B49D7">
        <w:t>”</w:t>
      </w:r>
      <w:r w:rsidRPr="00904312">
        <w:t>) in order to compel a third party, namely, a State, an international intergovernmental organization, a natural or juridical person, or a group of persons, to do or abstain from doing any act as an explicit or implicit condition for the release of the hostage commits the offence of taking of hostages (</w:t>
      </w:r>
      <w:r w:rsidR="006B49D7">
        <w:t>“</w:t>
      </w:r>
      <w:r w:rsidRPr="00904312">
        <w:t>hostage-taking</w:t>
      </w:r>
      <w:r w:rsidR="006B49D7">
        <w:t>”</w:t>
      </w:r>
      <w:r w:rsidRPr="00904312">
        <w:t>) within the meaning of this Convention.</w:t>
      </w:r>
    </w:p>
    <w:p w14:paraId="027E83CA" w14:textId="77777777" w:rsidR="008F7B75" w:rsidRDefault="0082031F" w:rsidP="0082031F">
      <w:pPr>
        <w:pStyle w:val="SingleTxtG"/>
      </w:pPr>
      <w:r w:rsidRPr="00904312">
        <w:rPr>
          <w:bCs/>
        </w:rPr>
        <w:t>33.</w:t>
      </w:r>
      <w:r w:rsidRPr="00904312">
        <w:rPr>
          <w:bCs/>
        </w:rPr>
        <w:tab/>
      </w:r>
      <w:r w:rsidRPr="00904312">
        <w:t xml:space="preserve">Absent a definition of hostage-taking in international humanitarian law or international criminal law, it is widely agreed that the above </w:t>
      </w:r>
      <w:r w:rsidRPr="00904312">
        <w:rPr>
          <w:rFonts w:eastAsiaTheme="minorEastAsia"/>
        </w:rPr>
        <w:t>definition</w:t>
      </w:r>
      <w:r w:rsidRPr="00904312">
        <w:t xml:space="preserve"> – containing three elements – is the applicable one for all purposes.</w:t>
      </w:r>
      <w:r w:rsidRPr="00A81C62">
        <w:rPr>
          <w:rStyle w:val="FootnoteReference"/>
        </w:rPr>
        <w:footnoteReference w:id="58"/>
      </w:r>
    </w:p>
    <w:p w14:paraId="5BD97EA4" w14:textId="2F7A50E7" w:rsidR="0082031F" w:rsidRPr="00904312" w:rsidRDefault="0082031F" w:rsidP="0082031F">
      <w:pPr>
        <w:pStyle w:val="SingleTxtG"/>
        <w:rPr>
          <w:rFonts w:eastAsiaTheme="minorEastAsia"/>
        </w:rPr>
      </w:pPr>
      <w:r w:rsidRPr="00904312">
        <w:rPr>
          <w:rFonts w:eastAsiaTheme="minorEastAsia"/>
          <w:bCs/>
        </w:rPr>
        <w:t>34.</w:t>
      </w:r>
      <w:r w:rsidRPr="00904312">
        <w:rPr>
          <w:rFonts w:eastAsiaTheme="minorEastAsia"/>
          <w:bCs/>
        </w:rPr>
        <w:tab/>
      </w:r>
      <w:r w:rsidRPr="00904312">
        <w:rPr>
          <w:rFonts w:eastAsiaTheme="minorEastAsia"/>
        </w:rPr>
        <w:t>The Convention was proposed and negotiated in response to a proliferation of hostage</w:t>
      </w:r>
      <w:r w:rsidR="0057233E">
        <w:rPr>
          <w:rFonts w:eastAsiaTheme="minorEastAsia"/>
        </w:rPr>
        <w:noBreakHyphen/>
      </w:r>
      <w:r w:rsidRPr="00904312">
        <w:rPr>
          <w:rFonts w:eastAsiaTheme="minorEastAsia"/>
        </w:rPr>
        <w:t>taking in the 1970s, perpetrated predominantly by non-</w:t>
      </w:r>
      <w:r>
        <w:rPr>
          <w:rFonts w:eastAsiaTheme="minorEastAsia"/>
        </w:rPr>
        <w:t>S</w:t>
      </w:r>
      <w:r w:rsidRPr="00904312">
        <w:rPr>
          <w:rFonts w:eastAsiaTheme="minorEastAsia"/>
        </w:rPr>
        <w:t>tate actors. There was an urgent need to develop international cooperation in devising and adopting effective measures for preventing, prosecuting and punishing all acts of hostage-taking as international terrorism.</w:t>
      </w:r>
      <w:r w:rsidRPr="00A81C62">
        <w:rPr>
          <w:rStyle w:val="FootnoteReference"/>
        </w:rPr>
        <w:footnoteReference w:id="59"/>
      </w:r>
      <w:r w:rsidRPr="00904312">
        <w:rPr>
          <w:rFonts w:eastAsiaTheme="minorEastAsia"/>
          <w:vertAlign w:val="superscript"/>
        </w:rPr>
        <w:t xml:space="preserve"> </w:t>
      </w:r>
      <w:r w:rsidRPr="00904312">
        <w:rPr>
          <w:rFonts w:eastAsiaTheme="minorEastAsia"/>
        </w:rPr>
        <w:t xml:space="preserve">Other relevant international instruments concerned with addressing international terrorism that may involve hostage-taking include </w:t>
      </w:r>
      <w:r>
        <w:rPr>
          <w:rFonts w:eastAsiaTheme="minorEastAsia"/>
        </w:rPr>
        <w:t xml:space="preserve">those on </w:t>
      </w:r>
      <w:r w:rsidRPr="00904312">
        <w:rPr>
          <w:rFonts w:eastAsiaTheme="minorEastAsia"/>
        </w:rPr>
        <w:t>the hijacking of an aircraft</w:t>
      </w:r>
      <w:r w:rsidRPr="00A81C62">
        <w:rPr>
          <w:rStyle w:val="FootnoteReference"/>
        </w:rPr>
        <w:footnoteReference w:id="60"/>
      </w:r>
      <w:r w:rsidRPr="00904312">
        <w:rPr>
          <w:rFonts w:eastAsiaTheme="minorEastAsia"/>
        </w:rPr>
        <w:t xml:space="preserve"> or the kidnapping of certain categories of persons (such as State officials or officials of </w:t>
      </w:r>
      <w:r w:rsidRPr="00904312">
        <w:rPr>
          <w:rFonts w:eastAsiaTheme="minorEastAsia"/>
        </w:rPr>
        <w:lastRenderedPageBreak/>
        <w:t>international organi</w:t>
      </w:r>
      <w:r>
        <w:rPr>
          <w:rFonts w:eastAsiaTheme="minorEastAsia"/>
        </w:rPr>
        <w:t>z</w:t>
      </w:r>
      <w:r w:rsidRPr="00904312">
        <w:rPr>
          <w:rFonts w:eastAsiaTheme="minorEastAsia"/>
        </w:rPr>
        <w:t>ations or diplomats</w:t>
      </w:r>
      <w:r>
        <w:rPr>
          <w:rFonts w:eastAsiaTheme="minorEastAsia"/>
        </w:rPr>
        <w:t>);</w:t>
      </w:r>
      <w:r w:rsidRPr="00A81C62">
        <w:rPr>
          <w:rStyle w:val="FootnoteReference"/>
        </w:rPr>
        <w:footnoteReference w:id="61"/>
      </w:r>
      <w:r w:rsidRPr="00904312">
        <w:rPr>
          <w:rFonts w:eastAsiaTheme="minorEastAsia"/>
        </w:rPr>
        <w:t xml:space="preserve"> however</w:t>
      </w:r>
      <w:r>
        <w:rPr>
          <w:rFonts w:eastAsiaTheme="minorEastAsia"/>
        </w:rPr>
        <w:t>,</w:t>
      </w:r>
      <w:r w:rsidRPr="00904312">
        <w:rPr>
          <w:rFonts w:eastAsiaTheme="minorEastAsia"/>
        </w:rPr>
        <w:t xml:space="preserve"> th</w:t>
      </w:r>
      <w:r>
        <w:rPr>
          <w:rFonts w:eastAsiaTheme="minorEastAsia"/>
        </w:rPr>
        <w:t>o</w:t>
      </w:r>
      <w:r w:rsidRPr="00904312">
        <w:rPr>
          <w:rFonts w:eastAsiaTheme="minorEastAsia"/>
        </w:rPr>
        <w:t>se instruments do not deal with the act of hostage-taking itself.</w:t>
      </w:r>
    </w:p>
    <w:p w14:paraId="47C7D7C5" w14:textId="77777777" w:rsidR="00E064BB" w:rsidRDefault="0082031F" w:rsidP="0082031F">
      <w:pPr>
        <w:pStyle w:val="SingleTxtG"/>
        <w:rPr>
          <w:rFonts w:eastAsiaTheme="minorEastAsia"/>
        </w:rPr>
      </w:pPr>
      <w:r w:rsidRPr="00904312">
        <w:rPr>
          <w:rFonts w:eastAsiaTheme="minorEastAsia"/>
          <w:bCs/>
        </w:rPr>
        <w:t>35.</w:t>
      </w:r>
      <w:r w:rsidRPr="00904312">
        <w:rPr>
          <w:rFonts w:eastAsiaTheme="minorEastAsia"/>
          <w:bCs/>
        </w:rPr>
        <w:tab/>
      </w:r>
      <w:r w:rsidRPr="00904312">
        <w:rPr>
          <w:rFonts w:eastAsiaTheme="minorEastAsia"/>
        </w:rPr>
        <w:t>The Convention obligates its 176 State</w:t>
      </w:r>
      <w:r>
        <w:rPr>
          <w:rFonts w:eastAsiaTheme="minorEastAsia"/>
        </w:rPr>
        <w:t>s</w:t>
      </w:r>
      <w:r w:rsidRPr="00904312">
        <w:rPr>
          <w:rFonts w:eastAsiaTheme="minorEastAsia"/>
        </w:rPr>
        <w:t xml:space="preserve"> parties to enact laws to criminalize, investigate, prosecute or extradite (</w:t>
      </w:r>
      <w:r w:rsidRPr="00904312">
        <w:rPr>
          <w:rFonts w:eastAsiaTheme="minorEastAsia"/>
          <w:i/>
          <w:iCs/>
        </w:rPr>
        <w:t>aut dedere aut judicare</w:t>
      </w:r>
      <w:r w:rsidRPr="00904312">
        <w:rPr>
          <w:rFonts w:eastAsiaTheme="minorEastAsia"/>
        </w:rPr>
        <w:t>)</w:t>
      </w:r>
      <w:r>
        <w:rPr>
          <w:rFonts w:eastAsiaTheme="minorEastAsia"/>
        </w:rPr>
        <w:t>,</w:t>
      </w:r>
      <w:r w:rsidRPr="00904312">
        <w:rPr>
          <w:rFonts w:eastAsiaTheme="minorEastAsia"/>
        </w:rPr>
        <w:t xml:space="preserve"> and punish hostage-taking, take measures to ease the situation of the hostage</w:t>
      </w:r>
      <w:r>
        <w:rPr>
          <w:rFonts w:eastAsiaTheme="minorEastAsia"/>
        </w:rPr>
        <w:t>s</w:t>
      </w:r>
      <w:r w:rsidRPr="00904312">
        <w:rPr>
          <w:rFonts w:eastAsiaTheme="minorEastAsia"/>
        </w:rPr>
        <w:t xml:space="preserve"> and secure their release, and </w:t>
      </w:r>
      <w:r>
        <w:rPr>
          <w:rFonts w:eastAsiaTheme="minorEastAsia"/>
        </w:rPr>
        <w:t>cooperate in the</w:t>
      </w:r>
      <w:r w:rsidRPr="00904312">
        <w:rPr>
          <w:rFonts w:eastAsiaTheme="minorEastAsia"/>
        </w:rPr>
        <w:t xml:space="preserve"> prevent</w:t>
      </w:r>
      <w:r>
        <w:rPr>
          <w:rFonts w:eastAsiaTheme="minorEastAsia"/>
        </w:rPr>
        <w:t>ion</w:t>
      </w:r>
      <w:r w:rsidRPr="00904312">
        <w:rPr>
          <w:rFonts w:eastAsiaTheme="minorEastAsia"/>
        </w:rPr>
        <w:t xml:space="preserve"> </w:t>
      </w:r>
      <w:r>
        <w:rPr>
          <w:rFonts w:eastAsiaTheme="minorEastAsia"/>
        </w:rPr>
        <w:t xml:space="preserve">of </w:t>
      </w:r>
      <w:r w:rsidRPr="00904312">
        <w:rPr>
          <w:rFonts w:eastAsiaTheme="minorEastAsia"/>
        </w:rPr>
        <w:t>hostage-taking.</w:t>
      </w:r>
      <w:r w:rsidRPr="00A81C62">
        <w:rPr>
          <w:rStyle w:val="FootnoteReference"/>
        </w:rPr>
        <w:footnoteReference w:id="62"/>
      </w:r>
    </w:p>
    <w:p w14:paraId="14B33D22" w14:textId="77777777" w:rsidR="00E064BB" w:rsidRDefault="0082031F" w:rsidP="0082031F">
      <w:pPr>
        <w:pStyle w:val="SingleTxtG"/>
      </w:pPr>
      <w:r w:rsidRPr="00904312">
        <w:rPr>
          <w:bCs/>
        </w:rPr>
        <w:t>36.</w:t>
      </w:r>
      <w:r w:rsidRPr="00904312">
        <w:rPr>
          <w:bCs/>
        </w:rPr>
        <w:tab/>
      </w:r>
      <w:r w:rsidRPr="00904312">
        <w:t xml:space="preserve">The </w:t>
      </w:r>
      <w:r w:rsidRPr="00904312">
        <w:rPr>
          <w:rFonts w:eastAsiaTheme="minorEastAsia"/>
        </w:rPr>
        <w:t>Convention</w:t>
      </w:r>
      <w:r w:rsidRPr="00904312">
        <w:t xml:space="preserve"> does not apply to hostage-taking in armed conflict.</w:t>
      </w:r>
      <w:r w:rsidRPr="00A81C62">
        <w:rPr>
          <w:rStyle w:val="FootnoteReference"/>
        </w:rPr>
        <w:footnoteReference w:id="63"/>
      </w:r>
      <w:r w:rsidRPr="00904312">
        <w:t xml:space="preserve"> Nor does it apply where the offence is committed within a single State, the hostage and the alleged offender are nationals of that State and the alleged offender is found in the territory of that State.</w:t>
      </w:r>
      <w:r w:rsidRPr="00A81C62">
        <w:rPr>
          <w:rStyle w:val="FootnoteReference"/>
        </w:rPr>
        <w:footnoteReference w:id="64"/>
      </w:r>
      <w:r w:rsidR="0048271D">
        <w:t xml:space="preserve"> </w:t>
      </w:r>
      <w:r w:rsidRPr="00904312">
        <w:t>For the Convention to apply, there must be a transnational element to the offence.</w:t>
      </w:r>
    </w:p>
    <w:p w14:paraId="2F327C0A" w14:textId="77777777" w:rsidR="00E064BB" w:rsidRDefault="0082031F" w:rsidP="0082031F">
      <w:pPr>
        <w:pStyle w:val="SingleTxtG"/>
        <w:rPr>
          <w:rFonts w:eastAsiaTheme="minorEastAsia"/>
        </w:rPr>
      </w:pPr>
      <w:r w:rsidRPr="00904312">
        <w:rPr>
          <w:rFonts w:eastAsiaTheme="minorEastAsia"/>
          <w:bCs/>
        </w:rPr>
        <w:t>37.</w:t>
      </w:r>
      <w:r w:rsidRPr="00904312">
        <w:rPr>
          <w:rFonts w:eastAsiaTheme="minorEastAsia"/>
          <w:bCs/>
        </w:rPr>
        <w:tab/>
      </w:r>
      <w:r w:rsidRPr="00904312">
        <w:rPr>
          <w:rFonts w:eastAsiaTheme="minorEastAsia"/>
        </w:rPr>
        <w:t>While there may be some disagreement as to whether the Convention is applicable to State hostage-taking</w:t>
      </w:r>
      <w:r>
        <w:rPr>
          <w:rFonts w:eastAsiaTheme="minorEastAsia"/>
        </w:rPr>
        <w:t>,</w:t>
      </w:r>
      <w:r w:rsidRPr="00A81C62">
        <w:rPr>
          <w:rStyle w:val="FootnoteReference"/>
        </w:rPr>
        <w:footnoteReference w:id="65"/>
      </w:r>
      <w:r w:rsidRPr="00904312">
        <w:rPr>
          <w:rFonts w:eastAsiaTheme="minorEastAsia"/>
        </w:rPr>
        <w:t xml:space="preserve"> the Special Rapporteur takes the position that it applies. The </w:t>
      </w:r>
      <w:r>
        <w:rPr>
          <w:rFonts w:eastAsiaTheme="minorEastAsia"/>
        </w:rPr>
        <w:t>definition in the</w:t>
      </w:r>
      <w:r w:rsidRPr="00904312">
        <w:rPr>
          <w:rFonts w:eastAsiaTheme="minorEastAsia"/>
        </w:rPr>
        <w:t xml:space="preserve"> Convention does not distinguish between </w:t>
      </w:r>
      <w:r>
        <w:rPr>
          <w:rFonts w:eastAsiaTheme="minorEastAsia"/>
        </w:rPr>
        <w:t>S</w:t>
      </w:r>
      <w:r w:rsidRPr="00904312">
        <w:rPr>
          <w:rFonts w:eastAsiaTheme="minorEastAsia"/>
        </w:rPr>
        <w:t xml:space="preserve">tate </w:t>
      </w:r>
      <w:r>
        <w:rPr>
          <w:rFonts w:eastAsiaTheme="minorEastAsia"/>
        </w:rPr>
        <w:t>and</w:t>
      </w:r>
      <w:r w:rsidRPr="00904312">
        <w:rPr>
          <w:rFonts w:eastAsiaTheme="minorEastAsia"/>
        </w:rPr>
        <w:t xml:space="preserve"> non-</w:t>
      </w:r>
      <w:r>
        <w:rPr>
          <w:rFonts w:eastAsiaTheme="minorEastAsia"/>
        </w:rPr>
        <w:t>S</w:t>
      </w:r>
      <w:r w:rsidRPr="00904312">
        <w:rPr>
          <w:rFonts w:eastAsiaTheme="minorEastAsia"/>
        </w:rPr>
        <w:t xml:space="preserve">tate perpetrators. Rather it requires States parties to prosecute </w:t>
      </w:r>
      <w:r w:rsidR="006B49D7">
        <w:rPr>
          <w:rFonts w:eastAsiaTheme="minorEastAsia"/>
        </w:rPr>
        <w:t>“</w:t>
      </w:r>
      <w:r w:rsidRPr="00904312">
        <w:rPr>
          <w:rFonts w:eastAsiaTheme="minorEastAsia"/>
        </w:rPr>
        <w:t>any person</w:t>
      </w:r>
      <w:r w:rsidR="006B49D7">
        <w:rPr>
          <w:rFonts w:eastAsiaTheme="minorEastAsia"/>
        </w:rPr>
        <w:t>”</w:t>
      </w:r>
      <w:r w:rsidRPr="00904312">
        <w:rPr>
          <w:rFonts w:eastAsiaTheme="minorEastAsia"/>
        </w:rPr>
        <w:t xml:space="preserve"> who engages in such crimes. No exception for</w:t>
      </w:r>
      <w:r w:rsidR="0048271D">
        <w:rPr>
          <w:rFonts w:eastAsiaTheme="minorEastAsia"/>
        </w:rPr>
        <w:t xml:space="preserve"> </w:t>
      </w:r>
      <w:r w:rsidRPr="00904312">
        <w:rPr>
          <w:rFonts w:eastAsiaTheme="minorEastAsia"/>
        </w:rPr>
        <w:t>State agents can be implied from this wording.</w:t>
      </w:r>
      <w:r w:rsidRPr="00A81C62">
        <w:rPr>
          <w:rStyle w:val="FootnoteReference"/>
        </w:rPr>
        <w:footnoteReference w:id="66"/>
      </w:r>
    </w:p>
    <w:p w14:paraId="6605E3CB" w14:textId="77777777" w:rsidR="00E064BB" w:rsidRDefault="0082031F" w:rsidP="0082031F">
      <w:pPr>
        <w:pStyle w:val="SingleTxtG"/>
      </w:pPr>
      <w:r w:rsidRPr="00904312">
        <w:rPr>
          <w:bCs/>
        </w:rPr>
        <w:t>38.</w:t>
      </w:r>
      <w:r w:rsidRPr="00904312">
        <w:rPr>
          <w:bCs/>
        </w:rPr>
        <w:tab/>
      </w:r>
      <w:r w:rsidRPr="00904312">
        <w:t>The International Court of Justice has provided clarity on the obligations of States in situations where the initial hostage-taking was carried out by non-</w:t>
      </w:r>
      <w:r>
        <w:t>S</w:t>
      </w:r>
      <w:r w:rsidRPr="00904312">
        <w:t xml:space="preserve">tate perpetrators: </w:t>
      </w:r>
      <w:r w:rsidR="006B49D7">
        <w:t>“</w:t>
      </w:r>
      <w:r w:rsidRPr="00904312">
        <w:t>Once organs of the Iranian S</w:t>
      </w:r>
      <w:r>
        <w:t>t</w:t>
      </w:r>
      <w:r w:rsidRPr="00904312">
        <w:t>ate had</w:t>
      </w:r>
      <w:r>
        <w:t xml:space="preserve"> thus</w:t>
      </w:r>
      <w:r w:rsidRPr="00904312">
        <w:t xml:space="preserve"> given approval to the acts complained of and decided to perpetuate them as a means of pressure on the United States, those acts were transformed into acts of the Iranian State: the militants became agents of th</w:t>
      </w:r>
      <w:r>
        <w:t>at</w:t>
      </w:r>
      <w:r w:rsidRPr="00904312">
        <w:t xml:space="preserve"> State, which itself became internationally responsible for the</w:t>
      </w:r>
      <w:r>
        <w:t>ir</w:t>
      </w:r>
      <w:r w:rsidRPr="00904312">
        <w:t xml:space="preserve"> acts</w:t>
      </w:r>
      <w:r>
        <w:t>.</w:t>
      </w:r>
      <w:r w:rsidR="006B49D7">
        <w:t>”</w:t>
      </w:r>
      <w:r w:rsidRPr="00A81C62">
        <w:rPr>
          <w:rStyle w:val="FootnoteReference"/>
        </w:rPr>
        <w:footnoteReference w:id="67"/>
      </w:r>
      <w:r w:rsidRPr="00904312">
        <w:t xml:space="preserve"> The Court found </w:t>
      </w:r>
      <w:r>
        <w:t xml:space="preserve">that the Islamic Republic of </w:t>
      </w:r>
      <w:r w:rsidRPr="00904312">
        <w:t>Iran was bound to secure the immediate release of the hostages, to restore the Embassy premises and to make reparation for the injury caused to the United States Government.</w:t>
      </w:r>
    </w:p>
    <w:p w14:paraId="3B5A3E19" w14:textId="77777777" w:rsidR="00E064BB" w:rsidRDefault="0082031F" w:rsidP="0082031F">
      <w:pPr>
        <w:pStyle w:val="SingleTxtG"/>
        <w:rPr>
          <w:rFonts w:eastAsiaTheme="minorEastAsia"/>
        </w:rPr>
      </w:pPr>
      <w:r w:rsidRPr="00904312">
        <w:rPr>
          <w:rFonts w:eastAsiaTheme="minorEastAsia"/>
          <w:bCs/>
        </w:rPr>
        <w:t>39.</w:t>
      </w:r>
      <w:r w:rsidRPr="00904312">
        <w:rPr>
          <w:rFonts w:eastAsiaTheme="minorEastAsia"/>
          <w:bCs/>
        </w:rPr>
        <w:tab/>
      </w:r>
      <w:r w:rsidRPr="00904312">
        <w:rPr>
          <w:rFonts w:eastAsiaTheme="minorEastAsia"/>
        </w:rPr>
        <w:t xml:space="preserve">The International Court of Justice in its provisional orders </w:t>
      </w:r>
      <w:r>
        <w:rPr>
          <w:rFonts w:eastAsiaTheme="minorEastAsia"/>
        </w:rPr>
        <w:t xml:space="preserve">in </w:t>
      </w:r>
      <w:r w:rsidRPr="00904312">
        <w:rPr>
          <w:rFonts w:eastAsiaTheme="minorEastAsia"/>
          <w:i/>
          <w:iCs/>
        </w:rPr>
        <w:t>South Africa v. Israe</w:t>
      </w:r>
      <w:r>
        <w:rPr>
          <w:rFonts w:eastAsiaTheme="minorEastAsia"/>
          <w:i/>
          <w:iCs/>
        </w:rPr>
        <w:t>l</w:t>
      </w:r>
      <w:r w:rsidRPr="00904312">
        <w:rPr>
          <w:rFonts w:eastAsiaTheme="minorEastAsia"/>
        </w:rPr>
        <w:t xml:space="preserve"> </w:t>
      </w:r>
      <w:r>
        <w:rPr>
          <w:rFonts w:eastAsiaTheme="minorEastAsia"/>
        </w:rPr>
        <w:t>ordered</w:t>
      </w:r>
      <w:r w:rsidRPr="00904312">
        <w:rPr>
          <w:rFonts w:eastAsiaTheme="minorEastAsia"/>
        </w:rPr>
        <w:t xml:space="preserve"> that</w:t>
      </w:r>
      <w:r>
        <w:rPr>
          <w:rFonts w:eastAsiaTheme="minorEastAsia"/>
        </w:rPr>
        <w:t>:</w:t>
      </w:r>
      <w:r w:rsidRPr="00904312">
        <w:rPr>
          <w:rFonts w:eastAsiaTheme="minorEastAsia"/>
        </w:rPr>
        <w:t xml:space="preserve"> </w:t>
      </w:r>
      <w:r w:rsidR="006B49D7">
        <w:rPr>
          <w:rFonts w:eastAsiaTheme="minorEastAsia"/>
        </w:rPr>
        <w:t>“</w:t>
      </w:r>
      <w:r w:rsidRPr="00904312">
        <w:rPr>
          <w:rFonts w:eastAsiaTheme="minorEastAsia"/>
        </w:rPr>
        <w:t xml:space="preserve">The Court deems it necessary to emphasize that all parties to the conflict in the Gaza Strip are bound by international humanitarian law. It is gravely concerned about the fate of the hostages abducted during the attack in Israel on 7 October 2023 and held since then by Hamas and other armed </w:t>
      </w:r>
      <w:proofErr w:type="gramStart"/>
      <w:r w:rsidRPr="00904312">
        <w:rPr>
          <w:rFonts w:eastAsiaTheme="minorEastAsia"/>
        </w:rPr>
        <w:t>groups, and</w:t>
      </w:r>
      <w:proofErr w:type="gramEnd"/>
      <w:r w:rsidRPr="00904312">
        <w:rPr>
          <w:rFonts w:eastAsiaTheme="minorEastAsia"/>
        </w:rPr>
        <w:t xml:space="preserve"> calls for their immediate and unconditional release.</w:t>
      </w:r>
      <w:r w:rsidR="006B49D7">
        <w:rPr>
          <w:rFonts w:eastAsiaTheme="minorEastAsia"/>
        </w:rPr>
        <w:t>”</w:t>
      </w:r>
      <w:r w:rsidRPr="00A81C62">
        <w:rPr>
          <w:rStyle w:val="FootnoteReference"/>
        </w:rPr>
        <w:footnoteReference w:id="68"/>
      </w:r>
    </w:p>
    <w:p w14:paraId="438C9F66" w14:textId="0B00DE3B" w:rsidR="0082031F" w:rsidRPr="002E6E62" w:rsidRDefault="0082031F" w:rsidP="0082031F">
      <w:pPr>
        <w:pStyle w:val="SingleTxtG"/>
        <w:rPr>
          <w:rFonts w:eastAsiaTheme="minorEastAsia"/>
        </w:rPr>
      </w:pPr>
      <w:r w:rsidRPr="002E6E62">
        <w:rPr>
          <w:rFonts w:eastAsiaTheme="minorEastAsia"/>
          <w:bCs/>
        </w:rPr>
        <w:t>40.</w:t>
      </w:r>
      <w:r w:rsidRPr="002E6E62">
        <w:rPr>
          <w:rFonts w:eastAsiaTheme="minorEastAsia"/>
          <w:bCs/>
        </w:rPr>
        <w:tab/>
      </w:r>
      <w:r w:rsidRPr="00904312">
        <w:rPr>
          <w:rFonts w:eastAsiaTheme="minorEastAsia"/>
        </w:rPr>
        <w:t xml:space="preserve">The Security Council has been seized of the matter of hostage-taking on multiple occasions. The Council has </w:t>
      </w:r>
      <w:r>
        <w:rPr>
          <w:rFonts w:eastAsiaTheme="minorEastAsia"/>
        </w:rPr>
        <w:t>c</w:t>
      </w:r>
      <w:r w:rsidRPr="00904312">
        <w:rPr>
          <w:rFonts w:eastAsiaTheme="minorEastAsia"/>
        </w:rPr>
        <w:t xml:space="preserve">ondemned unequivocally all acts of hostage-taking and abduction, </w:t>
      </w:r>
      <w:r>
        <w:rPr>
          <w:rFonts w:eastAsiaTheme="minorEastAsia"/>
        </w:rPr>
        <w:t>d</w:t>
      </w:r>
      <w:r w:rsidRPr="00904312">
        <w:rPr>
          <w:rFonts w:eastAsiaTheme="minorEastAsia"/>
        </w:rPr>
        <w:t>emanded the immediate safe release of all hostages and abducted persons, wherever and by whomever they are being held</w:t>
      </w:r>
      <w:r>
        <w:rPr>
          <w:rFonts w:eastAsiaTheme="minorEastAsia"/>
        </w:rPr>
        <w:t>,</w:t>
      </w:r>
      <w:r w:rsidRPr="00904312">
        <w:rPr>
          <w:rFonts w:eastAsiaTheme="minorEastAsia"/>
        </w:rPr>
        <w:t xml:space="preserve"> and called upon all States to use their political influence in accordance with the Charter of </w:t>
      </w:r>
      <w:r w:rsidRPr="002E6E62">
        <w:rPr>
          <w:rFonts w:eastAsiaTheme="minorEastAsia"/>
        </w:rPr>
        <w:t xml:space="preserve">the United Nations and the principles of international law to secure the safe release of all hostages and abducted persons and to prevent </w:t>
      </w:r>
      <w:r w:rsidRPr="002E6E62">
        <w:rPr>
          <w:rFonts w:eastAsiaTheme="minorEastAsia"/>
        </w:rPr>
        <w:lastRenderedPageBreak/>
        <w:t>the commission of acts of hostage-taking and abduction.</w:t>
      </w:r>
      <w:r w:rsidRPr="00A81C62">
        <w:rPr>
          <w:rStyle w:val="FootnoteReference"/>
        </w:rPr>
        <w:footnoteReference w:id="69"/>
      </w:r>
      <w:r w:rsidRPr="002E6E62">
        <w:rPr>
          <w:rFonts w:eastAsiaTheme="minorEastAsia"/>
        </w:rPr>
        <w:t xml:space="preserve"> The Commission on the Status of Women has also adopted resolutions calling for the release of female and child hostages.</w:t>
      </w:r>
      <w:r w:rsidRPr="00A81C62">
        <w:rPr>
          <w:rStyle w:val="FootnoteReference"/>
        </w:rPr>
        <w:footnoteReference w:id="70"/>
      </w:r>
    </w:p>
    <w:p w14:paraId="6100C592" w14:textId="77777777" w:rsidR="00E064BB" w:rsidRDefault="0082031F" w:rsidP="0082031F">
      <w:pPr>
        <w:pStyle w:val="SingleTxtG"/>
        <w:rPr>
          <w:rFonts w:eastAsiaTheme="minorEastAsia"/>
        </w:rPr>
      </w:pPr>
      <w:r w:rsidRPr="00904312">
        <w:rPr>
          <w:rFonts w:eastAsiaTheme="minorEastAsia"/>
          <w:bCs/>
        </w:rPr>
        <w:t>41.</w:t>
      </w:r>
      <w:r w:rsidRPr="00904312">
        <w:rPr>
          <w:rFonts w:eastAsiaTheme="minorEastAsia"/>
          <w:bCs/>
        </w:rPr>
        <w:tab/>
      </w:r>
      <w:r w:rsidRPr="002E6E62">
        <w:rPr>
          <w:rFonts w:eastAsiaTheme="minorEastAsia"/>
        </w:rPr>
        <w:t>Hostage-taking has been prohibited under international humanitarian law since</w:t>
      </w:r>
      <w:r w:rsidRPr="00904312">
        <w:rPr>
          <w:rFonts w:eastAsiaTheme="minorEastAsia"/>
        </w:rPr>
        <w:t xml:space="preserve"> Nuremberg</w:t>
      </w:r>
      <w:r w:rsidRPr="00A81C62">
        <w:rPr>
          <w:rStyle w:val="FootnoteReference"/>
        </w:rPr>
        <w:footnoteReference w:id="71"/>
      </w:r>
      <w:r>
        <w:rPr>
          <w:rFonts w:eastAsiaTheme="minorEastAsia"/>
        </w:rPr>
        <w:t xml:space="preserve"> </w:t>
      </w:r>
      <w:r w:rsidRPr="00904312">
        <w:rPr>
          <w:rFonts w:eastAsiaTheme="minorEastAsia"/>
        </w:rPr>
        <w:t>and was completely outlawed by the Geneva Conventions</w:t>
      </w:r>
      <w:r>
        <w:rPr>
          <w:rFonts w:eastAsiaTheme="minorEastAsia"/>
        </w:rPr>
        <w:t>.</w:t>
      </w:r>
      <w:r w:rsidRPr="00A81C62">
        <w:rPr>
          <w:rStyle w:val="FootnoteReference"/>
        </w:rPr>
        <w:footnoteReference w:id="72"/>
      </w:r>
      <w:r w:rsidRPr="00904312">
        <w:rPr>
          <w:rFonts w:eastAsiaTheme="minorEastAsia"/>
        </w:rPr>
        <w:t xml:space="preserve"> The two Additional Protocols reaffirmed this categorical prohibition, and the prohibition is now considered part of customary international law.</w:t>
      </w:r>
      <w:r w:rsidRPr="00A81C62">
        <w:rPr>
          <w:rStyle w:val="FootnoteReference"/>
        </w:rPr>
        <w:footnoteReference w:id="73"/>
      </w:r>
      <w:r w:rsidRPr="00904312">
        <w:rPr>
          <w:rFonts w:eastAsiaTheme="minorEastAsia"/>
        </w:rPr>
        <w:t xml:space="preserve"> The Additional Protocols confirm that hostage-taking is absolutely prohibited </w:t>
      </w:r>
      <w:r w:rsidR="006B49D7">
        <w:rPr>
          <w:rFonts w:eastAsiaTheme="minorEastAsia"/>
        </w:rPr>
        <w:t>“</w:t>
      </w:r>
      <w:r w:rsidRPr="00904312">
        <w:rPr>
          <w:rFonts w:eastAsiaTheme="minorEastAsia"/>
        </w:rPr>
        <w:t>at any time and in any place whatsoever, whether committed by civilian or military agents</w:t>
      </w:r>
      <w:r w:rsidR="006B49D7">
        <w:rPr>
          <w:rFonts w:eastAsiaTheme="minorEastAsia"/>
        </w:rPr>
        <w:t>”</w:t>
      </w:r>
      <w:r w:rsidRPr="00904312">
        <w:rPr>
          <w:rFonts w:eastAsiaTheme="minorEastAsia"/>
        </w:rPr>
        <w:t>.</w:t>
      </w:r>
      <w:r w:rsidRPr="00A81C62">
        <w:rPr>
          <w:rStyle w:val="FootnoteReference"/>
        </w:rPr>
        <w:footnoteReference w:id="74"/>
      </w:r>
      <w:r w:rsidRPr="00904312">
        <w:rPr>
          <w:rFonts w:eastAsiaTheme="minorEastAsia"/>
        </w:rPr>
        <w:t xml:space="preserve"> There is no difference between hostage-taking in international armed conflicts and hostage-taking in armed conflicts</w:t>
      </w:r>
      <w:r>
        <w:rPr>
          <w:rFonts w:eastAsiaTheme="minorEastAsia"/>
        </w:rPr>
        <w:t xml:space="preserve"> that are not international conflicts</w:t>
      </w:r>
      <w:r w:rsidRPr="00904312">
        <w:rPr>
          <w:rFonts w:eastAsiaTheme="minorEastAsia"/>
        </w:rPr>
        <w:t>.</w:t>
      </w:r>
      <w:r w:rsidRPr="00A81C62">
        <w:rPr>
          <w:rStyle w:val="FootnoteReference"/>
        </w:rPr>
        <w:footnoteReference w:id="75"/>
      </w:r>
    </w:p>
    <w:p w14:paraId="1DD1ED45" w14:textId="100D158F" w:rsidR="0082031F" w:rsidRPr="00904312" w:rsidRDefault="0082031F" w:rsidP="0082031F">
      <w:pPr>
        <w:pStyle w:val="SingleTxtG"/>
      </w:pPr>
      <w:r w:rsidRPr="00904312">
        <w:rPr>
          <w:bCs/>
        </w:rPr>
        <w:t>42.</w:t>
      </w:r>
      <w:r w:rsidRPr="00904312">
        <w:rPr>
          <w:bCs/>
        </w:rPr>
        <w:tab/>
      </w:r>
      <w:r w:rsidRPr="00904312">
        <w:t>The key element that distinguishes hostage-taking from other abductions or kidnappings is that the perpetrators intend to obtain a concession or gain an advantage.</w:t>
      </w:r>
      <w:r w:rsidRPr="00A81C62">
        <w:rPr>
          <w:rStyle w:val="FootnoteReference"/>
        </w:rPr>
        <w:footnoteReference w:id="76"/>
      </w:r>
      <w:r w:rsidRPr="00904312">
        <w:rPr>
          <w:lang w:val="en-US"/>
        </w:rPr>
        <w:t xml:space="preserve"> The requisite intent to take hostages need not be present at the outset of their detention. The intent can develop during the detention to secure a compromise or benefit.</w:t>
      </w:r>
      <w:r w:rsidRPr="00A81C62">
        <w:rPr>
          <w:rStyle w:val="FootnoteReference"/>
        </w:rPr>
        <w:footnoteReference w:id="77"/>
      </w:r>
      <w:r w:rsidRPr="00904312">
        <w:t xml:space="preserve"> Intention may be derived from the wider context and circumstances surrounding</w:t>
      </w:r>
      <w:r w:rsidR="002548D6">
        <w:t xml:space="preserve"> </w:t>
      </w:r>
      <w:r w:rsidRPr="00904312">
        <w:t>the detention.</w:t>
      </w:r>
      <w:r w:rsidRPr="00A81C62">
        <w:rPr>
          <w:rStyle w:val="FootnoteReference"/>
        </w:rPr>
        <w:footnoteReference w:id="78"/>
      </w:r>
    </w:p>
    <w:p w14:paraId="1988371A" w14:textId="77777777" w:rsidR="0082031F" w:rsidRPr="00904312" w:rsidRDefault="0082031F" w:rsidP="0082031F">
      <w:pPr>
        <w:pStyle w:val="SingleTxtG"/>
      </w:pPr>
      <w:r w:rsidRPr="00904312">
        <w:rPr>
          <w:bCs/>
        </w:rPr>
        <w:t>43.</w:t>
      </w:r>
      <w:r w:rsidRPr="00904312">
        <w:rPr>
          <w:bCs/>
        </w:rPr>
        <w:tab/>
      </w:r>
      <w:r w:rsidRPr="00904312">
        <w:rPr>
          <w:lang w:val="en-US"/>
        </w:rPr>
        <w:t xml:space="preserve">Individuals do </w:t>
      </w:r>
      <w:r w:rsidRPr="00904312">
        <w:rPr>
          <w:rFonts w:eastAsiaTheme="minorEastAsia"/>
        </w:rPr>
        <w:t>not</w:t>
      </w:r>
      <w:r w:rsidRPr="00904312">
        <w:rPr>
          <w:lang w:val="en-US"/>
        </w:rPr>
        <w:t xml:space="preserve"> need to be detained unlawfully or arbitrarily to be considered hostages. On the contrary, persons whose detention may be lawful, such as in the case of persons posing a security threat or prisoners of war, could later be used as hostages to compel a third party to act.</w:t>
      </w:r>
    </w:p>
    <w:p w14:paraId="19B69B6B" w14:textId="77777777" w:rsidR="0082031F" w:rsidRPr="00904312" w:rsidRDefault="0082031F" w:rsidP="0082031F">
      <w:pPr>
        <w:pStyle w:val="SingleTxtG"/>
        <w:rPr>
          <w:lang w:val="en-US"/>
        </w:rPr>
      </w:pPr>
      <w:r w:rsidRPr="00904312">
        <w:rPr>
          <w:bCs/>
          <w:lang w:val="en-US"/>
        </w:rPr>
        <w:t>44.</w:t>
      </w:r>
      <w:r w:rsidRPr="00904312">
        <w:rPr>
          <w:bCs/>
          <w:lang w:val="en-US"/>
        </w:rPr>
        <w:tab/>
      </w:r>
      <w:r w:rsidRPr="00904312">
        <w:t>Although the prohibition of hostage-taking is typically associated with the holding of civilians as hostages, the offence can also be applied to the taking of soldiers.</w:t>
      </w:r>
      <w:r w:rsidRPr="00A81C62">
        <w:rPr>
          <w:rStyle w:val="FootnoteReference"/>
        </w:rPr>
        <w:footnoteReference w:id="79"/>
      </w:r>
      <w:r w:rsidRPr="00904312">
        <w:t xml:space="preserve"> Where </w:t>
      </w:r>
      <w:r w:rsidRPr="00904312">
        <w:rPr>
          <w:lang w:val="en-US"/>
        </w:rPr>
        <w:t>State or non-</w:t>
      </w:r>
      <w:r>
        <w:rPr>
          <w:lang w:val="en-US"/>
        </w:rPr>
        <w:t>S</w:t>
      </w:r>
      <w:r w:rsidRPr="00904312">
        <w:rPr>
          <w:lang w:val="en-US"/>
        </w:rPr>
        <w:t xml:space="preserve">tate </w:t>
      </w:r>
      <w:proofErr w:type="gramStart"/>
      <w:r w:rsidRPr="00904312">
        <w:rPr>
          <w:lang w:val="en-US"/>
        </w:rPr>
        <w:t>actor</w:t>
      </w:r>
      <w:r>
        <w:rPr>
          <w:lang w:val="en-US"/>
        </w:rPr>
        <w:t>s</w:t>
      </w:r>
      <w:proofErr w:type="gramEnd"/>
      <w:r w:rsidRPr="00904312">
        <w:rPr>
          <w:lang w:val="en-US"/>
        </w:rPr>
        <w:t xml:space="preserve"> resort to the abduction of soldiers, with </w:t>
      </w:r>
      <w:r>
        <w:rPr>
          <w:lang w:val="en-US"/>
        </w:rPr>
        <w:t>a</w:t>
      </w:r>
      <w:r w:rsidRPr="00904312">
        <w:rPr>
          <w:lang w:val="en-US"/>
        </w:rPr>
        <w:t xml:space="preserve"> view to </w:t>
      </w:r>
      <w:r w:rsidRPr="00904312">
        <w:rPr>
          <w:rFonts w:eastAsiaTheme="minorEastAsia"/>
        </w:rPr>
        <w:t>improving</w:t>
      </w:r>
      <w:r w:rsidRPr="00904312">
        <w:rPr>
          <w:lang w:val="en-US"/>
        </w:rPr>
        <w:t xml:space="preserve"> their exchange of prisoners or other demands, this too is prohibited.</w:t>
      </w:r>
    </w:p>
    <w:p w14:paraId="56D80CDD" w14:textId="77777777" w:rsidR="00E064BB" w:rsidRDefault="0082031F" w:rsidP="0082031F">
      <w:pPr>
        <w:pStyle w:val="SingleTxtG"/>
      </w:pPr>
      <w:r w:rsidRPr="00904312">
        <w:rPr>
          <w:bCs/>
        </w:rPr>
        <w:t>45.</w:t>
      </w:r>
      <w:r w:rsidRPr="00904312">
        <w:rPr>
          <w:bCs/>
        </w:rPr>
        <w:tab/>
      </w:r>
      <w:r w:rsidRPr="00904312">
        <w:t>Hostage-taking is not explicitly listed as one of the covered acts to be considered a crime against humanity in the Rome Statute or in international humanitarian law</w:t>
      </w:r>
      <w:r>
        <w:t>;</w:t>
      </w:r>
      <w:r w:rsidRPr="00904312">
        <w:t xml:space="preserve"> however</w:t>
      </w:r>
      <w:r>
        <w:t>,</w:t>
      </w:r>
      <w:r w:rsidRPr="00904312">
        <w:t xml:space="preserve"> it is the view of the Special Rapporteur that the harms inherent in hostage-taking</w:t>
      </w:r>
      <w:r>
        <w:t xml:space="preserve"> </w:t>
      </w:r>
      <w:r w:rsidRPr="00904312">
        <w:t xml:space="preserve">– most notably torture –render </w:t>
      </w:r>
      <w:r>
        <w:t>it</w:t>
      </w:r>
      <w:r w:rsidRPr="00904312">
        <w:t xml:space="preserve"> a crime against humanity when committed as part of a </w:t>
      </w:r>
      <w:r w:rsidRPr="00904312">
        <w:rPr>
          <w:rFonts w:eastAsiaTheme="minorEastAsia"/>
        </w:rPr>
        <w:t>widespread</w:t>
      </w:r>
      <w:r w:rsidRPr="00904312">
        <w:t xml:space="preserve"> </w:t>
      </w:r>
      <w:r w:rsidRPr="00904312">
        <w:lastRenderedPageBreak/>
        <w:t xml:space="preserve">or systematic attack against a civilian population with knowledge of the attack. The Trial Chamber of the </w:t>
      </w:r>
      <w:r>
        <w:t>International Tribunal for the Former Yugoslavia</w:t>
      </w:r>
      <w:r w:rsidRPr="00904312">
        <w:t xml:space="preserve"> agree</w:t>
      </w:r>
      <w:r>
        <w:t>d</w:t>
      </w:r>
      <w:r w:rsidRPr="00904312">
        <w:t xml:space="preserve"> with this analysis, when </w:t>
      </w:r>
      <w:r>
        <w:t>it</w:t>
      </w:r>
      <w:r w:rsidRPr="00904312">
        <w:t xml:space="preserve"> found</w:t>
      </w:r>
      <w:r>
        <w:t xml:space="preserve"> Tihomir</w:t>
      </w:r>
      <w:r w:rsidRPr="00904312">
        <w:t xml:space="preserve"> </w:t>
      </w:r>
      <w:r w:rsidRPr="00A61FE4">
        <w:t>Blaškić</w:t>
      </w:r>
      <w:r w:rsidRPr="00904312">
        <w:t xml:space="preserve"> guilty of </w:t>
      </w:r>
      <w:r w:rsidR="006B49D7">
        <w:t>“</w:t>
      </w:r>
      <w:r w:rsidRPr="00904312">
        <w:t xml:space="preserve">inhuman </w:t>
      </w:r>
      <w:r>
        <w:t>or</w:t>
      </w:r>
      <w:r w:rsidRPr="00904312">
        <w:t xml:space="preserve"> cruel treatment of civilians and</w:t>
      </w:r>
      <w:r>
        <w:t>,</w:t>
      </w:r>
      <w:r w:rsidRPr="00904312">
        <w:t xml:space="preserve"> in particular, their being taken hostage</w:t>
      </w:r>
      <w:r w:rsidR="006B49D7">
        <w:t>”</w:t>
      </w:r>
      <w:r w:rsidRPr="00904312">
        <w:t xml:space="preserve"> as a crime against humanity.</w:t>
      </w:r>
      <w:r w:rsidRPr="00A81C62">
        <w:rPr>
          <w:rStyle w:val="FootnoteReference"/>
        </w:rPr>
        <w:footnoteReference w:id="80"/>
      </w:r>
      <w:r w:rsidRPr="00904312">
        <w:rPr>
          <w:vertAlign w:val="superscript"/>
        </w:rPr>
        <w:t xml:space="preserve"> </w:t>
      </w:r>
      <w:r w:rsidRPr="00904312">
        <w:t xml:space="preserve">That </w:t>
      </w:r>
      <w:r>
        <w:t xml:space="preserve">being </w:t>
      </w:r>
      <w:r w:rsidRPr="00904312">
        <w:t xml:space="preserve">said, the Special Rapporteur would encourage </w:t>
      </w:r>
      <w:r>
        <w:t xml:space="preserve">the explicit incorporation of hostage-taking in </w:t>
      </w:r>
      <w:r w:rsidRPr="00904312">
        <w:t xml:space="preserve">the </w:t>
      </w:r>
      <w:r>
        <w:t>d</w:t>
      </w:r>
      <w:r w:rsidRPr="00904312">
        <w:t xml:space="preserve">raft </w:t>
      </w:r>
      <w:r>
        <w:t>a</w:t>
      </w:r>
      <w:r w:rsidRPr="00904312">
        <w:t xml:space="preserve">rticles on </w:t>
      </w:r>
      <w:r>
        <w:t>p</w:t>
      </w:r>
      <w:r w:rsidRPr="00904312">
        <w:t xml:space="preserve">revention and </w:t>
      </w:r>
      <w:r>
        <w:t>p</w:t>
      </w:r>
      <w:r w:rsidRPr="00904312">
        <w:t xml:space="preserve">unishment of </w:t>
      </w:r>
      <w:r>
        <w:t>c</w:t>
      </w:r>
      <w:r w:rsidRPr="00904312">
        <w:t xml:space="preserve">rimes </w:t>
      </w:r>
      <w:r>
        <w:t>a</w:t>
      </w:r>
      <w:r w:rsidRPr="00904312">
        <w:t xml:space="preserve">gainst </w:t>
      </w:r>
      <w:r>
        <w:t>h</w:t>
      </w:r>
      <w:r w:rsidRPr="00904312">
        <w:t>umanity.</w:t>
      </w:r>
    </w:p>
    <w:p w14:paraId="72B31A0D" w14:textId="77777777" w:rsidR="00E064BB" w:rsidRDefault="0082031F" w:rsidP="0082031F">
      <w:pPr>
        <w:pStyle w:val="SingleTxtG"/>
      </w:pPr>
      <w:r w:rsidRPr="00904312">
        <w:rPr>
          <w:bCs/>
        </w:rPr>
        <w:t>46.</w:t>
      </w:r>
      <w:r w:rsidRPr="00904312">
        <w:rPr>
          <w:bCs/>
        </w:rPr>
        <w:tab/>
      </w:r>
      <w:r w:rsidRPr="00904312">
        <w:t>At present</w:t>
      </w:r>
      <w:r>
        <w:t>,</w:t>
      </w:r>
      <w:r w:rsidRPr="00904312">
        <w:t xml:space="preserve"> there is no established jurisprudence </w:t>
      </w:r>
      <w:r>
        <w:t>of</w:t>
      </w:r>
      <w:r w:rsidRPr="00904312">
        <w:t xml:space="preserve"> the International Criminal Court</w:t>
      </w:r>
      <w:r>
        <w:t xml:space="preserve"> on hostage-taking</w:t>
      </w:r>
      <w:r w:rsidRPr="00904312">
        <w:t xml:space="preserve">, </w:t>
      </w:r>
      <w:r>
        <w:t>al</w:t>
      </w:r>
      <w:r w:rsidRPr="00904312">
        <w:t xml:space="preserve">though two cases are pending before the </w:t>
      </w:r>
      <w:r>
        <w:t>C</w:t>
      </w:r>
      <w:r w:rsidRPr="00904312">
        <w:t>ourt relating to hostage</w:t>
      </w:r>
      <w:r w:rsidR="0057233E">
        <w:noBreakHyphen/>
      </w:r>
      <w:r w:rsidRPr="00904312">
        <w:t>taking, namely</w:t>
      </w:r>
      <w:r>
        <w:t>,</w:t>
      </w:r>
      <w:r w:rsidRPr="00904312">
        <w:t xml:space="preserve"> the </w:t>
      </w:r>
      <w:r w:rsidRPr="00904312">
        <w:rPr>
          <w:i/>
          <w:iCs/>
        </w:rPr>
        <w:t>Situation in Georgia</w:t>
      </w:r>
      <w:r>
        <w:rPr>
          <w:i/>
          <w:iCs/>
        </w:rPr>
        <w:t xml:space="preserve"> </w:t>
      </w:r>
      <w:r>
        <w:t>case,</w:t>
      </w:r>
      <w:r w:rsidRPr="00A81C62">
        <w:rPr>
          <w:rStyle w:val="FootnoteReference"/>
        </w:rPr>
        <w:footnoteReference w:id="81"/>
      </w:r>
      <w:r w:rsidRPr="00904312">
        <w:t xml:space="preserve"> and the warrant for arrest of Hamas</w:t>
      </w:r>
      <w:r w:rsidR="006B49D7">
        <w:t>’</w:t>
      </w:r>
      <w:r w:rsidRPr="00904312">
        <w:t xml:space="preserve"> leader </w:t>
      </w:r>
      <w:r w:rsidRPr="00904312">
        <w:rPr>
          <w:rFonts w:eastAsiaTheme="minorEastAsia"/>
        </w:rPr>
        <w:t>Mohammed</w:t>
      </w:r>
      <w:r w:rsidRPr="00904312">
        <w:t xml:space="preserve"> Diab Ibrahim Al-Masr</w:t>
      </w:r>
      <w:r>
        <w:t>i</w:t>
      </w:r>
      <w:r w:rsidRPr="00904312">
        <w:t xml:space="preserve"> (and potential future warrants)</w:t>
      </w:r>
      <w:r>
        <w:t>,</w:t>
      </w:r>
      <w:r w:rsidRPr="00904312">
        <w:t xml:space="preserve"> which included hostage-taking as </w:t>
      </w:r>
      <w:r>
        <w:t xml:space="preserve">a </w:t>
      </w:r>
      <w:r w:rsidRPr="00904312">
        <w:t>war crime in respect of the attacks of 7 October 2023.</w:t>
      </w:r>
      <w:r w:rsidRPr="00A81C62">
        <w:rPr>
          <w:rStyle w:val="FootnoteReference"/>
        </w:rPr>
        <w:footnoteReference w:id="82"/>
      </w:r>
    </w:p>
    <w:p w14:paraId="56336BA7" w14:textId="77777777" w:rsidR="00E064BB" w:rsidRDefault="0082031F" w:rsidP="0082031F">
      <w:pPr>
        <w:pStyle w:val="SingleTxtG"/>
      </w:pPr>
      <w:r w:rsidRPr="00904312">
        <w:rPr>
          <w:bCs/>
        </w:rPr>
        <w:t>47.</w:t>
      </w:r>
      <w:r w:rsidRPr="00904312">
        <w:rPr>
          <w:bCs/>
        </w:rPr>
        <w:tab/>
      </w:r>
      <w:r w:rsidRPr="00904312">
        <w:t xml:space="preserve">A relevant obligation of detaining </w:t>
      </w:r>
      <w:r>
        <w:t>S</w:t>
      </w:r>
      <w:r w:rsidRPr="00904312">
        <w:t>tates is to advise</w:t>
      </w:r>
      <w:r w:rsidR="00C3283E">
        <w:t xml:space="preserve"> </w:t>
      </w:r>
      <w:r w:rsidRPr="00904312">
        <w:t>detained foreigners of their right to contact a representative from their</w:t>
      </w:r>
      <w:r w:rsidR="00C3283E">
        <w:t xml:space="preserve"> </w:t>
      </w:r>
      <w:r w:rsidRPr="00904312">
        <w:t>embassy and to notify the State of nationality of their detention,</w:t>
      </w:r>
      <w:r w:rsidRPr="00A81C62">
        <w:rPr>
          <w:rStyle w:val="FootnoteReference"/>
        </w:rPr>
        <w:footnoteReference w:id="83"/>
      </w:r>
      <w:r w:rsidR="00D47BBA">
        <w:t xml:space="preserve"> </w:t>
      </w:r>
      <w:r w:rsidRPr="00904312">
        <w:t xml:space="preserve">not least because consular assistance is a necessary </w:t>
      </w:r>
      <w:r w:rsidRPr="00904312">
        <w:rPr>
          <w:rFonts w:eastAsiaTheme="minorEastAsia"/>
        </w:rPr>
        <w:t>precondition</w:t>
      </w:r>
      <w:r w:rsidRPr="00904312">
        <w:t xml:space="preserve"> towards securing the detainee</w:t>
      </w:r>
      <w:r w:rsidR="006B49D7">
        <w:t>’</w:t>
      </w:r>
      <w:r w:rsidRPr="00904312">
        <w:t>s inalienable right to legal counsel and due process. On the other hand, while diplomatic protection is not considered obligatory</w:t>
      </w:r>
      <w:r>
        <w:t>,</w:t>
      </w:r>
      <w:r w:rsidRPr="00904312">
        <w:t xml:space="preserve"> such that States cannot be compelled to intervene on behalf of their own nationals, </w:t>
      </w:r>
      <w:r>
        <w:t>a</w:t>
      </w:r>
      <w:r w:rsidRPr="00904312">
        <w:t>rticle 19 of the I</w:t>
      </w:r>
      <w:r>
        <w:t xml:space="preserve">nternational </w:t>
      </w:r>
      <w:r w:rsidRPr="00904312">
        <w:t>L</w:t>
      </w:r>
      <w:r>
        <w:t xml:space="preserve">aw </w:t>
      </w:r>
      <w:r w:rsidRPr="00904312">
        <w:t>C</w:t>
      </w:r>
      <w:r>
        <w:t>ommission</w:t>
      </w:r>
      <w:r w:rsidR="006B49D7">
        <w:t>’</w:t>
      </w:r>
      <w:r w:rsidRPr="00904312">
        <w:t xml:space="preserve">s </w:t>
      </w:r>
      <w:r>
        <w:t>a</w:t>
      </w:r>
      <w:r w:rsidRPr="00904312">
        <w:t xml:space="preserve">rticles on </w:t>
      </w:r>
      <w:r>
        <w:t>d</w:t>
      </w:r>
      <w:r w:rsidRPr="00904312">
        <w:t>iplomatic</w:t>
      </w:r>
      <w:r w:rsidR="00BA4645">
        <w:t xml:space="preserve"> </w:t>
      </w:r>
      <w:r>
        <w:t>p</w:t>
      </w:r>
      <w:r w:rsidRPr="00904312">
        <w:t xml:space="preserve">rotection </w:t>
      </w:r>
      <w:r>
        <w:t>stipulates</w:t>
      </w:r>
      <w:r w:rsidRPr="00904312">
        <w:t xml:space="preserve"> that a </w:t>
      </w:r>
      <w:r>
        <w:t>S</w:t>
      </w:r>
      <w:r w:rsidRPr="00904312">
        <w:t xml:space="preserve">tate entitled to exercise diplomatic protection </w:t>
      </w:r>
      <w:r w:rsidR="006B49D7">
        <w:t>“</w:t>
      </w:r>
      <w:r w:rsidRPr="00904312">
        <w:t>should</w:t>
      </w:r>
      <w:r w:rsidR="00BA4645">
        <w:t xml:space="preserve"> … </w:t>
      </w:r>
      <w:r w:rsidRPr="00904312">
        <w:t>give due consideration to the possibility of exercising diplomatic</w:t>
      </w:r>
      <w:r w:rsidR="00BA4645">
        <w:t xml:space="preserve"> </w:t>
      </w:r>
      <w:r w:rsidRPr="00904312">
        <w:t>protection, especially when a significant injury has occurred</w:t>
      </w:r>
      <w:r w:rsidR="006B49D7">
        <w:t>”</w:t>
      </w:r>
      <w:r w:rsidRPr="00904312">
        <w:t>.</w:t>
      </w:r>
      <w:r w:rsidRPr="00A81C62">
        <w:rPr>
          <w:rStyle w:val="FootnoteReference"/>
        </w:rPr>
        <w:footnoteReference w:id="84"/>
      </w:r>
      <w:r w:rsidRPr="00904312">
        <w:t xml:space="preserve"> Under international humanitarian law, the Special Rapporteur reminds all parties that the obligation to allow access to ICRC to visit all detainees, including hostages, must be respected.</w:t>
      </w:r>
      <w:r w:rsidRPr="00A81C62">
        <w:rPr>
          <w:rStyle w:val="FootnoteReference"/>
        </w:rPr>
        <w:footnoteReference w:id="85"/>
      </w:r>
    </w:p>
    <w:p w14:paraId="3E3B2745" w14:textId="5BFB63E0" w:rsidR="0082031F" w:rsidRPr="00904312" w:rsidRDefault="0082031F" w:rsidP="0082031F">
      <w:pPr>
        <w:pStyle w:val="SingleTxtG"/>
      </w:pPr>
      <w:r w:rsidRPr="00904312">
        <w:rPr>
          <w:bCs/>
        </w:rPr>
        <w:t>48.</w:t>
      </w:r>
      <w:r w:rsidRPr="00904312">
        <w:rPr>
          <w:bCs/>
        </w:rPr>
        <w:tab/>
      </w:r>
      <w:r w:rsidRPr="00904312">
        <w:t>As part of the torment, hostages may be forced to make recordings. The Inter-American Court of Human Rights has held that forced filming of hostages constitute</w:t>
      </w:r>
      <w:r>
        <w:t>s</w:t>
      </w:r>
      <w:r w:rsidRPr="00904312">
        <w:t xml:space="preserve"> inhuman treatment.</w:t>
      </w:r>
      <w:r w:rsidRPr="00A81C62">
        <w:rPr>
          <w:rStyle w:val="FootnoteReference"/>
        </w:rPr>
        <w:footnoteReference w:id="86"/>
      </w:r>
      <w:r w:rsidRPr="00904312">
        <w:t xml:space="preserve"> Similarly, exposing prisoners of war and other war detainees to </w:t>
      </w:r>
      <w:r w:rsidRPr="00904312">
        <w:rPr>
          <w:rFonts w:eastAsiaTheme="minorEastAsia"/>
        </w:rPr>
        <w:t>public</w:t>
      </w:r>
      <w:r w:rsidRPr="00904312">
        <w:t xml:space="preserve"> curiosity is a war crime. Even if prisoners of war appear to make voluntary public statements or willingly participate in the recording of images, disclosure to the public remains unlawful.</w:t>
      </w:r>
      <w:r w:rsidRPr="00A81C62">
        <w:rPr>
          <w:rStyle w:val="FootnoteReference"/>
        </w:rPr>
        <w:footnoteReference w:id="87"/>
      </w:r>
    </w:p>
    <w:p w14:paraId="14606349" w14:textId="77777777" w:rsidR="00E064BB" w:rsidRDefault="0082031F" w:rsidP="0082031F">
      <w:pPr>
        <w:pStyle w:val="SingleTxtG"/>
        <w:rPr>
          <w:rFonts w:eastAsiaTheme="minorEastAsia"/>
        </w:rPr>
      </w:pPr>
      <w:r w:rsidRPr="002E6E62">
        <w:rPr>
          <w:rFonts w:eastAsiaTheme="minorEastAsia"/>
          <w:bCs/>
        </w:rPr>
        <w:t>49.</w:t>
      </w:r>
      <w:r w:rsidRPr="002E6E62">
        <w:rPr>
          <w:rFonts w:eastAsiaTheme="minorEastAsia"/>
          <w:bCs/>
        </w:rPr>
        <w:tab/>
      </w:r>
      <w:r w:rsidRPr="002E6E62">
        <w:rPr>
          <w:rFonts w:eastAsiaTheme="minorEastAsia"/>
          <w:lang w:val="en-US"/>
        </w:rPr>
        <w:t>Hostage-taking overlaps with other international human rights</w:t>
      </w:r>
      <w:r>
        <w:rPr>
          <w:rFonts w:eastAsiaTheme="minorEastAsia"/>
          <w:lang w:val="en-US"/>
        </w:rPr>
        <w:t xml:space="preserve"> issues,</w:t>
      </w:r>
      <w:r w:rsidRPr="002E6E62">
        <w:rPr>
          <w:rFonts w:eastAsiaTheme="minorEastAsia"/>
          <w:lang w:val="en-US"/>
        </w:rPr>
        <w:t xml:space="preserve"> such as enforced disappearances and arbitrary detention</w:t>
      </w:r>
      <w:r w:rsidRPr="002E6E62">
        <w:rPr>
          <w:rFonts w:eastAsiaTheme="minorEastAsia"/>
        </w:rPr>
        <w:t xml:space="preserve">. The Working Group on Enforced and Involuntary Disappearances has noted </w:t>
      </w:r>
      <w:r>
        <w:rPr>
          <w:rFonts w:eastAsiaTheme="minorEastAsia"/>
        </w:rPr>
        <w:t xml:space="preserve">that </w:t>
      </w:r>
      <w:r w:rsidRPr="002E6E62">
        <w:rPr>
          <w:rFonts w:eastAsiaTheme="minorEastAsia"/>
        </w:rPr>
        <w:t>a situation of hostage-taking would also constitute an enforced disappearance where the fate and whereabout of loved ones is kept from family members.</w:t>
      </w:r>
      <w:r w:rsidRPr="00A81C62">
        <w:rPr>
          <w:rStyle w:val="FootnoteReference"/>
        </w:rPr>
        <w:footnoteReference w:id="88"/>
      </w:r>
      <w:r w:rsidRPr="002E6E62">
        <w:rPr>
          <w:rFonts w:eastAsiaTheme="minorEastAsia"/>
        </w:rPr>
        <w:t xml:space="preserve"> The Working Group on Arbitrary Detention has assumed jurisdiction over many cases of arbitrary deprivation of liberty that are tantamount</w:t>
      </w:r>
      <w:r>
        <w:rPr>
          <w:rFonts w:eastAsiaTheme="minorEastAsia"/>
        </w:rPr>
        <w:t xml:space="preserve"> to</w:t>
      </w:r>
      <w:r w:rsidRPr="002E6E62">
        <w:rPr>
          <w:rFonts w:eastAsiaTheme="minorEastAsia"/>
        </w:rPr>
        <w:t xml:space="preserve"> or involve hostage-taking, and has noted that it causes </w:t>
      </w:r>
      <w:r w:rsidR="006B49D7">
        <w:rPr>
          <w:rFonts w:eastAsiaTheme="minorEastAsia"/>
        </w:rPr>
        <w:t>“</w:t>
      </w:r>
      <w:r w:rsidRPr="002E6E62">
        <w:rPr>
          <w:rFonts w:eastAsiaTheme="minorEastAsia"/>
        </w:rPr>
        <w:t>terrible loss in lives and human dignity and endless pain</w:t>
      </w:r>
      <w:r w:rsidR="006B49D7">
        <w:rPr>
          <w:rFonts w:eastAsiaTheme="minorEastAsia"/>
        </w:rPr>
        <w:t>”</w:t>
      </w:r>
      <w:r w:rsidRPr="002E6E62">
        <w:rPr>
          <w:rFonts w:eastAsiaTheme="minorEastAsia"/>
        </w:rPr>
        <w:t>.</w:t>
      </w:r>
      <w:r w:rsidRPr="00A81C62">
        <w:rPr>
          <w:rStyle w:val="FootnoteReference"/>
        </w:rPr>
        <w:footnoteReference w:id="89"/>
      </w:r>
      <w:r w:rsidRPr="002E6E62">
        <w:rPr>
          <w:rFonts w:eastAsiaTheme="minorEastAsia"/>
        </w:rPr>
        <w:t xml:space="preserve"> Classifying hostage-taking as arbitrary detention however often fails to give due regard to the intentional nature of the practice, the severe suffering it engenders and the leverage component.</w:t>
      </w:r>
      <w:r w:rsidRPr="00A81C62">
        <w:rPr>
          <w:rStyle w:val="FootnoteReference"/>
        </w:rPr>
        <w:footnoteReference w:id="90"/>
      </w:r>
    </w:p>
    <w:p w14:paraId="7A559F17" w14:textId="77777777" w:rsidR="00E064BB" w:rsidRDefault="0082031F" w:rsidP="0082031F">
      <w:pPr>
        <w:pStyle w:val="SingleTxtG"/>
        <w:rPr>
          <w:rFonts w:eastAsiaTheme="minorEastAsia"/>
        </w:rPr>
      </w:pPr>
      <w:r w:rsidRPr="002E6E62">
        <w:rPr>
          <w:rFonts w:eastAsiaTheme="minorEastAsia"/>
          <w:bCs/>
        </w:rPr>
        <w:lastRenderedPageBreak/>
        <w:t>50.</w:t>
      </w:r>
      <w:r w:rsidRPr="002E6E62">
        <w:rPr>
          <w:rFonts w:eastAsiaTheme="minorEastAsia"/>
          <w:bCs/>
        </w:rPr>
        <w:tab/>
      </w:r>
      <w:r w:rsidRPr="002E6E62">
        <w:rPr>
          <w:rFonts w:eastAsiaTheme="minorEastAsia"/>
        </w:rPr>
        <w:t>The issue of hostage release is not regulated by international law, owing to the prohibition on hostage-taking.</w:t>
      </w:r>
    </w:p>
    <w:p w14:paraId="61AFB026" w14:textId="50CD9839" w:rsidR="0082031F" w:rsidRPr="00904312" w:rsidRDefault="0082031F" w:rsidP="0082031F">
      <w:pPr>
        <w:pStyle w:val="H1G"/>
      </w:pPr>
      <w:r w:rsidRPr="00904312">
        <w:tab/>
        <w:t>D.</w:t>
      </w:r>
      <w:r w:rsidRPr="00904312">
        <w:tab/>
        <w:t>Hostage-</w:t>
      </w:r>
      <w:r>
        <w:t>t</w:t>
      </w:r>
      <w:r w:rsidRPr="00904312">
        <w:t xml:space="preserve">aking as </w:t>
      </w:r>
      <w:r>
        <w:t>t</w:t>
      </w:r>
      <w:r w:rsidRPr="00904312">
        <w:t>orture</w:t>
      </w:r>
    </w:p>
    <w:p w14:paraId="456DE314" w14:textId="77777777" w:rsidR="00E064BB" w:rsidRDefault="0082031F" w:rsidP="0082031F">
      <w:pPr>
        <w:pStyle w:val="SingleTxtG"/>
      </w:pPr>
      <w:r w:rsidRPr="00904312">
        <w:rPr>
          <w:bCs/>
        </w:rPr>
        <w:t>51.</w:t>
      </w:r>
      <w:r w:rsidRPr="00904312">
        <w:rPr>
          <w:bCs/>
        </w:rPr>
        <w:tab/>
      </w:r>
      <w:r w:rsidRPr="00904312">
        <w:rPr>
          <w:lang w:val="en-US"/>
        </w:rPr>
        <w:t xml:space="preserve">Torture is an </w:t>
      </w:r>
      <w:r w:rsidRPr="00904312">
        <w:rPr>
          <w:i/>
          <w:iCs/>
        </w:rPr>
        <w:t>erga omnes</w:t>
      </w:r>
      <w:r w:rsidRPr="00904312">
        <w:t xml:space="preserve"> and </w:t>
      </w:r>
      <w:r w:rsidRPr="00904312">
        <w:rPr>
          <w:i/>
          <w:iCs/>
        </w:rPr>
        <w:t>jus cogens</w:t>
      </w:r>
      <w:r w:rsidRPr="00904312">
        <w:t xml:space="preserve"> norm. It is absolutely </w:t>
      </w:r>
      <w:proofErr w:type="gramStart"/>
      <w:r w:rsidRPr="00904312">
        <w:t>prohibited at all times</w:t>
      </w:r>
      <w:proofErr w:type="gramEnd"/>
      <w:r w:rsidRPr="00904312">
        <w:t xml:space="preserve">, including in war. Lesser forms of cruel, inhuman or degrading treatment or punishment are prohibited under customary international law. Every </w:t>
      </w:r>
      <w:r>
        <w:t>S</w:t>
      </w:r>
      <w:r w:rsidRPr="00904312">
        <w:t xml:space="preserve">tate in the </w:t>
      </w:r>
      <w:r w:rsidRPr="00904312">
        <w:rPr>
          <w:rFonts w:eastAsiaTheme="minorEastAsia"/>
        </w:rPr>
        <w:t>world</w:t>
      </w:r>
      <w:r w:rsidRPr="00904312">
        <w:t xml:space="preserve"> has accepted obligations on torture and other ill-treatment, including through international humanitarian law and human rights law treaties.</w:t>
      </w:r>
      <w:r w:rsidRPr="00A81C62">
        <w:rPr>
          <w:rStyle w:val="FootnoteReference"/>
        </w:rPr>
        <w:footnoteReference w:id="91"/>
      </w:r>
    </w:p>
    <w:p w14:paraId="4B120B8A" w14:textId="77777777" w:rsidR="00E064BB" w:rsidRDefault="0082031F" w:rsidP="0082031F">
      <w:pPr>
        <w:pStyle w:val="SingleTxtG"/>
        <w:rPr>
          <w:lang w:val="en-US"/>
        </w:rPr>
      </w:pPr>
      <w:r w:rsidRPr="00904312">
        <w:rPr>
          <w:bCs/>
          <w:lang w:val="en-US"/>
        </w:rPr>
        <w:t>52.</w:t>
      </w:r>
      <w:r w:rsidRPr="00904312">
        <w:rPr>
          <w:bCs/>
          <w:lang w:val="en-US"/>
        </w:rPr>
        <w:tab/>
      </w:r>
      <w:r w:rsidRPr="00904312">
        <w:rPr>
          <w:lang w:val="en-US"/>
        </w:rPr>
        <w:t>It is the view of the Special Rapporteur that hostage-taking inevitably entails forms of physical and mental torture, or other cruel, inhuman or degrading treatment.</w:t>
      </w:r>
    </w:p>
    <w:p w14:paraId="6ADE972B" w14:textId="77777777" w:rsidR="00E064BB" w:rsidRDefault="0082031F" w:rsidP="0082031F">
      <w:pPr>
        <w:pStyle w:val="SingleTxtG"/>
        <w:rPr>
          <w:lang w:val="en-US"/>
        </w:rPr>
      </w:pPr>
      <w:r w:rsidRPr="00904312">
        <w:rPr>
          <w:bCs/>
          <w:lang w:val="en-US"/>
        </w:rPr>
        <w:t>53.</w:t>
      </w:r>
      <w:r w:rsidRPr="00904312">
        <w:rPr>
          <w:bCs/>
          <w:lang w:val="en-US"/>
        </w:rPr>
        <w:tab/>
      </w:r>
      <w:r w:rsidRPr="00904312">
        <w:rPr>
          <w:lang w:val="en-US"/>
        </w:rPr>
        <w:t xml:space="preserve">The experience of being abducted – through assault or arrest – can be terrifying. It is often completely unexpected and is always disorienting. Hostage-takers have not spared children, pregnant women, persons with serious medical conditions </w:t>
      </w:r>
      <w:r w:rsidRPr="00904312">
        <w:rPr>
          <w:rFonts w:eastAsiaTheme="minorEastAsia"/>
        </w:rPr>
        <w:t>or</w:t>
      </w:r>
      <w:r w:rsidRPr="00904312">
        <w:rPr>
          <w:lang w:val="en-US"/>
        </w:rPr>
        <w:t xml:space="preserve"> disabilities, or the elderly. A released Israeli </w:t>
      </w:r>
      <w:r>
        <w:rPr>
          <w:lang w:val="en-US"/>
        </w:rPr>
        <w:t xml:space="preserve">female </w:t>
      </w:r>
      <w:r w:rsidRPr="00904312">
        <w:rPr>
          <w:lang w:val="en-US"/>
        </w:rPr>
        <w:t xml:space="preserve">hostage, who was seized on 7 October 2023, described to the Special Rapporteur </w:t>
      </w:r>
      <w:r>
        <w:rPr>
          <w:lang w:val="en-US"/>
        </w:rPr>
        <w:t>that within</w:t>
      </w:r>
      <w:r w:rsidRPr="00904312">
        <w:rPr>
          <w:lang w:val="en-US"/>
        </w:rPr>
        <w:t xml:space="preserve"> minutes</w:t>
      </w:r>
      <w:r>
        <w:rPr>
          <w:lang w:val="en-US"/>
        </w:rPr>
        <w:t xml:space="preserve"> in Gaza she was</w:t>
      </w:r>
      <w:r w:rsidRPr="00904312">
        <w:rPr>
          <w:lang w:val="en-US"/>
        </w:rPr>
        <w:t xml:space="preserve"> surrounded by people yelling and cheering, as </w:t>
      </w:r>
      <w:r>
        <w:rPr>
          <w:lang w:val="en-US"/>
        </w:rPr>
        <w:t>she was</w:t>
      </w:r>
      <w:r w:rsidRPr="00904312">
        <w:rPr>
          <w:lang w:val="en-US"/>
        </w:rPr>
        <w:t xml:space="preserve"> beaten with sticks.</w:t>
      </w:r>
    </w:p>
    <w:p w14:paraId="36FADDC0" w14:textId="77777777" w:rsidR="00E064BB" w:rsidRDefault="0082031F" w:rsidP="0082031F">
      <w:pPr>
        <w:pStyle w:val="SingleTxtG"/>
      </w:pPr>
      <w:r w:rsidRPr="00904312">
        <w:rPr>
          <w:bCs/>
        </w:rPr>
        <w:t>54.</w:t>
      </w:r>
      <w:r w:rsidRPr="00904312">
        <w:rPr>
          <w:bCs/>
        </w:rPr>
        <w:tab/>
      </w:r>
      <w:r w:rsidRPr="00904312">
        <w:rPr>
          <w:lang w:val="en-US"/>
        </w:rPr>
        <w:t xml:space="preserve">Abduction is often accompanied by violence, against the hostage or around </w:t>
      </w:r>
      <w:r>
        <w:rPr>
          <w:lang w:val="en-US"/>
        </w:rPr>
        <w:t>the hostage,</w:t>
      </w:r>
      <w:r w:rsidRPr="00904312">
        <w:rPr>
          <w:lang w:val="en-US"/>
        </w:rPr>
        <w:t xml:space="preserve"> especially during war or armed assaults. </w:t>
      </w:r>
      <w:r w:rsidRPr="00904312">
        <w:t>Hostages experience constant fear of violence and death, reali</w:t>
      </w:r>
      <w:r>
        <w:t>z</w:t>
      </w:r>
      <w:r w:rsidRPr="00904312">
        <w:t>ing that the</w:t>
      </w:r>
      <w:r w:rsidR="00C10819">
        <w:t xml:space="preserve"> </w:t>
      </w:r>
      <w:r w:rsidRPr="00904312">
        <w:t xml:space="preserve">perpetrators are not </w:t>
      </w:r>
      <w:r w:rsidRPr="00904312">
        <w:rPr>
          <w:rFonts w:eastAsiaTheme="minorEastAsia"/>
        </w:rPr>
        <w:t>constrained</w:t>
      </w:r>
      <w:r w:rsidRPr="00904312">
        <w:t xml:space="preserve"> by the law. Without deterrents, hostages frequently experience</w:t>
      </w:r>
      <w:r w:rsidR="00C10819">
        <w:t xml:space="preserve"> </w:t>
      </w:r>
      <w:r w:rsidRPr="00904312">
        <w:t>physical or sexual violence. Beatings, torture (psychological</w:t>
      </w:r>
      <w:r w:rsidR="00C10819">
        <w:t xml:space="preserve"> </w:t>
      </w:r>
      <w:r w:rsidRPr="00904312">
        <w:t>and physical), mock executions, blindfolding for long periods, starvation and sexual assault are common features of</w:t>
      </w:r>
      <w:r w:rsidR="00C10819">
        <w:t xml:space="preserve"> </w:t>
      </w:r>
      <w:r w:rsidRPr="00904312">
        <w:t>captivity.</w:t>
      </w:r>
    </w:p>
    <w:p w14:paraId="65DAEA1E" w14:textId="77777777" w:rsidR="00E064BB" w:rsidRDefault="0082031F" w:rsidP="0082031F">
      <w:pPr>
        <w:pStyle w:val="SingleTxtG"/>
      </w:pPr>
      <w:r w:rsidRPr="00904312">
        <w:rPr>
          <w:bCs/>
        </w:rPr>
        <w:t>55.</w:t>
      </w:r>
      <w:r w:rsidRPr="00904312">
        <w:rPr>
          <w:bCs/>
        </w:rPr>
        <w:tab/>
      </w:r>
      <w:r w:rsidRPr="00904312">
        <w:t>Many former hostages have retold their stories and given evidence in courts, testifying about the physical suffering they experienced at the hands of their captors. Not all</w:t>
      </w:r>
      <w:r w:rsidR="00531B33">
        <w:t xml:space="preserve"> </w:t>
      </w:r>
      <w:r w:rsidRPr="00904312">
        <w:t>hostage</w:t>
      </w:r>
      <w:r w:rsidR="0057233E">
        <w:noBreakHyphen/>
      </w:r>
      <w:r w:rsidRPr="00904312">
        <w:t>takers are equally violent or abusive, but the fear and threat of violence</w:t>
      </w:r>
      <w:r w:rsidR="00531B33">
        <w:t xml:space="preserve"> </w:t>
      </w:r>
      <w:r w:rsidRPr="00904312">
        <w:t>that all hostages face is a form of psychological torture. The simple act of depriving</w:t>
      </w:r>
      <w:r w:rsidR="00531B33">
        <w:t xml:space="preserve"> </w:t>
      </w:r>
      <w:r w:rsidRPr="00904312">
        <w:t>someone of their freedom and agency, even about when they can go to the toilet, causes suffering and humiliation which has long-term consequences.</w:t>
      </w:r>
    </w:p>
    <w:p w14:paraId="342673EF" w14:textId="77777777" w:rsidR="00E064BB" w:rsidRDefault="0082031F" w:rsidP="0082031F">
      <w:pPr>
        <w:pStyle w:val="SingleTxtG"/>
      </w:pPr>
      <w:r w:rsidRPr="00904312">
        <w:rPr>
          <w:bCs/>
        </w:rPr>
        <w:t>56.</w:t>
      </w:r>
      <w:r w:rsidRPr="00904312">
        <w:rPr>
          <w:bCs/>
        </w:rPr>
        <w:tab/>
      </w:r>
      <w:r w:rsidRPr="00904312">
        <w:t>In State-perpetrated hostage-taking, the sense of injustice and disbelief of the</w:t>
      </w:r>
      <w:r w:rsidR="00AC56EC">
        <w:t xml:space="preserve"> </w:t>
      </w:r>
      <w:r w:rsidRPr="00904312">
        <w:t>hostage is compounded by the broken expectation that the law will be adhered to. Most former hostages speak about an initial</w:t>
      </w:r>
      <w:r w:rsidR="00AC56EC">
        <w:t xml:space="preserve"> </w:t>
      </w:r>
      <w:r w:rsidRPr="00904312">
        <w:t>conviction that their detention was a mistake and will soon be resolved. When this does not</w:t>
      </w:r>
      <w:r w:rsidR="00AC56EC">
        <w:t xml:space="preserve"> </w:t>
      </w:r>
      <w:r w:rsidRPr="00904312">
        <w:t>happen, a sense of confusion and mental torment ensues. This is generally compounded</w:t>
      </w:r>
      <w:r w:rsidR="00AC56EC">
        <w:t xml:space="preserve"> </w:t>
      </w:r>
      <w:r w:rsidRPr="00904312">
        <w:t>by an absence of consular access.</w:t>
      </w:r>
    </w:p>
    <w:p w14:paraId="53C8FF3A" w14:textId="77777777" w:rsidR="00E064BB" w:rsidRDefault="0082031F" w:rsidP="0082031F">
      <w:pPr>
        <w:pStyle w:val="SingleTxtG"/>
      </w:pPr>
      <w:r w:rsidRPr="00904312">
        <w:rPr>
          <w:bCs/>
        </w:rPr>
        <w:t>57.</w:t>
      </w:r>
      <w:r w:rsidRPr="00904312">
        <w:rPr>
          <w:bCs/>
        </w:rPr>
        <w:tab/>
      </w:r>
      <w:r w:rsidRPr="00904312">
        <w:t xml:space="preserve">Prolonged solitary confinement with no human interaction is a common experience. Everyone interviewed reported that solitary confinement </w:t>
      </w:r>
      <w:r>
        <w:t>was</w:t>
      </w:r>
      <w:r w:rsidRPr="00904312">
        <w:t xml:space="preserve"> unbearable. Suicide attempts were also reported.</w:t>
      </w:r>
    </w:p>
    <w:p w14:paraId="2786EC4E" w14:textId="423A5B2F" w:rsidR="0082031F" w:rsidRPr="00904312" w:rsidRDefault="0082031F" w:rsidP="0082031F">
      <w:pPr>
        <w:pStyle w:val="SingleTxtG"/>
      </w:pPr>
      <w:r w:rsidRPr="00904312">
        <w:rPr>
          <w:bCs/>
        </w:rPr>
        <w:t>58.</w:t>
      </w:r>
      <w:r w:rsidRPr="00904312">
        <w:rPr>
          <w:bCs/>
        </w:rPr>
        <w:tab/>
      </w:r>
      <w:r w:rsidRPr="00904312">
        <w:t xml:space="preserve">Many former hostages reported </w:t>
      </w:r>
      <w:r w:rsidRPr="00904312">
        <w:rPr>
          <w:rFonts w:eastAsiaTheme="minorEastAsia"/>
        </w:rPr>
        <w:t>being</w:t>
      </w:r>
      <w:r w:rsidRPr="00904312">
        <w:t xml:space="preserve"> denied medical treatment for potentially life</w:t>
      </w:r>
      <w:r w:rsidR="0057233E">
        <w:noBreakHyphen/>
      </w:r>
      <w:r w:rsidRPr="00904312">
        <w:t>threatening medical conditions</w:t>
      </w:r>
      <w:r>
        <w:t>,</w:t>
      </w:r>
      <w:r w:rsidRPr="00904312">
        <w:t xml:space="preserve"> such as breast cancer and heart conditions, and many attributed their later poor health to their conditions in captivity.</w:t>
      </w:r>
    </w:p>
    <w:p w14:paraId="7E24256E" w14:textId="0B54DE2E" w:rsidR="0082031F" w:rsidRPr="00904312" w:rsidRDefault="0082031F" w:rsidP="0082031F">
      <w:pPr>
        <w:pStyle w:val="SingleTxtG"/>
      </w:pPr>
      <w:r w:rsidRPr="00904312">
        <w:rPr>
          <w:bCs/>
        </w:rPr>
        <w:t>59.</w:t>
      </w:r>
      <w:r w:rsidRPr="00904312">
        <w:rPr>
          <w:bCs/>
        </w:rPr>
        <w:tab/>
      </w:r>
      <w:r w:rsidRPr="00904312">
        <w:t>The Human Rights Council Advisory Committee has recogni</w:t>
      </w:r>
      <w:r>
        <w:t>z</w:t>
      </w:r>
      <w:r w:rsidRPr="00904312">
        <w:t xml:space="preserve">ed that </w:t>
      </w:r>
      <w:r w:rsidR="006B49D7">
        <w:t>“</w:t>
      </w:r>
      <w:r w:rsidRPr="00904312">
        <w:t xml:space="preserve">a typical hostage-taking incident generally threatens not only the </w:t>
      </w:r>
      <w:r w:rsidRPr="00904312">
        <w:rPr>
          <w:rFonts w:eastAsiaTheme="minorEastAsia"/>
        </w:rPr>
        <w:t>physical</w:t>
      </w:r>
      <w:r w:rsidRPr="00904312">
        <w:t xml:space="preserve"> but also the psychological well-being and integrity of the hostage both throughout and after the duration of the incident</w:t>
      </w:r>
      <w:r w:rsidR="006B49D7">
        <w:t>”</w:t>
      </w:r>
      <w:r w:rsidR="00B40645">
        <w:t>.</w:t>
      </w:r>
      <w:r w:rsidRPr="00A81C62">
        <w:rPr>
          <w:rStyle w:val="FootnoteReference"/>
        </w:rPr>
        <w:footnoteReference w:id="92"/>
      </w:r>
      <w:r w:rsidRPr="00904312">
        <w:t xml:space="preserve"> </w:t>
      </w:r>
      <w:r>
        <w:t>The Committee</w:t>
      </w:r>
      <w:r w:rsidRPr="00904312">
        <w:t xml:space="preserve"> noted that</w:t>
      </w:r>
      <w:r>
        <w:t>,</w:t>
      </w:r>
      <w:r w:rsidRPr="00904312">
        <w:t xml:space="preserve"> typically, adults taken hostage have the following reactions:</w:t>
      </w:r>
    </w:p>
    <w:p w14:paraId="4BBCD689" w14:textId="035325E5" w:rsidR="0082031F" w:rsidRPr="00904312" w:rsidRDefault="004C785B" w:rsidP="004C785B">
      <w:pPr>
        <w:pStyle w:val="SingleTxtG"/>
      </w:pPr>
      <w:r>
        <w:lastRenderedPageBreak/>
        <w:tab/>
      </w:r>
      <w:r w:rsidR="0082031F" w:rsidRPr="00904312">
        <w:t>(a)</w:t>
      </w:r>
      <w:r w:rsidR="0082031F" w:rsidRPr="00904312">
        <w:tab/>
        <w:t>Cognitive: impaired memory and concentration; confusion and disorientation; intrusive thoughts and memories, denial (namely, that the event happened), hypervigilance and hyperarousal (a state of feeling too aroused, with a profound fear of another incident</w:t>
      </w:r>
      <w:proofErr w:type="gramStart"/>
      <w:r w:rsidR="0082031F" w:rsidRPr="00904312">
        <w:t>);</w:t>
      </w:r>
      <w:proofErr w:type="gramEnd"/>
      <w:r w:rsidR="0082031F" w:rsidRPr="00904312">
        <w:t xml:space="preserve"> </w:t>
      </w:r>
    </w:p>
    <w:p w14:paraId="2085A876" w14:textId="77777777" w:rsidR="00754E7C" w:rsidRDefault="004C785B" w:rsidP="004C785B">
      <w:pPr>
        <w:pStyle w:val="SingleTxtG"/>
      </w:pPr>
      <w:r>
        <w:tab/>
      </w:r>
      <w:r w:rsidR="0082031F" w:rsidRPr="00904312">
        <w:t>(b)</w:t>
      </w:r>
      <w:r w:rsidR="0082031F" w:rsidRPr="00904312">
        <w:tab/>
        <w:t xml:space="preserve">Emotional: shock and numbness, fear and anxiety, helplessness and hopelessness, dissociation (feeling numb and </w:t>
      </w:r>
      <w:r w:rsidR="006B49D7">
        <w:t>“</w:t>
      </w:r>
      <w:r w:rsidR="0082031F" w:rsidRPr="00904312">
        <w:t>switched off</w:t>
      </w:r>
      <w:r w:rsidR="006B49D7">
        <w:t>”</w:t>
      </w:r>
      <w:r w:rsidR="0082031F" w:rsidRPr="00904312">
        <w:t xml:space="preserve"> emotionally), anger (at anybody – perpetrators, themselves and the authorities), anhedonia (loss of pleasure in doing that which was previously pleasurable), depression (a reaction to loss) and guilt (for example, at having survived if others died, and for being taken hostage);</w:t>
      </w:r>
    </w:p>
    <w:p w14:paraId="758AB9BD" w14:textId="34F7C678" w:rsidR="0082031F" w:rsidRPr="00904312" w:rsidRDefault="004C785B" w:rsidP="004C785B">
      <w:pPr>
        <w:pStyle w:val="SingleTxtG"/>
      </w:pPr>
      <w:r>
        <w:tab/>
      </w:r>
      <w:r w:rsidR="0082031F" w:rsidRPr="00904312">
        <w:t>(c)</w:t>
      </w:r>
      <w:r w:rsidR="0082031F" w:rsidRPr="00904312">
        <w:tab/>
        <w:t>Social: withdrawal, irritability, avoidance (of reminders of the event).</w:t>
      </w:r>
      <w:r w:rsidR="0082031F" w:rsidRPr="00A81C62">
        <w:rPr>
          <w:rStyle w:val="FootnoteReference"/>
        </w:rPr>
        <w:footnoteReference w:id="93"/>
      </w:r>
    </w:p>
    <w:p w14:paraId="66047A13" w14:textId="2A0A401D" w:rsidR="0082031F" w:rsidRPr="00904312" w:rsidRDefault="0082031F" w:rsidP="0082031F">
      <w:pPr>
        <w:pStyle w:val="SingleTxtG"/>
      </w:pPr>
      <w:r w:rsidRPr="00904312">
        <w:rPr>
          <w:bCs/>
        </w:rPr>
        <w:t>60.</w:t>
      </w:r>
      <w:r w:rsidRPr="00904312">
        <w:rPr>
          <w:bCs/>
        </w:rPr>
        <w:tab/>
      </w:r>
      <w:r w:rsidRPr="00904312">
        <w:t>These are also the symptoms experienced by survivors of torture. The Istanbul Protocol recounts that torture gives rise to physical and psychological trauma. For children, hostage-taking has a severe and sustained impact, with many displaying symptoms of post</w:t>
      </w:r>
      <w:r w:rsidR="006B49D7">
        <w:noBreakHyphen/>
      </w:r>
      <w:r w:rsidRPr="00904312">
        <w:t>traumatic stress disorder. Hostages of all ages reported to the Special Rapporteur that they still suffer</w:t>
      </w:r>
      <w:r>
        <w:t>ed</w:t>
      </w:r>
      <w:r w:rsidRPr="00904312">
        <w:t xml:space="preserve"> from psychological impacts, such as severe trauma, fear and anxiety, nightmares and insomnia, and physical impacts like severe heart conditions, serious foot injuries (from pacing in solitary confinement), and back and neck issues from sleeping on the floor or without bedding.</w:t>
      </w:r>
    </w:p>
    <w:p w14:paraId="54CC12D4" w14:textId="2D65C787" w:rsidR="0082031F" w:rsidRPr="00904312" w:rsidRDefault="0082031F" w:rsidP="0082031F">
      <w:pPr>
        <w:pStyle w:val="SingleTxtG"/>
      </w:pPr>
      <w:r w:rsidRPr="00904312">
        <w:rPr>
          <w:bCs/>
        </w:rPr>
        <w:t>61.</w:t>
      </w:r>
      <w:r w:rsidRPr="00904312">
        <w:rPr>
          <w:bCs/>
        </w:rPr>
        <w:tab/>
      </w:r>
      <w:r w:rsidRPr="00904312">
        <w:t>Hostage-taking has been described as consisting of concentric circles of psychological</w:t>
      </w:r>
      <w:r w:rsidR="00427AAF">
        <w:t xml:space="preserve"> </w:t>
      </w:r>
      <w:r w:rsidRPr="00904312">
        <w:t>torture that extend far beyond the immediate victims, creating what may be termed a</w:t>
      </w:r>
      <w:r w:rsidR="00427AAF">
        <w:t xml:space="preserve"> </w:t>
      </w:r>
      <w:r w:rsidR="006B49D7">
        <w:t>“</w:t>
      </w:r>
      <w:r w:rsidRPr="00904312">
        <w:t>cascading trauma effect</w:t>
      </w:r>
      <w:r w:rsidR="006B49D7">
        <w:t>”</w:t>
      </w:r>
      <w:r w:rsidR="009E1042">
        <w:t>.</w:t>
      </w:r>
      <w:r w:rsidRPr="00A81C62">
        <w:rPr>
          <w:rStyle w:val="FootnoteReference"/>
        </w:rPr>
        <w:footnoteReference w:id="94"/>
      </w:r>
      <w:r w:rsidRPr="00904312">
        <w:t xml:space="preserve"> The primary victims are the hostages themselves, who endure not only direct psychological and often physical</w:t>
      </w:r>
      <w:r w:rsidR="00200323">
        <w:t xml:space="preserve"> </w:t>
      </w:r>
      <w:r w:rsidRPr="00904312">
        <w:t>torture but who also experience extreme powerlessness. Secondary victimization affects immediate family members. They become</w:t>
      </w:r>
      <w:r w:rsidR="009E1042">
        <w:t xml:space="preserve"> </w:t>
      </w:r>
      <w:r w:rsidRPr="00904312">
        <w:t>involuntary participants in a high-stakes negotiation process. They have the burden of navigating</w:t>
      </w:r>
      <w:r w:rsidR="009E1042">
        <w:t xml:space="preserve"> </w:t>
      </w:r>
      <w:r w:rsidRPr="00904312">
        <w:t>complex diplomatic channels, while maintaining public attention for their loved ones. They often experience severe financial strains and emotional exhaustion as their primary focus becomes securing the release of their loved</w:t>
      </w:r>
      <w:r w:rsidR="009E1042">
        <w:t xml:space="preserve"> </w:t>
      </w:r>
      <w:r w:rsidRPr="00904312">
        <w:t>ones. There are frequent moral dilemmas as they balance calling for potentially</w:t>
      </w:r>
      <w:r w:rsidR="009E1042">
        <w:t xml:space="preserve"> </w:t>
      </w:r>
      <w:r w:rsidRPr="00904312">
        <w:t xml:space="preserve">costly concessions. Many </w:t>
      </w:r>
      <w:proofErr w:type="gramStart"/>
      <w:r w:rsidRPr="00904312">
        <w:t>experience</w:t>
      </w:r>
      <w:proofErr w:type="gramEnd"/>
      <w:r w:rsidRPr="00904312">
        <w:t xml:space="preserve"> profound grief in anticipation of a bad outcome, while they simultaneously maintain hope for a positive outcome. This creates a state of persistent</w:t>
      </w:r>
      <w:r w:rsidR="009E1042">
        <w:t xml:space="preserve"> </w:t>
      </w:r>
      <w:r w:rsidRPr="00904312">
        <w:t>psychological tension.</w:t>
      </w:r>
      <w:r w:rsidRPr="00A81C62">
        <w:rPr>
          <w:rStyle w:val="FootnoteReference"/>
        </w:rPr>
        <w:footnoteReference w:id="95"/>
      </w:r>
    </w:p>
    <w:p w14:paraId="07F00964" w14:textId="77777777" w:rsidR="00754E7C" w:rsidRDefault="0082031F" w:rsidP="0082031F">
      <w:pPr>
        <w:pStyle w:val="SingleTxtG"/>
      </w:pPr>
      <w:r w:rsidRPr="00904312">
        <w:rPr>
          <w:bCs/>
        </w:rPr>
        <w:t>62.</w:t>
      </w:r>
      <w:r w:rsidRPr="00904312">
        <w:rPr>
          <w:bCs/>
        </w:rPr>
        <w:tab/>
      </w:r>
      <w:r w:rsidRPr="00904312">
        <w:t xml:space="preserve">Family members are also at the forefront of the minds of hostages. Many of those interviewed reported feeling extreme concern about what their family </w:t>
      </w:r>
      <w:r>
        <w:t>was</w:t>
      </w:r>
      <w:r w:rsidRPr="00904312">
        <w:t xml:space="preserve"> going through. Perpetrators denied hostages phone calls and visits. If they were allowed to visit, family members were heavily surveilled and prisoners were told not to talk about their treatment. Hostages missed seeing their children grow up and spending time with their parents in their final years. One hostage reported that he was not permitted to go to the birth of his daughter. Others </w:t>
      </w:r>
      <w:r>
        <w:t xml:space="preserve">said </w:t>
      </w:r>
      <w:r w:rsidRPr="00904312">
        <w:t>that their interrogators threatened to harm their family members.</w:t>
      </w:r>
    </w:p>
    <w:p w14:paraId="3A5BA87B" w14:textId="77777777" w:rsidR="00754E7C" w:rsidRDefault="0082031F" w:rsidP="0082031F">
      <w:pPr>
        <w:pStyle w:val="SingleTxtG"/>
      </w:pPr>
      <w:r w:rsidRPr="00904312">
        <w:rPr>
          <w:bCs/>
        </w:rPr>
        <w:t>63.</w:t>
      </w:r>
      <w:r w:rsidRPr="00904312">
        <w:rPr>
          <w:bCs/>
        </w:rPr>
        <w:tab/>
      </w:r>
      <w:r w:rsidRPr="00904312">
        <w:t>It is the Special Rapporteur</w:t>
      </w:r>
      <w:r w:rsidR="006B49D7">
        <w:t>’</w:t>
      </w:r>
      <w:r w:rsidRPr="00904312">
        <w:t>s position that</w:t>
      </w:r>
      <w:r>
        <w:t>,</w:t>
      </w:r>
      <w:r w:rsidRPr="00904312">
        <w:t xml:space="preserve"> </w:t>
      </w:r>
      <w:r>
        <w:t>as with</w:t>
      </w:r>
      <w:r w:rsidRPr="00904312">
        <w:t xml:space="preserve"> enforced disappearances</w:t>
      </w:r>
      <w:r>
        <w:t>,</w:t>
      </w:r>
      <w:r w:rsidRPr="00A81C62">
        <w:rPr>
          <w:rStyle w:val="FootnoteReference"/>
        </w:rPr>
        <w:footnoteReference w:id="96"/>
      </w:r>
      <w:r w:rsidRPr="00904312">
        <w:t xml:space="preserve"> the families of hostages can be victims of torture or inhuman and degrading treatment.</w:t>
      </w:r>
      <w:r w:rsidR="00200323">
        <w:t xml:space="preserve"> </w:t>
      </w:r>
      <w:r w:rsidRPr="00904312">
        <w:t>Article 27 of the Fourth Geneva Convention emphasi</w:t>
      </w:r>
      <w:r>
        <w:t>z</w:t>
      </w:r>
      <w:r w:rsidRPr="00904312">
        <w:t>es respect for family rights and the unity of the family during armed conflict. With respect to children – either as the hostage or as the child of a family member held hostage – reference is made to the Convention on the Rights of the Child.</w:t>
      </w:r>
      <w:r w:rsidRPr="00A81C62">
        <w:rPr>
          <w:rStyle w:val="FootnoteReference"/>
        </w:rPr>
        <w:footnoteReference w:id="97"/>
      </w:r>
      <w:r w:rsidRPr="00904312">
        <w:t xml:space="preserve"> The taking of child hostages is a particularly egregious form of torture, which should incur higher penalties </w:t>
      </w:r>
      <w:r>
        <w:t>for</w:t>
      </w:r>
      <w:r w:rsidRPr="00904312">
        <w:t xml:space="preserve"> those responsible.</w:t>
      </w:r>
    </w:p>
    <w:p w14:paraId="1E82A96F" w14:textId="1EA4FBC6" w:rsidR="0082031F" w:rsidRPr="00904312" w:rsidRDefault="0082031F" w:rsidP="0082031F">
      <w:pPr>
        <w:pStyle w:val="SingleTxtG"/>
      </w:pPr>
      <w:r w:rsidRPr="00904312">
        <w:rPr>
          <w:bCs/>
        </w:rPr>
        <w:t>64.</w:t>
      </w:r>
      <w:r w:rsidRPr="00904312">
        <w:rPr>
          <w:bCs/>
        </w:rPr>
        <w:tab/>
      </w:r>
      <w:r w:rsidRPr="00904312">
        <w:t>In mass hostage-taking events, there may also be a tertiary impact</w:t>
      </w:r>
      <w:r>
        <w:t>,</w:t>
      </w:r>
      <w:r w:rsidRPr="00904312">
        <w:t xml:space="preserve"> in which trauma and fear extends to broader society as </w:t>
      </w:r>
      <w:r w:rsidR="006B49D7">
        <w:t>“</w:t>
      </w:r>
      <w:r w:rsidRPr="00904312">
        <w:t>collective moral trauma</w:t>
      </w:r>
      <w:r w:rsidR="006B49D7">
        <w:t>”</w:t>
      </w:r>
      <w:r>
        <w:t>.</w:t>
      </w:r>
      <w:r w:rsidRPr="00A81C62">
        <w:rPr>
          <w:rStyle w:val="FootnoteReference"/>
        </w:rPr>
        <w:footnoteReference w:id="98"/>
      </w:r>
      <w:r w:rsidRPr="00904312">
        <w:t xml:space="preserve"> Even in individual </w:t>
      </w:r>
      <w:r w:rsidRPr="00904312">
        <w:lastRenderedPageBreak/>
        <w:t>hostage-taking events, whole communities or countries may be affected by the taking of an individual. They may rally support and protest on the streets, people may see themselves in the victim and reali</w:t>
      </w:r>
      <w:r>
        <w:t>z</w:t>
      </w:r>
      <w:r w:rsidRPr="00904312">
        <w:t xml:space="preserve">e that it could easily have been them. The hostage-taking of journalists and </w:t>
      </w:r>
      <w:r w:rsidRPr="002E6E62">
        <w:t xml:space="preserve">human rights defenders can have a chilling effect that discourages others from pursuing the truth. Bargaining for the release of hostages also aggravates psychological impacts, including by the actors deeming certain hostages </w:t>
      </w:r>
      <w:r w:rsidR="006B49D7">
        <w:t>“</w:t>
      </w:r>
      <w:r w:rsidRPr="002E6E62">
        <w:t>lower value</w:t>
      </w:r>
      <w:r w:rsidR="006B49D7">
        <w:t>”</w:t>
      </w:r>
      <w:r w:rsidRPr="002E6E62">
        <w:t xml:space="preserve"> to be used as leverage for </w:t>
      </w:r>
      <w:r w:rsidR="006B49D7">
        <w:t>“</w:t>
      </w:r>
      <w:r w:rsidRPr="002E6E62">
        <w:t>higher value</w:t>
      </w:r>
      <w:r w:rsidR="006B49D7">
        <w:t>”</w:t>
      </w:r>
      <w:r w:rsidRPr="002E6E62">
        <w:t xml:space="preserve"> individuals.</w:t>
      </w:r>
      <w:r w:rsidRPr="00A81C62">
        <w:rPr>
          <w:rStyle w:val="FootnoteReference"/>
        </w:rPr>
        <w:footnoteReference w:id="99"/>
      </w:r>
    </w:p>
    <w:p w14:paraId="15AAC930" w14:textId="77777777" w:rsidR="0082031F" w:rsidRPr="00904312" w:rsidRDefault="0082031F" w:rsidP="0082031F">
      <w:pPr>
        <w:pStyle w:val="H1G"/>
      </w:pPr>
      <w:r w:rsidRPr="00904312">
        <w:rPr>
          <w:lang w:val="en-US"/>
        </w:rPr>
        <w:tab/>
        <w:t>E.</w:t>
      </w:r>
      <w:r w:rsidRPr="00904312">
        <w:rPr>
          <w:lang w:val="en-US"/>
        </w:rPr>
        <w:tab/>
        <w:t>Supporting survivors and their families</w:t>
      </w:r>
    </w:p>
    <w:p w14:paraId="6F2A167A" w14:textId="77777777" w:rsidR="00754E7C" w:rsidRDefault="0082031F" w:rsidP="0082031F">
      <w:pPr>
        <w:pStyle w:val="SingleTxtG"/>
        <w:rPr>
          <w:lang w:val="en-US"/>
        </w:rPr>
      </w:pPr>
      <w:r w:rsidRPr="00904312">
        <w:rPr>
          <w:bCs/>
          <w:lang w:val="en-US"/>
        </w:rPr>
        <w:t>65.</w:t>
      </w:r>
      <w:r w:rsidRPr="00904312">
        <w:rPr>
          <w:bCs/>
          <w:lang w:val="en-US"/>
        </w:rPr>
        <w:tab/>
      </w:r>
      <w:r w:rsidRPr="00904312">
        <w:rPr>
          <w:lang w:val="en-US"/>
        </w:rPr>
        <w:t xml:space="preserve">How survivors </w:t>
      </w:r>
      <w:r w:rsidRPr="00904312">
        <w:t>and</w:t>
      </w:r>
      <w:r w:rsidRPr="00904312">
        <w:rPr>
          <w:lang w:val="en-US"/>
        </w:rPr>
        <w:t xml:space="preserve"> their families are treated during and after being taken hostage can impact their recovery in significant ways. Many survivors and their families report</w:t>
      </w:r>
      <w:r>
        <w:rPr>
          <w:lang w:val="en-US"/>
        </w:rPr>
        <w:t>ed</w:t>
      </w:r>
      <w:r w:rsidRPr="00904312">
        <w:rPr>
          <w:lang w:val="en-US"/>
        </w:rPr>
        <w:t xml:space="preserve"> that they d</w:t>
      </w:r>
      <w:r>
        <w:rPr>
          <w:lang w:val="en-US"/>
        </w:rPr>
        <w:t>id</w:t>
      </w:r>
      <w:r w:rsidRPr="00904312">
        <w:rPr>
          <w:lang w:val="en-US"/>
        </w:rPr>
        <w:t xml:space="preserve"> not feel supported by their </w:t>
      </w:r>
      <w:proofErr w:type="gramStart"/>
      <w:r>
        <w:rPr>
          <w:lang w:val="en-US"/>
        </w:rPr>
        <w:t>G</w:t>
      </w:r>
      <w:r w:rsidRPr="00904312">
        <w:rPr>
          <w:lang w:val="en-US"/>
        </w:rPr>
        <w:t>overnments</w:t>
      </w:r>
      <w:proofErr w:type="gramEnd"/>
      <w:r w:rsidRPr="00904312">
        <w:rPr>
          <w:lang w:val="en-US"/>
        </w:rPr>
        <w:t xml:space="preserve"> during detention and after release.</w:t>
      </w:r>
      <w:r w:rsidRPr="00A81C62">
        <w:rPr>
          <w:rStyle w:val="FootnoteReference"/>
        </w:rPr>
        <w:footnoteReference w:id="100"/>
      </w:r>
      <w:r w:rsidRPr="00904312">
        <w:rPr>
          <w:lang w:val="en-US"/>
        </w:rPr>
        <w:t xml:space="preserve"> Governments told the Special Rapporteur that they </w:t>
      </w:r>
      <w:r>
        <w:rPr>
          <w:lang w:val="en-US"/>
        </w:rPr>
        <w:t>were</w:t>
      </w:r>
      <w:r w:rsidRPr="00904312">
        <w:rPr>
          <w:lang w:val="en-US"/>
        </w:rPr>
        <w:t xml:space="preserve"> not equipped with the expertise or experience to accompany </w:t>
      </w:r>
      <w:r>
        <w:rPr>
          <w:lang w:val="en-US"/>
        </w:rPr>
        <w:t xml:space="preserve">survivors through </w:t>
      </w:r>
      <w:r w:rsidRPr="00904312">
        <w:rPr>
          <w:lang w:val="en-US"/>
        </w:rPr>
        <w:t xml:space="preserve">the process of recovery successfully. Given the profound </w:t>
      </w:r>
      <w:r w:rsidRPr="00904312">
        <w:t>psychological</w:t>
      </w:r>
      <w:r w:rsidRPr="00904312">
        <w:rPr>
          <w:lang w:val="en-US"/>
        </w:rPr>
        <w:t>, physical and economic consequences for hostages and their families, States must provide comprehensive support. The services of private and non</w:t>
      </w:r>
      <w:r w:rsidR="006B49D7">
        <w:rPr>
          <w:lang w:val="en-US"/>
        </w:rPr>
        <w:noBreakHyphen/>
      </w:r>
      <w:r w:rsidRPr="00904312">
        <w:rPr>
          <w:lang w:val="en-US"/>
        </w:rPr>
        <w:t>governmental entities can supplement the State</w:t>
      </w:r>
      <w:r>
        <w:rPr>
          <w:lang w:val="en-US"/>
        </w:rPr>
        <w:t xml:space="preserve"> services</w:t>
      </w:r>
      <w:r w:rsidRPr="00904312">
        <w:rPr>
          <w:lang w:val="en-US"/>
        </w:rPr>
        <w:t>.</w:t>
      </w:r>
    </w:p>
    <w:p w14:paraId="798CFBD6" w14:textId="695B5072" w:rsidR="0082031F" w:rsidRPr="00904312" w:rsidRDefault="0082031F" w:rsidP="0082031F">
      <w:pPr>
        <w:pStyle w:val="SingleTxtG"/>
      </w:pPr>
      <w:r w:rsidRPr="00904312">
        <w:rPr>
          <w:bCs/>
        </w:rPr>
        <w:t>66.</w:t>
      </w:r>
      <w:r w:rsidRPr="00904312">
        <w:rPr>
          <w:bCs/>
        </w:rPr>
        <w:tab/>
      </w:r>
      <w:r w:rsidRPr="00904312">
        <w:rPr>
          <w:lang w:val="en-US"/>
        </w:rPr>
        <w:t>Much can be learned from the rehabilitation provided to survivors of torture, which is an obligation of States parties to the Convention against Torture</w:t>
      </w:r>
      <w:r>
        <w:rPr>
          <w:lang w:val="en-US"/>
        </w:rPr>
        <w:t xml:space="preserve"> </w:t>
      </w:r>
      <w:r>
        <w:t>and Other Cruel, Inhuman or Degrading Treatment or Punishment</w:t>
      </w:r>
      <w:r w:rsidRPr="00904312">
        <w:rPr>
          <w:lang w:val="en-US"/>
        </w:rPr>
        <w:t xml:space="preserve">. </w:t>
      </w:r>
      <w:r w:rsidRPr="00904312">
        <w:t xml:space="preserve">Article 14 provides that </w:t>
      </w:r>
      <w:r>
        <w:t>S</w:t>
      </w:r>
      <w:r w:rsidRPr="00904312">
        <w:t xml:space="preserve">tates shall ensure that torture victims obtain redress, which includes the means for as full rehabilitation as possible. Article 39 of the Convention on the Rights of the Child requires </w:t>
      </w:r>
      <w:r>
        <w:t>S</w:t>
      </w:r>
      <w:r w:rsidRPr="00904312">
        <w:t xml:space="preserve">tates </w:t>
      </w:r>
      <w:r>
        <w:t xml:space="preserve">parties to take measures to promote the recovery and </w:t>
      </w:r>
      <w:r w:rsidRPr="00904312">
        <w:t>reintegrat</w:t>
      </w:r>
      <w:r>
        <w:t>ion</w:t>
      </w:r>
      <w:r w:rsidRPr="00904312">
        <w:t xml:space="preserve"> </w:t>
      </w:r>
      <w:r>
        <w:t xml:space="preserve">of </w:t>
      </w:r>
      <w:r w:rsidRPr="00904312">
        <w:t xml:space="preserve">child victims of exploitation, neglect or abuse. The Special Rapporteur also reminds </w:t>
      </w:r>
      <w:r>
        <w:t>S</w:t>
      </w:r>
      <w:r w:rsidRPr="00904312">
        <w:t>tates of the need to recogni</w:t>
      </w:r>
      <w:r>
        <w:t>z</w:t>
      </w:r>
      <w:r w:rsidRPr="00904312">
        <w:t>e the status of children as victims and provide restitution and repair that is child-centric and child</w:t>
      </w:r>
      <w:r w:rsidR="006B49D7">
        <w:noBreakHyphen/>
      </w:r>
      <w:r w:rsidRPr="00904312">
        <w:t>appropriate</w:t>
      </w:r>
      <w:r>
        <w:t>,</w:t>
      </w:r>
      <w:r w:rsidRPr="00904312">
        <w:t xml:space="preserve"> as detailed in the Guidelines on Justice in Matters Involving Child Victims and Witnesses of Crime.</w:t>
      </w:r>
    </w:p>
    <w:p w14:paraId="5F042E03" w14:textId="77777777" w:rsidR="00754E7C" w:rsidRDefault="0082031F" w:rsidP="0082031F">
      <w:pPr>
        <w:pStyle w:val="SingleTxtG"/>
      </w:pPr>
      <w:r w:rsidRPr="00904312">
        <w:rPr>
          <w:bCs/>
        </w:rPr>
        <w:t>67.</w:t>
      </w:r>
      <w:r w:rsidRPr="00904312">
        <w:rPr>
          <w:bCs/>
        </w:rPr>
        <w:tab/>
      </w:r>
      <w:r w:rsidRPr="00904312">
        <w:t xml:space="preserve">The Committee against Torture has commented that the obligation to provide rehabilitation applies to victims who were subjected to torture or ill-treatment outside a </w:t>
      </w:r>
      <w:proofErr w:type="gramStart"/>
      <w:r w:rsidRPr="00904312">
        <w:t>State</w:t>
      </w:r>
      <w:r w:rsidR="006B49D7">
        <w:t>’</w:t>
      </w:r>
      <w:r w:rsidRPr="00904312">
        <w:t>s</w:t>
      </w:r>
      <w:proofErr w:type="gramEnd"/>
      <w:r w:rsidRPr="00904312">
        <w:t xml:space="preserve"> territory.</w:t>
      </w:r>
      <w:r w:rsidRPr="00A81C62">
        <w:rPr>
          <w:rStyle w:val="FootnoteReference"/>
        </w:rPr>
        <w:footnoteReference w:id="101"/>
      </w:r>
      <w:r w:rsidRPr="00904312">
        <w:t xml:space="preserve"> The Special Rapporteur emphasizes that the State obligation to provide rehabilitation also extends to affected family members of hostages, who are also victims.</w:t>
      </w:r>
    </w:p>
    <w:p w14:paraId="6EB5A626" w14:textId="77777777" w:rsidR="00754E7C" w:rsidRDefault="0082031F" w:rsidP="0082031F">
      <w:pPr>
        <w:pStyle w:val="SingleTxtG"/>
      </w:pPr>
      <w:r w:rsidRPr="002E6E62">
        <w:rPr>
          <w:bCs/>
          <w:lang w:val="en-US"/>
        </w:rPr>
        <w:t>68.</w:t>
      </w:r>
      <w:r w:rsidRPr="002E6E62">
        <w:rPr>
          <w:bCs/>
          <w:lang w:val="en-US"/>
        </w:rPr>
        <w:tab/>
      </w:r>
      <w:r w:rsidRPr="00904312">
        <w:t>The rehabilitation services offered by States must be available, accessible and appropriate to the victims.</w:t>
      </w:r>
      <w:r w:rsidRPr="00A81C62">
        <w:rPr>
          <w:rStyle w:val="FootnoteReference"/>
        </w:rPr>
        <w:footnoteReference w:id="102"/>
      </w:r>
      <w:r w:rsidRPr="00904312">
        <w:t xml:space="preserve"> They should be tailored to the specific needs of each victim and should be holistic – providing </w:t>
      </w:r>
      <w:r w:rsidRPr="002E6E62">
        <w:t>medical (including sexual and reproductive) and psychological care, as well as legal and social services.</w:t>
      </w:r>
    </w:p>
    <w:p w14:paraId="1A37757A" w14:textId="77777777" w:rsidR="00754E7C" w:rsidRDefault="0082031F" w:rsidP="0082031F">
      <w:pPr>
        <w:pStyle w:val="SingleTxtG"/>
      </w:pPr>
      <w:r w:rsidRPr="002E6E62">
        <w:rPr>
          <w:bCs/>
          <w:lang w:val="en-US"/>
        </w:rPr>
        <w:t>69.</w:t>
      </w:r>
      <w:r w:rsidRPr="002E6E62">
        <w:rPr>
          <w:bCs/>
          <w:lang w:val="en-US"/>
        </w:rPr>
        <w:tab/>
      </w:r>
      <w:r w:rsidRPr="002E6E62">
        <w:rPr>
          <w:lang w:val="en-US"/>
        </w:rPr>
        <w:t xml:space="preserve">There are two </w:t>
      </w:r>
      <w:r w:rsidRPr="002E6E62">
        <w:t>phases</w:t>
      </w:r>
      <w:r w:rsidRPr="002E6E62">
        <w:rPr>
          <w:lang w:val="en-US"/>
        </w:rPr>
        <w:t xml:space="preserve"> to the support</w:t>
      </w:r>
      <w:r>
        <w:rPr>
          <w:lang w:val="en-US"/>
        </w:rPr>
        <w:t xml:space="preserve"> – </w:t>
      </w:r>
      <w:r w:rsidRPr="002E6E62">
        <w:rPr>
          <w:lang w:val="en-US"/>
        </w:rPr>
        <w:t xml:space="preserve">during captivity and after release. </w:t>
      </w:r>
      <w:r w:rsidRPr="002E6E62">
        <w:t>Former hostages often endure long-term trauma, sometimes seeking therapy decades after their release. Many also face ongoing torment from a sense of injustice, as most hostage-takers are never held accountable.</w:t>
      </w:r>
      <w:r w:rsidRPr="00A81C62">
        <w:rPr>
          <w:rStyle w:val="FootnoteReference"/>
        </w:rPr>
        <w:footnoteReference w:id="103"/>
      </w:r>
      <w:r w:rsidRPr="002E6E62">
        <w:t xml:space="preserve"> Their families undergo a different experience, but also suffer long</w:t>
      </w:r>
      <w:r w:rsidR="006B49D7">
        <w:noBreakHyphen/>
      </w:r>
      <w:r w:rsidRPr="002E6E62">
        <w:t>lasting effects.</w:t>
      </w:r>
    </w:p>
    <w:p w14:paraId="3956F412" w14:textId="49B4052D" w:rsidR="0082031F" w:rsidRPr="002E6E62" w:rsidRDefault="0082031F" w:rsidP="0082031F">
      <w:pPr>
        <w:pStyle w:val="SingleTxtG"/>
      </w:pPr>
      <w:r w:rsidRPr="002E6E62">
        <w:rPr>
          <w:bCs/>
        </w:rPr>
        <w:t>70.</w:t>
      </w:r>
      <w:r w:rsidRPr="002E6E62">
        <w:rPr>
          <w:bCs/>
        </w:rPr>
        <w:tab/>
      </w:r>
      <w:r w:rsidRPr="002E6E62">
        <w:t>Most people, apart from trained military personnel, rarely consider the possibility of losing their freedom or contact with the outside world in daily life. Even civilians aware of kidnapping risks in countries that they visit often feel disbelief. This trauma begins the moment an abduction or detention occurs, regardless of the duration of captivity.</w:t>
      </w:r>
      <w:r w:rsidRPr="00A81C62">
        <w:rPr>
          <w:rStyle w:val="FootnoteReference"/>
        </w:rPr>
        <w:footnoteReference w:id="104"/>
      </w:r>
    </w:p>
    <w:p w14:paraId="57DE3433" w14:textId="45F326A8" w:rsidR="0082031F" w:rsidRPr="002E6E62" w:rsidRDefault="0082031F" w:rsidP="0082031F">
      <w:pPr>
        <w:pStyle w:val="SingleTxtG"/>
      </w:pPr>
      <w:r w:rsidRPr="002E6E62">
        <w:rPr>
          <w:bCs/>
        </w:rPr>
        <w:t>71.</w:t>
      </w:r>
      <w:r w:rsidRPr="002E6E62">
        <w:rPr>
          <w:bCs/>
        </w:rPr>
        <w:tab/>
      </w:r>
      <w:r w:rsidRPr="002E6E62">
        <w:t>During captivity, victims endure constant fear, uncertainty and helplessness. The unpredictability of their captors</w:t>
      </w:r>
      <w:r w:rsidR="006B49D7">
        <w:t>’</w:t>
      </w:r>
      <w:r w:rsidRPr="002E6E62">
        <w:t xml:space="preserve"> behaviour, coupled with the threat of violence, creates an </w:t>
      </w:r>
      <w:r w:rsidRPr="002E6E62">
        <w:lastRenderedPageBreak/>
        <w:t xml:space="preserve">environment of chronic stress resulting in long-term mental health issues such as </w:t>
      </w:r>
      <w:r>
        <w:t>post</w:t>
      </w:r>
      <w:r w:rsidR="006B49D7">
        <w:noBreakHyphen/>
      </w:r>
      <w:r>
        <w:t>traumatic stress disorder</w:t>
      </w:r>
      <w:r w:rsidRPr="002E6E62">
        <w:t>, anxiety, depression and sleep disturbances.</w:t>
      </w:r>
      <w:r w:rsidRPr="00A81C62">
        <w:rPr>
          <w:rStyle w:val="FootnoteReference"/>
        </w:rPr>
        <w:footnoteReference w:id="105"/>
      </w:r>
      <w:r w:rsidRPr="002E6E62">
        <w:t xml:space="preserve"> A female survivor interviewed said that she was worried about the sexual diseases she </w:t>
      </w:r>
      <w:r>
        <w:t>might</w:t>
      </w:r>
      <w:r w:rsidRPr="002E6E62">
        <w:t xml:space="preserve"> have contracted while being held against her will.</w:t>
      </w:r>
    </w:p>
    <w:p w14:paraId="63EA69A1" w14:textId="77777777" w:rsidR="00754E7C" w:rsidRDefault="0082031F" w:rsidP="0082031F">
      <w:pPr>
        <w:pStyle w:val="SingleTxtG"/>
      </w:pPr>
      <w:r w:rsidRPr="00904312">
        <w:rPr>
          <w:bCs/>
        </w:rPr>
        <w:t>72.</w:t>
      </w:r>
      <w:r w:rsidRPr="00904312">
        <w:rPr>
          <w:bCs/>
        </w:rPr>
        <w:tab/>
      </w:r>
      <w:r w:rsidRPr="002E6E62">
        <w:t>The Special Rapporteur has repeatedly heard from survivors and families about the importance of having effective support, communication and information</w:t>
      </w:r>
      <w:r w:rsidRPr="00904312">
        <w:t xml:space="preserve"> from their home State. Hostages in State hostage-taking situations describe feeling abandoned by their </w:t>
      </w:r>
      <w:proofErr w:type="gramStart"/>
      <w:r>
        <w:t>G</w:t>
      </w:r>
      <w:r w:rsidRPr="00904312">
        <w:t>overnments</w:t>
      </w:r>
      <w:proofErr w:type="gramEnd"/>
      <w:r w:rsidRPr="00904312">
        <w:t xml:space="preserve"> when consular services are denied. When access is allowed, some survivors say government representatives are untrained or unable to provide the support they need. For non-State hostage-taking, victims have even less information about their </w:t>
      </w:r>
      <w:proofErr w:type="gramStart"/>
      <w:r>
        <w:t>G</w:t>
      </w:r>
      <w:r w:rsidRPr="00904312">
        <w:t>overnment</w:t>
      </w:r>
      <w:r w:rsidR="006B49D7">
        <w:t>’</w:t>
      </w:r>
      <w:r w:rsidRPr="00904312">
        <w:t>s</w:t>
      </w:r>
      <w:proofErr w:type="gramEnd"/>
      <w:r w:rsidRPr="00904312">
        <w:t xml:space="preserve"> actions. A sense of being abandoned by their </w:t>
      </w:r>
      <w:proofErr w:type="gramStart"/>
      <w:r>
        <w:t>G</w:t>
      </w:r>
      <w:r w:rsidRPr="00904312">
        <w:t>overnment</w:t>
      </w:r>
      <w:proofErr w:type="gramEnd"/>
      <w:r w:rsidRPr="00904312">
        <w:t>, sometimes manipulated by the hostage-takers as form of psychological torture, adds to the powerlessness of hostages.</w:t>
      </w:r>
    </w:p>
    <w:p w14:paraId="52663E75" w14:textId="5CA292E6" w:rsidR="0082031F" w:rsidRPr="00904312" w:rsidRDefault="0082031F" w:rsidP="0082031F">
      <w:pPr>
        <w:pStyle w:val="SingleTxtG"/>
      </w:pPr>
      <w:r w:rsidRPr="00904312">
        <w:rPr>
          <w:bCs/>
        </w:rPr>
        <w:t>73.</w:t>
      </w:r>
      <w:r w:rsidRPr="00904312">
        <w:rPr>
          <w:bCs/>
        </w:rPr>
        <w:tab/>
      </w:r>
      <w:r w:rsidRPr="00904312">
        <w:t xml:space="preserve">Family members experience severe psychological trauma, including chronic anxiety, depression and isolation, often exacerbated by demands by their </w:t>
      </w:r>
      <w:proofErr w:type="gramStart"/>
      <w:r>
        <w:t>G</w:t>
      </w:r>
      <w:r w:rsidRPr="00904312">
        <w:t>overnments</w:t>
      </w:r>
      <w:proofErr w:type="gramEnd"/>
      <w:r w:rsidRPr="00904312">
        <w:t xml:space="preserve"> not to speak publicly. Sleepless nights, worry for their loved one</w:t>
      </w:r>
      <w:r w:rsidR="006B49D7">
        <w:t>’</w:t>
      </w:r>
      <w:r w:rsidRPr="00904312">
        <w:t xml:space="preserve">s safety and guilt over their inability to help, intensify their emotional burden. Some focus all their efforts and attention on the task of </w:t>
      </w:r>
      <w:r>
        <w:t>having</w:t>
      </w:r>
      <w:r w:rsidRPr="00904312">
        <w:t xml:space="preserve"> their loved one</w:t>
      </w:r>
      <w:r>
        <w:t xml:space="preserve"> returned</w:t>
      </w:r>
      <w:r w:rsidRPr="00904312">
        <w:t>, which causes other areas of their lives to be neglected</w:t>
      </w:r>
      <w:r>
        <w:t>,</w:t>
      </w:r>
      <w:r w:rsidRPr="00904312">
        <w:t xml:space="preserve"> including work. Family members require support from their </w:t>
      </w:r>
      <w:proofErr w:type="gramStart"/>
      <w:r>
        <w:t>G</w:t>
      </w:r>
      <w:r w:rsidRPr="00904312">
        <w:t>overnment</w:t>
      </w:r>
      <w:r>
        <w:t>s</w:t>
      </w:r>
      <w:proofErr w:type="gramEnd"/>
      <w:r w:rsidRPr="00904312">
        <w:t xml:space="preserve"> to navigate the impacts on their lives</w:t>
      </w:r>
      <w:r>
        <w:t>,</w:t>
      </w:r>
      <w:r w:rsidRPr="00904312">
        <w:t xml:space="preserve"> such as legal issues and interacting with the media. They should also receive clear communication and regular updates about what is happening.</w:t>
      </w:r>
      <w:r w:rsidRPr="00A81C62">
        <w:rPr>
          <w:rStyle w:val="FootnoteReference"/>
        </w:rPr>
        <w:footnoteReference w:id="106"/>
      </w:r>
    </w:p>
    <w:p w14:paraId="3776EFD7" w14:textId="5172AD4B" w:rsidR="0082031F" w:rsidRPr="00904312" w:rsidRDefault="0082031F" w:rsidP="0082031F">
      <w:pPr>
        <w:pStyle w:val="SingleTxtG"/>
      </w:pPr>
      <w:r w:rsidRPr="00904312">
        <w:rPr>
          <w:bCs/>
        </w:rPr>
        <w:t>74.</w:t>
      </w:r>
      <w:r w:rsidRPr="00904312">
        <w:rPr>
          <w:bCs/>
        </w:rPr>
        <w:tab/>
      </w:r>
      <w:r w:rsidRPr="00904312">
        <w:t xml:space="preserve">There may be a state of </w:t>
      </w:r>
      <w:r w:rsidR="006B49D7">
        <w:t>“</w:t>
      </w:r>
      <w:r w:rsidRPr="00904312">
        <w:t>ambiguous loss</w:t>
      </w:r>
      <w:r w:rsidR="006B49D7">
        <w:t>”</w:t>
      </w:r>
      <w:r w:rsidRPr="00904312">
        <w:t xml:space="preserve"> for families.</w:t>
      </w:r>
      <w:r w:rsidRPr="00A81C62">
        <w:rPr>
          <w:rStyle w:val="FootnoteReference"/>
        </w:rPr>
        <w:footnoteReference w:id="107"/>
      </w:r>
      <w:r w:rsidRPr="00904312">
        <w:t xml:space="preserve"> For example, relatives of the hostages taken by Hamas have not received official proof of life, or been able to send messages of contact, or been given any indication of the hostages</w:t>
      </w:r>
      <w:r w:rsidR="006B49D7">
        <w:t>’</w:t>
      </w:r>
      <w:r w:rsidRPr="00904312">
        <w:t xml:space="preserve"> welfare or condition.</w:t>
      </w:r>
      <w:r w:rsidRPr="00A81C62">
        <w:rPr>
          <w:rStyle w:val="FootnoteReference"/>
        </w:rPr>
        <w:footnoteReference w:id="108"/>
      </w:r>
      <w:r w:rsidRPr="00904312">
        <w:t xml:space="preserve"> In addition, Hamas has released videos of hostages that torment family members by</w:t>
      </w:r>
      <w:r>
        <w:t>,</w:t>
      </w:r>
      <w:r w:rsidRPr="00904312">
        <w:t xml:space="preserve"> for example</w:t>
      </w:r>
      <w:r>
        <w:t>,</w:t>
      </w:r>
      <w:r w:rsidRPr="00904312">
        <w:t xml:space="preserve"> asking them to guess which hostage has been killed.</w:t>
      </w:r>
      <w:r w:rsidRPr="00A81C62">
        <w:rPr>
          <w:rStyle w:val="FootnoteReference"/>
        </w:rPr>
        <w:footnoteReference w:id="109"/>
      </w:r>
      <w:r w:rsidRPr="00904312">
        <w:t xml:space="preserve"> Bodies of the dead are also used as leverage, preventing families from burying their loved ones.</w:t>
      </w:r>
      <w:r w:rsidRPr="00A81C62">
        <w:rPr>
          <w:rStyle w:val="FootnoteReference"/>
        </w:rPr>
        <w:footnoteReference w:id="110"/>
      </w:r>
      <w:r w:rsidRPr="00904312">
        <w:t xml:space="preserve"> The Special Rapporteur</w:t>
      </w:r>
      <w:r w:rsidR="006B49D7">
        <w:t>’</w:t>
      </w:r>
      <w:r w:rsidRPr="00904312">
        <w:t>s position is that</w:t>
      </w:r>
      <w:r>
        <w:t>,</w:t>
      </w:r>
      <w:r w:rsidRPr="00904312">
        <w:t xml:space="preserve"> just as in the cases of enforced disappearance, the right to know the truth about the fate and whereabouts of hostages includes the right of the family to have the remains of their loved ones returned to them. The concealment, destruction or violation of the bodies of victims may </w:t>
      </w:r>
      <w:r>
        <w:t>infringe on</w:t>
      </w:r>
      <w:r w:rsidRPr="00904312">
        <w:t xml:space="preserve"> the rights of family members to be free from torture and ill-treatment.</w:t>
      </w:r>
      <w:r w:rsidRPr="00A81C62">
        <w:rPr>
          <w:rStyle w:val="FootnoteReference"/>
        </w:rPr>
        <w:footnoteReference w:id="111"/>
      </w:r>
    </w:p>
    <w:p w14:paraId="4FED7766" w14:textId="77777777" w:rsidR="00754E7C" w:rsidRDefault="0082031F" w:rsidP="0082031F">
      <w:pPr>
        <w:pStyle w:val="SingleTxtG"/>
        <w:rPr>
          <w:lang w:val="en-US"/>
        </w:rPr>
      </w:pPr>
      <w:r w:rsidRPr="00904312">
        <w:rPr>
          <w:bCs/>
          <w:lang w:val="en-US"/>
        </w:rPr>
        <w:t>75.</w:t>
      </w:r>
      <w:r w:rsidRPr="00904312">
        <w:rPr>
          <w:bCs/>
          <w:lang w:val="en-US"/>
        </w:rPr>
        <w:tab/>
      </w:r>
      <w:r w:rsidRPr="00904312">
        <w:t>A</w:t>
      </w:r>
      <w:r w:rsidRPr="00904312">
        <w:rPr>
          <w:lang w:val="en-US"/>
        </w:rPr>
        <w:t xml:space="preserve"> specific government office that handles hostage-taking situations and provides a single point of contact for victims and their families is fundamental. The United States has a </w:t>
      </w:r>
      <w:r>
        <w:rPr>
          <w:lang w:val="en-US"/>
        </w:rPr>
        <w:t xml:space="preserve">Special </w:t>
      </w:r>
      <w:r w:rsidRPr="00904312">
        <w:rPr>
          <w:lang w:val="en-US"/>
        </w:rPr>
        <w:t>Presidential Envoy for Hostage Affairs, whose office supports families throughout the process.</w:t>
      </w:r>
      <w:r w:rsidRPr="00A81C62">
        <w:rPr>
          <w:rStyle w:val="FootnoteReference"/>
        </w:rPr>
        <w:footnoteReference w:id="112"/>
      </w:r>
      <w:r w:rsidRPr="00904312">
        <w:rPr>
          <w:lang w:val="en-US"/>
        </w:rPr>
        <w:t xml:space="preserve"> In</w:t>
      </w:r>
      <w:r w:rsidRPr="00904312">
        <w:t xml:space="preserve"> November 2023, Canada designated a Senior Official for Hostage Affairs to lead </w:t>
      </w:r>
      <w:r>
        <w:t>the country</w:t>
      </w:r>
      <w:r w:rsidR="006B49D7">
        <w:t>’</w:t>
      </w:r>
      <w:r>
        <w:t>s</w:t>
      </w:r>
      <w:r w:rsidRPr="00904312">
        <w:t xml:space="preserve"> concerted consular efforts and to enhance its capacity to respond to cases of hostage-taking.</w:t>
      </w:r>
      <w:r w:rsidRPr="00A81C62">
        <w:rPr>
          <w:rStyle w:val="FootnoteReference"/>
        </w:rPr>
        <w:footnoteReference w:id="113"/>
      </w:r>
      <w:r w:rsidRPr="00904312">
        <w:t xml:space="preserve"> In Australia, a senate committee inquiry recently recommended that the </w:t>
      </w:r>
      <w:r>
        <w:t>G</w:t>
      </w:r>
      <w:r w:rsidRPr="00904312">
        <w:t>overnment create a special envoy</w:t>
      </w:r>
      <w:r w:rsidR="006B49D7">
        <w:t>’</w:t>
      </w:r>
      <w:r w:rsidRPr="00904312">
        <w:t>s office to increase and coordinate support to victims and families.</w:t>
      </w:r>
      <w:r w:rsidRPr="00A81C62">
        <w:rPr>
          <w:rStyle w:val="FootnoteReference"/>
        </w:rPr>
        <w:footnoteReference w:id="114"/>
      </w:r>
      <w:r w:rsidRPr="00904312">
        <w:rPr>
          <w:lang w:val="en-US"/>
        </w:rPr>
        <w:t xml:space="preserve"> However, too few States are ready and able to assist hostages and their families navigate this stressful and complicated process. The Special Rapporteur would encourage greater sharing of experiences across countries, with the full involvement of former hostages.</w:t>
      </w:r>
    </w:p>
    <w:p w14:paraId="5455C754" w14:textId="32E32ACB" w:rsidR="0082031F" w:rsidRPr="00904312" w:rsidRDefault="0082031F" w:rsidP="0082031F">
      <w:pPr>
        <w:pStyle w:val="SingleTxtG"/>
      </w:pPr>
      <w:r w:rsidRPr="00904312">
        <w:rPr>
          <w:bCs/>
        </w:rPr>
        <w:lastRenderedPageBreak/>
        <w:t>76.</w:t>
      </w:r>
      <w:r w:rsidRPr="00904312">
        <w:rPr>
          <w:bCs/>
        </w:rPr>
        <w:tab/>
      </w:r>
      <w:r w:rsidRPr="00904312">
        <w:t>The psychological impact of captivity can persist long after release. Many former captives report initially feeling disoriented. They may struggle with concentration and decision-making, finding even simple decisions difficult to make due to a prolonged loss of agency. Deprived of cognitive engagement during captivity, their mental faculties often require time to recover.</w:t>
      </w:r>
      <w:r w:rsidRPr="00A81C62">
        <w:rPr>
          <w:rStyle w:val="FootnoteReference"/>
        </w:rPr>
        <w:footnoteReference w:id="115"/>
      </w:r>
    </w:p>
    <w:p w14:paraId="7FEE6743" w14:textId="77777777" w:rsidR="00754E7C" w:rsidRDefault="0082031F" w:rsidP="0082031F">
      <w:pPr>
        <w:pStyle w:val="SingleTxtG"/>
      </w:pPr>
      <w:r w:rsidRPr="00904312">
        <w:rPr>
          <w:bCs/>
        </w:rPr>
        <w:t>77.</w:t>
      </w:r>
      <w:r w:rsidRPr="00904312">
        <w:rPr>
          <w:bCs/>
        </w:rPr>
        <w:tab/>
      </w:r>
      <w:r w:rsidRPr="00904312">
        <w:t xml:space="preserve">Community stigma can worsen the ordeal for families of hostages or </w:t>
      </w:r>
      <w:r>
        <w:t xml:space="preserve">people detained </w:t>
      </w:r>
      <w:r w:rsidRPr="00904312">
        <w:t>wrongful</w:t>
      </w:r>
      <w:r>
        <w:t>ly</w:t>
      </w:r>
      <w:r w:rsidRPr="00904312">
        <w:t>. In politically or criminally motivated abductions, families may face suspicion or blame, leading to social ostracism and reduced access to vital support networks</w:t>
      </w:r>
      <w:r w:rsidR="00D11C2C">
        <w:t>.</w:t>
      </w:r>
      <w:r w:rsidRPr="00A81C62">
        <w:rPr>
          <w:rStyle w:val="FootnoteReference"/>
        </w:rPr>
        <w:footnoteReference w:id="116"/>
      </w:r>
      <w:r w:rsidRPr="00904312">
        <w:t xml:space="preserve"> The Special Rapporteur encourages </w:t>
      </w:r>
      <w:r>
        <w:t>G</w:t>
      </w:r>
      <w:r w:rsidRPr="00904312">
        <w:t xml:space="preserve">overnments to counteract </w:t>
      </w:r>
      <w:r w:rsidR="006B49D7">
        <w:t>“</w:t>
      </w:r>
      <w:r w:rsidRPr="00904312">
        <w:t>victim blaming</w:t>
      </w:r>
      <w:r w:rsidR="006B49D7">
        <w:t>”</w:t>
      </w:r>
      <w:r w:rsidRPr="00904312">
        <w:t xml:space="preserve"> by formally recogni</w:t>
      </w:r>
      <w:r>
        <w:t>z</w:t>
      </w:r>
      <w:r w:rsidRPr="00904312">
        <w:t>ing hostages.</w:t>
      </w:r>
      <w:r w:rsidRPr="00A81C62">
        <w:rPr>
          <w:rStyle w:val="FootnoteReference"/>
        </w:rPr>
        <w:footnoteReference w:id="117"/>
      </w:r>
    </w:p>
    <w:p w14:paraId="28D7A275" w14:textId="77777777" w:rsidR="00754E7C" w:rsidRDefault="0082031F" w:rsidP="0082031F">
      <w:pPr>
        <w:pStyle w:val="SingleTxtG"/>
      </w:pPr>
      <w:r w:rsidRPr="002E6E62">
        <w:rPr>
          <w:bCs/>
        </w:rPr>
        <w:t>78.</w:t>
      </w:r>
      <w:r w:rsidRPr="002E6E62">
        <w:rPr>
          <w:bCs/>
        </w:rPr>
        <w:tab/>
      </w:r>
      <w:r w:rsidRPr="00904312">
        <w:t xml:space="preserve">Legal clarification of the status of family members and </w:t>
      </w:r>
      <w:r w:rsidRPr="004974B5">
        <w:rPr>
          <w:rFonts w:asciiTheme="majorBidi" w:hAnsiTheme="majorBidi" w:cstheme="majorBidi"/>
        </w:rPr>
        <w:t xml:space="preserve">dependants as </w:t>
      </w:r>
      <w:r w:rsidR="006B49D7">
        <w:rPr>
          <w:rFonts w:asciiTheme="majorBidi" w:hAnsiTheme="majorBidi" w:cstheme="majorBidi"/>
        </w:rPr>
        <w:t>“</w:t>
      </w:r>
      <w:r w:rsidRPr="004974B5">
        <w:rPr>
          <w:rFonts w:asciiTheme="majorBidi" w:hAnsiTheme="majorBidi" w:cstheme="majorBidi"/>
        </w:rPr>
        <w:t>victims</w:t>
      </w:r>
      <w:r w:rsidR="006B49D7">
        <w:t>”</w:t>
      </w:r>
      <w:r w:rsidRPr="00904312">
        <w:t xml:space="preserve"> entitled to access support is elementary.</w:t>
      </w:r>
      <w:r w:rsidRPr="00A81C62">
        <w:rPr>
          <w:rStyle w:val="FootnoteReference"/>
        </w:rPr>
        <w:footnoteReference w:id="118"/>
      </w:r>
      <w:r w:rsidRPr="00904312">
        <w:t xml:space="preserve"> Peer support networks to connect people with others who have experienced similar ordeals may reduce isolation and provide a sense of community and mutual support</w:t>
      </w:r>
      <w:r>
        <w:t>.</w:t>
      </w:r>
      <w:r w:rsidRPr="00A81C62">
        <w:rPr>
          <w:rStyle w:val="FootnoteReference"/>
        </w:rPr>
        <w:footnoteReference w:id="119"/>
      </w:r>
      <w:r w:rsidRPr="00904312">
        <w:t xml:space="preserve"> In Israel, the </w:t>
      </w:r>
      <w:r>
        <w:t xml:space="preserve">Hostages and Missing </w:t>
      </w:r>
      <w:r w:rsidRPr="00904312">
        <w:t xml:space="preserve">Families Forum exemplifies the </w:t>
      </w:r>
      <w:r w:rsidRPr="002E6E62">
        <w:t>mobilization of secondary victims, who have become full-time advocates on the international stage</w:t>
      </w:r>
      <w:r>
        <w:t>.</w:t>
      </w:r>
      <w:r w:rsidRPr="00A81C62">
        <w:rPr>
          <w:rStyle w:val="FootnoteReference"/>
        </w:rPr>
        <w:footnoteReference w:id="120"/>
      </w:r>
      <w:r w:rsidRPr="002E6E62">
        <w:t xml:space="preserve"> In Spain, various crimes associated with hostage-taking are prosecutable.</w:t>
      </w:r>
      <w:r w:rsidRPr="00A81C62">
        <w:rPr>
          <w:rStyle w:val="FootnoteReference"/>
        </w:rPr>
        <w:footnoteReference w:id="121"/>
      </w:r>
    </w:p>
    <w:p w14:paraId="07B6178E" w14:textId="77FC65BB" w:rsidR="0082031F" w:rsidRPr="00904312" w:rsidRDefault="0082031F" w:rsidP="0082031F">
      <w:pPr>
        <w:pStyle w:val="SingleTxtG"/>
      </w:pPr>
      <w:r w:rsidRPr="00904312">
        <w:rPr>
          <w:bCs/>
        </w:rPr>
        <w:t>79.</w:t>
      </w:r>
      <w:r w:rsidRPr="00904312">
        <w:rPr>
          <w:bCs/>
        </w:rPr>
        <w:tab/>
      </w:r>
      <w:r w:rsidRPr="002E6E62">
        <w:t xml:space="preserve">Reintegration assistance should include </w:t>
      </w:r>
      <w:r>
        <w:t>the</w:t>
      </w:r>
      <w:r w:rsidRPr="002E6E62">
        <w:t xml:space="preserve"> debriefing </w:t>
      </w:r>
      <w:r>
        <w:t xml:space="preserve">by Governments of </w:t>
      </w:r>
      <w:r w:rsidRPr="002E6E62">
        <w:t xml:space="preserve">returnees and their families </w:t>
      </w:r>
      <w:r>
        <w:t>concerning</w:t>
      </w:r>
      <w:r w:rsidRPr="002E6E62">
        <w:t xml:space="preserve"> how their case was resolved, </w:t>
      </w:r>
      <w:r>
        <w:t xml:space="preserve">taking into account </w:t>
      </w:r>
      <w:r w:rsidRPr="002E6E62">
        <w:t>that some elements may remain confidential.</w:t>
      </w:r>
      <w:r w:rsidRPr="00A81C62">
        <w:rPr>
          <w:rStyle w:val="FootnoteReference"/>
        </w:rPr>
        <w:footnoteReference w:id="122"/>
      </w:r>
      <w:r w:rsidRPr="002E6E62">
        <w:t xml:space="preserve"> </w:t>
      </w:r>
      <w:r>
        <w:t>It</w:t>
      </w:r>
      <w:r w:rsidRPr="002E6E62">
        <w:t xml:space="preserve"> should include post-release health</w:t>
      </w:r>
      <w:r>
        <w:t>care</w:t>
      </w:r>
      <w:r w:rsidRPr="002E6E62">
        <w:t xml:space="preserve"> and dental care.</w:t>
      </w:r>
      <w:r w:rsidRPr="00A81C62">
        <w:rPr>
          <w:rStyle w:val="FootnoteReference"/>
        </w:rPr>
        <w:footnoteReference w:id="123"/>
      </w:r>
      <w:r w:rsidRPr="002E6E62">
        <w:t xml:space="preserve"> There should be access to long-term psychological care to deal with the complex and enduring trauma.</w:t>
      </w:r>
      <w:r w:rsidRPr="00A81C62">
        <w:rPr>
          <w:rStyle w:val="FootnoteReference"/>
        </w:rPr>
        <w:footnoteReference w:id="124"/>
      </w:r>
      <w:r w:rsidRPr="002E6E62">
        <w:t xml:space="preserve"> Former hostages should be supported in their return</w:t>
      </w:r>
      <w:r w:rsidRPr="00904312">
        <w:t xml:space="preserve"> to work, which may require educating employers about their experience.</w:t>
      </w:r>
      <w:r w:rsidRPr="00A81C62">
        <w:rPr>
          <w:rStyle w:val="FootnoteReference"/>
        </w:rPr>
        <w:footnoteReference w:id="125"/>
      </w:r>
    </w:p>
    <w:p w14:paraId="179DE468" w14:textId="77777777" w:rsidR="00754E7C" w:rsidRDefault="0082031F" w:rsidP="0082031F">
      <w:pPr>
        <w:pStyle w:val="SingleTxtG"/>
      </w:pPr>
      <w:r w:rsidRPr="00904312">
        <w:rPr>
          <w:bCs/>
        </w:rPr>
        <w:t>80.</w:t>
      </w:r>
      <w:r w:rsidRPr="00904312">
        <w:rPr>
          <w:bCs/>
        </w:rPr>
        <w:tab/>
      </w:r>
      <w:r w:rsidRPr="00904312">
        <w:t>The economic consequences for released hostages and their families should not be underestimated</w:t>
      </w:r>
      <w:r>
        <w:t>,</w:t>
      </w:r>
      <w:r w:rsidRPr="00904312">
        <w:t xml:space="preserve"> and economic planning should be part of recovery packages. Employers also have an important role to play </w:t>
      </w:r>
      <w:r>
        <w:t>by</w:t>
      </w:r>
      <w:r w:rsidRPr="00904312">
        <w:t xml:space="preserve"> ensur</w:t>
      </w:r>
      <w:r>
        <w:t>ing</w:t>
      </w:r>
      <w:r w:rsidRPr="00904312">
        <w:t xml:space="preserve"> that salaries and benefits are kept during captivity, as many reported that their absence had left families unable to pay bills.</w:t>
      </w:r>
      <w:r w:rsidRPr="00A81C62">
        <w:rPr>
          <w:rStyle w:val="FootnoteReference"/>
        </w:rPr>
        <w:footnoteReference w:id="126"/>
      </w:r>
      <w:r w:rsidRPr="00904312">
        <w:t xml:space="preserve"> One hostage unable to work upon return reported to the Special Rapporteur that his employer had provided a generous severance package that had allowed him to retire and obtain medical support for his trauma. Families may have to pay money or put up bail to get their loved ones released. Financial repercussions from captivity, such as negative impacts to financial scores and penalties for unpaid taxes can be addressed legislatively.</w:t>
      </w:r>
      <w:r w:rsidRPr="00A81C62">
        <w:rPr>
          <w:rStyle w:val="FootnoteReference"/>
        </w:rPr>
        <w:footnoteReference w:id="127"/>
      </w:r>
    </w:p>
    <w:p w14:paraId="5EE9C55F" w14:textId="77777777" w:rsidR="00754E7C" w:rsidRDefault="0082031F" w:rsidP="0082031F">
      <w:pPr>
        <w:pStyle w:val="SingleTxtG"/>
      </w:pPr>
      <w:r w:rsidRPr="00904312">
        <w:rPr>
          <w:bCs/>
        </w:rPr>
        <w:t>81.</w:t>
      </w:r>
      <w:r w:rsidRPr="00904312">
        <w:rPr>
          <w:bCs/>
        </w:rPr>
        <w:tab/>
      </w:r>
      <w:r w:rsidRPr="00904312">
        <w:t>On top of the financial pressure, former captives report serious impacts on their careers</w:t>
      </w:r>
      <w:r>
        <w:t>,</w:t>
      </w:r>
      <w:r w:rsidRPr="00904312">
        <w:t xml:space="preserve"> as they find their skill</w:t>
      </w:r>
      <w:r>
        <w:t xml:space="preserve"> </w:t>
      </w:r>
      <w:r w:rsidRPr="00904312">
        <w:t>sets and knowledge are out of date. One released detainee reported that in the many years he was detained, technology had moved on to such an extent that he was no longer able to continue in his profession. Another former hostage interviewed shared that when he returned to work, his employer did not know what to do with him, at a time when he desperately needed to keep busy. They put him in the worst place – the basement of the building – and he spent his days sending emails to himself.</w:t>
      </w:r>
      <w:r w:rsidRPr="00A81C62">
        <w:rPr>
          <w:rStyle w:val="FootnoteReference"/>
        </w:rPr>
        <w:footnoteReference w:id="128"/>
      </w:r>
    </w:p>
    <w:p w14:paraId="2123E76D" w14:textId="1F50195D" w:rsidR="0082031F" w:rsidRPr="00904312" w:rsidRDefault="0082031F" w:rsidP="0082031F">
      <w:pPr>
        <w:pStyle w:val="SingleTxtG"/>
      </w:pPr>
      <w:r w:rsidRPr="00904312">
        <w:rPr>
          <w:bCs/>
        </w:rPr>
        <w:lastRenderedPageBreak/>
        <w:t>82.</w:t>
      </w:r>
      <w:r w:rsidRPr="00904312">
        <w:rPr>
          <w:bCs/>
        </w:rPr>
        <w:tab/>
      </w:r>
      <w:r w:rsidRPr="00904312">
        <w:t>Meaningful work and activities build a sense of identity, which may be lost in captivity and in years away from normal social relations. This shift can amplify feelings of inadequacy and dependence, worsening the psychological burden.</w:t>
      </w:r>
      <w:r w:rsidRPr="00A81C62">
        <w:rPr>
          <w:rStyle w:val="FootnoteReference"/>
        </w:rPr>
        <w:footnoteReference w:id="129"/>
      </w:r>
      <w:r w:rsidRPr="00904312">
        <w:t xml:space="preserve"> The socioeconomic repercussions can also have intergenerational effects, with financial instability and trauma affecting whole families.</w:t>
      </w:r>
      <w:r w:rsidRPr="00A81C62">
        <w:rPr>
          <w:rStyle w:val="FootnoteReference"/>
        </w:rPr>
        <w:footnoteReference w:id="130"/>
      </w:r>
    </w:p>
    <w:p w14:paraId="137F1359" w14:textId="77777777" w:rsidR="00754E7C" w:rsidRDefault="0082031F" w:rsidP="0082031F">
      <w:pPr>
        <w:pStyle w:val="SingleTxtG"/>
      </w:pPr>
      <w:r w:rsidRPr="00904312">
        <w:rPr>
          <w:bCs/>
          <w:lang w:val="en-US"/>
        </w:rPr>
        <w:t>83.</w:t>
      </w:r>
      <w:r w:rsidRPr="00904312">
        <w:rPr>
          <w:bCs/>
          <w:lang w:val="en-US"/>
        </w:rPr>
        <w:tab/>
      </w:r>
      <w:r w:rsidRPr="00904312">
        <w:rPr>
          <w:lang w:val="en-US"/>
        </w:rPr>
        <w:t>There are examples of good practices of States fulfilling their obligations under the Convention against Torture</w:t>
      </w:r>
      <w:r>
        <w:rPr>
          <w:lang w:val="en-US"/>
        </w:rPr>
        <w:t xml:space="preserve"> </w:t>
      </w:r>
      <w:r>
        <w:t>and Other Cruel, Inhuman or Degrading Treatment or Punishment</w:t>
      </w:r>
      <w:r w:rsidRPr="00904312">
        <w:rPr>
          <w:lang w:val="en-US"/>
        </w:rPr>
        <w:t xml:space="preserve">. In </w:t>
      </w:r>
      <w:r w:rsidRPr="00095AE9">
        <w:t>Morocco, article</w:t>
      </w:r>
      <w:r w:rsidRPr="00904312">
        <w:t xml:space="preserve"> 14 is reflected in law, guaranteeing victims of torture full reparation for harm caused, including bodily, material or moral injury.</w:t>
      </w:r>
      <w:r w:rsidRPr="00A81C62">
        <w:rPr>
          <w:rStyle w:val="FootnoteReference"/>
        </w:rPr>
        <w:footnoteReference w:id="131"/>
      </w:r>
      <w:r w:rsidRPr="00904312">
        <w:t xml:space="preserve"> </w:t>
      </w:r>
      <w:r>
        <w:t>Such</w:t>
      </w:r>
      <w:r w:rsidRPr="00904312">
        <w:t xml:space="preserve"> laws prioriti</w:t>
      </w:r>
      <w:r>
        <w:t>z</w:t>
      </w:r>
      <w:r w:rsidRPr="00904312">
        <w:t>e victims and ensure that they are treated with respect</w:t>
      </w:r>
      <w:r>
        <w:t xml:space="preserve"> and</w:t>
      </w:r>
      <w:r w:rsidRPr="00904312">
        <w:t xml:space="preserve"> accommodated in a supportive environment and that attention is paid to their suffering.</w:t>
      </w:r>
    </w:p>
    <w:p w14:paraId="2019EBF9" w14:textId="77777777" w:rsidR="00754E7C" w:rsidRDefault="0082031F" w:rsidP="0082031F">
      <w:pPr>
        <w:pStyle w:val="SingleTxtG"/>
        <w:rPr>
          <w:lang w:val="en-US"/>
        </w:rPr>
      </w:pPr>
      <w:r w:rsidRPr="00904312">
        <w:rPr>
          <w:bCs/>
          <w:lang w:val="en-US"/>
        </w:rPr>
        <w:t>84.</w:t>
      </w:r>
      <w:r w:rsidRPr="00904312">
        <w:rPr>
          <w:bCs/>
          <w:lang w:val="en-US"/>
        </w:rPr>
        <w:tab/>
      </w:r>
      <w:r w:rsidRPr="00904312">
        <w:rPr>
          <w:lang w:val="en-US"/>
        </w:rPr>
        <w:t>Ukraine has a law that assists individuals released from captivity.</w:t>
      </w:r>
      <w:r w:rsidRPr="00A81C62">
        <w:rPr>
          <w:rStyle w:val="FootnoteReference"/>
        </w:rPr>
        <w:footnoteReference w:id="132"/>
      </w:r>
      <w:r w:rsidRPr="00904312">
        <w:rPr>
          <w:lang w:val="en-US"/>
        </w:rPr>
        <w:t xml:space="preserve"> Survivors are provided with clothing and a mobile phone, </w:t>
      </w:r>
      <w:r w:rsidRPr="00904312">
        <w:t>monetary</w:t>
      </w:r>
      <w:r w:rsidRPr="00904312">
        <w:rPr>
          <w:lang w:val="en-US"/>
        </w:rPr>
        <w:t xml:space="preserve"> assistance, medical and psychological rehabilitation, legal protection, restorative measures, important documentation</w:t>
      </w:r>
      <w:r>
        <w:rPr>
          <w:lang w:val="en-US"/>
        </w:rPr>
        <w:t>, such as</w:t>
      </w:r>
      <w:r w:rsidRPr="00904312">
        <w:rPr>
          <w:lang w:val="en-US"/>
        </w:rPr>
        <w:t xml:space="preserve"> a passport, temporary housing and employment assistance. Ukraine has also established a coordination centre to assist survivors in criminal proceedings.</w:t>
      </w:r>
      <w:r w:rsidRPr="00A81C62">
        <w:rPr>
          <w:rStyle w:val="FootnoteReference"/>
        </w:rPr>
        <w:footnoteReference w:id="133"/>
      </w:r>
    </w:p>
    <w:p w14:paraId="185AD1D2" w14:textId="77777777" w:rsidR="00754E7C" w:rsidRDefault="0082031F" w:rsidP="0082031F">
      <w:pPr>
        <w:pStyle w:val="SingleTxtG"/>
        <w:rPr>
          <w:lang w:val="en-US"/>
        </w:rPr>
      </w:pPr>
      <w:r w:rsidRPr="00904312">
        <w:rPr>
          <w:bCs/>
          <w:lang w:val="en-US"/>
        </w:rPr>
        <w:t>85.</w:t>
      </w:r>
      <w:r w:rsidRPr="00904312">
        <w:rPr>
          <w:bCs/>
          <w:lang w:val="en-US"/>
        </w:rPr>
        <w:tab/>
      </w:r>
      <w:r>
        <w:t>The</w:t>
      </w:r>
      <w:r w:rsidRPr="00904312">
        <w:t xml:space="preserve"> Hostage, Missing Persons and Returnees Administration </w:t>
      </w:r>
      <w:r>
        <w:t xml:space="preserve">of Israel </w:t>
      </w:r>
      <w:r w:rsidRPr="00904312">
        <w:t>provides comprehensive and tailored support to returned hostages and their families that addresses medical, psychological, social and legal needs.</w:t>
      </w:r>
      <w:r w:rsidRPr="00A81C62">
        <w:rPr>
          <w:rStyle w:val="FootnoteReference"/>
        </w:rPr>
        <w:footnoteReference w:id="134"/>
      </w:r>
      <w:r w:rsidRPr="00904312">
        <w:t xml:space="preserve"> </w:t>
      </w:r>
      <w:r w:rsidRPr="00904312">
        <w:rPr>
          <w:lang w:val="en-US"/>
        </w:rPr>
        <w:t>Various laws have been enacted to ensure these services and financial support.</w:t>
      </w:r>
      <w:r w:rsidRPr="00A81C62">
        <w:rPr>
          <w:rStyle w:val="FootnoteReference"/>
        </w:rPr>
        <w:footnoteReference w:id="135"/>
      </w:r>
      <w:r w:rsidRPr="00904312">
        <w:rPr>
          <w:lang w:val="en-US"/>
        </w:rPr>
        <w:t xml:space="preserve"> Family members of unreleased hostages are provided with monthly stipends. Returned hostages are entitled to stipends for life, disability allowances, medical treatments and wage compensation while in captivity. </w:t>
      </w:r>
      <w:r w:rsidRPr="00904312">
        <w:t>Upon release, hostages undergo a medical evaluation, with protocols that emphasize sensitivity, agency and the documentation of physical findings that may indicate war crimes. Speciali</w:t>
      </w:r>
      <w:r>
        <w:t>z</w:t>
      </w:r>
      <w:r w:rsidRPr="00904312">
        <w:t xml:space="preserve">ed care is provided for children and young women, with protocols tailored to their specific needs and preferences. </w:t>
      </w:r>
      <w:r w:rsidRPr="00904312">
        <w:rPr>
          <w:lang w:val="en-US"/>
        </w:rPr>
        <w:t>Family members are entitled to financial grants.</w:t>
      </w:r>
    </w:p>
    <w:p w14:paraId="04E84272" w14:textId="1D7E7BA9" w:rsidR="0082031F" w:rsidRPr="002F421A" w:rsidRDefault="0082031F" w:rsidP="0082031F">
      <w:pPr>
        <w:pStyle w:val="HChG"/>
      </w:pPr>
      <w:r w:rsidRPr="00904312">
        <w:tab/>
        <w:t>III.</w:t>
      </w:r>
      <w:r w:rsidRPr="00904312">
        <w:tab/>
      </w:r>
      <w:r w:rsidRPr="002F421A">
        <w:t>Conclusion</w:t>
      </w:r>
      <w:r>
        <w:t>s</w:t>
      </w:r>
      <w:r w:rsidRPr="002F421A">
        <w:t xml:space="preserve"> and </w:t>
      </w:r>
      <w:r>
        <w:t>r</w:t>
      </w:r>
      <w:r w:rsidRPr="002F421A">
        <w:t>ecommendations</w:t>
      </w:r>
    </w:p>
    <w:p w14:paraId="5D49C2BD" w14:textId="77777777" w:rsidR="0082031F" w:rsidRPr="002F421A" w:rsidRDefault="0082031F" w:rsidP="0082031F">
      <w:pPr>
        <w:pStyle w:val="SingleTxtG"/>
        <w:rPr>
          <w:b/>
          <w:lang w:val="en-US"/>
        </w:rPr>
      </w:pPr>
      <w:r w:rsidRPr="002F421A">
        <w:rPr>
          <w:bCs/>
          <w:lang w:val="en-US"/>
        </w:rPr>
        <w:t>86.</w:t>
      </w:r>
      <w:r w:rsidRPr="002F421A">
        <w:rPr>
          <w:bCs/>
          <w:lang w:val="en-US"/>
        </w:rPr>
        <w:tab/>
      </w:r>
      <w:r w:rsidRPr="002F421A">
        <w:rPr>
          <w:b/>
          <w:lang w:val="en-US"/>
        </w:rPr>
        <w:t>The ris</w:t>
      </w:r>
      <w:r>
        <w:rPr>
          <w:b/>
          <w:lang w:val="en-US"/>
        </w:rPr>
        <w:t>e in the number of</w:t>
      </w:r>
      <w:r w:rsidRPr="002F421A">
        <w:rPr>
          <w:b/>
          <w:lang w:val="en-US"/>
        </w:rPr>
        <w:t xml:space="preserve"> incidents of State hostage-taking, particularly by a small group of repeat offenders, alongside the continued prevalence of non-State hostage-taking, demand collective international attention. Research for </w:t>
      </w:r>
      <w:r>
        <w:rPr>
          <w:b/>
          <w:lang w:val="en-US"/>
        </w:rPr>
        <w:t>the present</w:t>
      </w:r>
      <w:r w:rsidRPr="002F421A">
        <w:rPr>
          <w:b/>
          <w:lang w:val="en-US"/>
        </w:rPr>
        <w:t xml:space="preserve"> report has consistently highlighted the severe psychological and physical harm suffered by hostages. These traumatic events also leave a lasting impact on their families, their communities and</w:t>
      </w:r>
      <w:r>
        <w:rPr>
          <w:b/>
          <w:lang w:val="en-US"/>
        </w:rPr>
        <w:t>,</w:t>
      </w:r>
      <w:r w:rsidRPr="002F421A">
        <w:rPr>
          <w:b/>
          <w:lang w:val="en-US"/>
        </w:rPr>
        <w:t xml:space="preserve"> in some extreme cases, entire nations. The international community must condemn all forms of hostage-taking, work individually and collectively to prevent them and</w:t>
      </w:r>
      <w:r>
        <w:rPr>
          <w:b/>
          <w:lang w:val="en-US"/>
        </w:rPr>
        <w:t xml:space="preserve"> </w:t>
      </w:r>
      <w:r w:rsidRPr="002F421A">
        <w:rPr>
          <w:b/>
          <w:lang w:val="en-US"/>
        </w:rPr>
        <w:t xml:space="preserve">fully implement the </w:t>
      </w:r>
      <w:r w:rsidRPr="00751E9A">
        <w:rPr>
          <w:b/>
          <w:bCs/>
        </w:rPr>
        <w:t>International Convention against the Taking of Hostages</w:t>
      </w:r>
      <w:r w:rsidRPr="002F421A">
        <w:rPr>
          <w:b/>
          <w:lang w:val="en-US"/>
        </w:rPr>
        <w:t xml:space="preserve"> and obligations to prohibit, prevent and address torture and other ill-treatment, wherever </w:t>
      </w:r>
      <w:r>
        <w:rPr>
          <w:b/>
          <w:lang w:val="en-US"/>
        </w:rPr>
        <w:t>and</w:t>
      </w:r>
      <w:r w:rsidRPr="002F421A">
        <w:rPr>
          <w:b/>
          <w:lang w:val="en-US"/>
        </w:rPr>
        <w:t xml:space="preserve"> by whom</w:t>
      </w:r>
      <w:r>
        <w:rPr>
          <w:b/>
          <w:lang w:val="en-US"/>
        </w:rPr>
        <w:t>ever it is perpetrated</w:t>
      </w:r>
      <w:r w:rsidRPr="002F421A">
        <w:rPr>
          <w:b/>
          <w:lang w:val="en-US"/>
        </w:rPr>
        <w:t>.</w:t>
      </w:r>
    </w:p>
    <w:p w14:paraId="71C0B6C2" w14:textId="77777777" w:rsidR="0082031F" w:rsidRPr="002F421A" w:rsidRDefault="0082031F" w:rsidP="0082031F">
      <w:pPr>
        <w:pStyle w:val="SingleTxtG"/>
        <w:rPr>
          <w:b/>
          <w:lang w:val="en-US"/>
        </w:rPr>
      </w:pPr>
      <w:r w:rsidRPr="002F421A">
        <w:rPr>
          <w:bCs/>
          <w:lang w:val="en-US"/>
        </w:rPr>
        <w:t>87.</w:t>
      </w:r>
      <w:r w:rsidRPr="002F421A">
        <w:rPr>
          <w:bCs/>
          <w:lang w:val="en-US"/>
        </w:rPr>
        <w:tab/>
      </w:r>
      <w:r w:rsidRPr="002F421A">
        <w:rPr>
          <w:b/>
          <w:lang w:val="en-US"/>
        </w:rPr>
        <w:t xml:space="preserve">The Special </w:t>
      </w:r>
      <w:r w:rsidRPr="002F421A">
        <w:rPr>
          <w:b/>
        </w:rPr>
        <w:t>Rapporteur</w:t>
      </w:r>
      <w:r w:rsidRPr="002F421A">
        <w:rPr>
          <w:b/>
          <w:lang w:val="en-US"/>
        </w:rPr>
        <w:t xml:space="preserve"> recommends </w:t>
      </w:r>
      <w:r>
        <w:rPr>
          <w:b/>
          <w:lang w:val="en-US"/>
        </w:rPr>
        <w:t xml:space="preserve">that </w:t>
      </w:r>
      <w:r w:rsidRPr="002F421A">
        <w:rPr>
          <w:b/>
          <w:lang w:val="en-US"/>
        </w:rPr>
        <w:t>States:</w:t>
      </w:r>
    </w:p>
    <w:p w14:paraId="0930121D" w14:textId="10C43E6B" w:rsidR="0082031F" w:rsidRPr="002F421A" w:rsidRDefault="006A1645" w:rsidP="00BA1C1E">
      <w:pPr>
        <w:pStyle w:val="SingleTxtG"/>
        <w:spacing w:line="220" w:lineRule="atLeast"/>
        <w:rPr>
          <w:b/>
          <w:lang w:val="en-US"/>
        </w:rPr>
      </w:pPr>
      <w:r>
        <w:rPr>
          <w:bCs/>
          <w:lang w:val="en-US"/>
        </w:rPr>
        <w:tab/>
      </w:r>
      <w:r w:rsidR="0082031F" w:rsidRPr="002F421A">
        <w:rPr>
          <w:bCs/>
          <w:lang w:val="en-US"/>
        </w:rPr>
        <w:t>(a)</w:t>
      </w:r>
      <w:r w:rsidR="0082031F" w:rsidRPr="002F421A">
        <w:rPr>
          <w:bCs/>
          <w:lang w:val="en-US"/>
        </w:rPr>
        <w:tab/>
      </w:r>
      <w:r w:rsidR="0082031F" w:rsidRPr="002F421A">
        <w:rPr>
          <w:b/>
        </w:rPr>
        <w:t>Criminali</w:t>
      </w:r>
      <w:r w:rsidR="0082031F">
        <w:rPr>
          <w:b/>
        </w:rPr>
        <w:t>z</w:t>
      </w:r>
      <w:r w:rsidR="0082031F" w:rsidRPr="002F421A">
        <w:rPr>
          <w:b/>
        </w:rPr>
        <w:t xml:space="preserve">e all forms of hostage-taking and align international obligations to prohibit, prevent and respond to all situations of hostage-taking under the </w:t>
      </w:r>
      <w:r w:rsidR="0082031F" w:rsidRPr="00751E9A">
        <w:rPr>
          <w:b/>
          <w:bCs/>
        </w:rPr>
        <w:t>International Convention against the Taking of Hostages</w:t>
      </w:r>
      <w:r w:rsidR="0082031F" w:rsidRPr="002F421A">
        <w:rPr>
          <w:b/>
        </w:rPr>
        <w:t xml:space="preserve">, the Geneva Conventions and </w:t>
      </w:r>
      <w:r w:rsidR="0082031F" w:rsidRPr="002F421A">
        <w:rPr>
          <w:b/>
        </w:rPr>
        <w:lastRenderedPageBreak/>
        <w:t>the Convention against Torture</w:t>
      </w:r>
      <w:r w:rsidR="0082031F">
        <w:rPr>
          <w:b/>
        </w:rPr>
        <w:t xml:space="preserve"> </w:t>
      </w:r>
      <w:r w:rsidR="0082031F" w:rsidRPr="008F4301">
        <w:rPr>
          <w:b/>
          <w:bCs/>
        </w:rPr>
        <w:t>and Other Cruel, Inhuman or Degrading Treatment or Punishment</w:t>
      </w:r>
      <w:r w:rsidR="0082031F" w:rsidRPr="002F421A">
        <w:rPr>
          <w:b/>
        </w:rPr>
        <w:t xml:space="preserve"> and other applicable anti-torture legal </w:t>
      </w:r>
      <w:proofErr w:type="gramStart"/>
      <w:r w:rsidR="0082031F" w:rsidRPr="002F421A">
        <w:rPr>
          <w:b/>
        </w:rPr>
        <w:t>instruments</w:t>
      </w:r>
      <w:r w:rsidR="0082031F">
        <w:rPr>
          <w:b/>
        </w:rPr>
        <w:t>;</w:t>
      </w:r>
      <w:proofErr w:type="gramEnd"/>
    </w:p>
    <w:p w14:paraId="264C452F" w14:textId="77777777" w:rsidR="00754E7C" w:rsidRDefault="00C81D59" w:rsidP="00BA1C1E">
      <w:pPr>
        <w:pStyle w:val="SingleTxtG"/>
        <w:spacing w:line="220" w:lineRule="atLeast"/>
        <w:rPr>
          <w:b/>
        </w:rPr>
      </w:pPr>
      <w:r>
        <w:rPr>
          <w:bCs/>
        </w:rPr>
        <w:tab/>
      </w:r>
      <w:r w:rsidR="0082031F" w:rsidRPr="00D10816">
        <w:rPr>
          <w:bCs/>
        </w:rPr>
        <w:t>(b)</w:t>
      </w:r>
      <w:r w:rsidR="0082031F" w:rsidRPr="00D10816">
        <w:rPr>
          <w:bCs/>
        </w:rPr>
        <w:tab/>
      </w:r>
      <w:r w:rsidR="0082031F" w:rsidRPr="00D10816">
        <w:rPr>
          <w:b/>
        </w:rPr>
        <w:t>Recogni</w:t>
      </w:r>
      <w:r w:rsidR="0082031F">
        <w:rPr>
          <w:b/>
        </w:rPr>
        <w:t>z</w:t>
      </w:r>
      <w:r w:rsidR="0082031F" w:rsidRPr="00D10816">
        <w:rPr>
          <w:b/>
        </w:rPr>
        <w:t xml:space="preserve">e that hostage-taking involves forms of torture and other cruel, inhuman or degrading </w:t>
      </w:r>
      <w:r w:rsidR="0082031F" w:rsidRPr="002F421A">
        <w:rPr>
          <w:b/>
        </w:rPr>
        <w:t>treatment</w:t>
      </w:r>
      <w:r w:rsidR="0082031F" w:rsidRPr="00D10816">
        <w:rPr>
          <w:b/>
        </w:rPr>
        <w:t xml:space="preserve"> or punishment</w:t>
      </w:r>
      <w:r w:rsidR="0082031F">
        <w:rPr>
          <w:b/>
        </w:rPr>
        <w:t>,</w:t>
      </w:r>
      <w:r w:rsidR="0082031F" w:rsidRPr="00D10816">
        <w:rPr>
          <w:b/>
        </w:rPr>
        <w:t xml:space="preserve"> and pursue concrete actions to prevent, investigate and respond in all </w:t>
      </w:r>
      <w:proofErr w:type="gramStart"/>
      <w:r w:rsidR="0082031F" w:rsidRPr="00D10816">
        <w:rPr>
          <w:b/>
        </w:rPr>
        <w:t>cases</w:t>
      </w:r>
      <w:r w:rsidR="0082031F">
        <w:rPr>
          <w:b/>
        </w:rPr>
        <w:t>;</w:t>
      </w:r>
      <w:proofErr w:type="gramEnd"/>
    </w:p>
    <w:p w14:paraId="3D4F0F22" w14:textId="77777777" w:rsidR="00754E7C" w:rsidRDefault="00C81D59" w:rsidP="00BA1C1E">
      <w:pPr>
        <w:pStyle w:val="SingleTxtG"/>
        <w:spacing w:line="220" w:lineRule="atLeast"/>
        <w:rPr>
          <w:b/>
        </w:rPr>
      </w:pPr>
      <w:r>
        <w:rPr>
          <w:bCs/>
        </w:rPr>
        <w:tab/>
      </w:r>
      <w:r w:rsidR="0082031F" w:rsidRPr="00D10816">
        <w:rPr>
          <w:bCs/>
        </w:rPr>
        <w:t>(c)</w:t>
      </w:r>
      <w:r w:rsidR="0082031F" w:rsidRPr="00D10816">
        <w:rPr>
          <w:bCs/>
        </w:rPr>
        <w:tab/>
      </w:r>
      <w:r w:rsidR="0082031F" w:rsidRPr="00D10816">
        <w:rPr>
          <w:b/>
        </w:rPr>
        <w:t>Acknowledge that hostage-taking impacts hostage</w:t>
      </w:r>
      <w:r w:rsidR="0082031F">
        <w:rPr>
          <w:b/>
        </w:rPr>
        <w:t>s</w:t>
      </w:r>
      <w:r w:rsidR="0082031F" w:rsidRPr="00D10816">
        <w:rPr>
          <w:b/>
        </w:rPr>
        <w:t xml:space="preserve">, their family members and society. A response should address these three areas of </w:t>
      </w:r>
      <w:proofErr w:type="gramStart"/>
      <w:r w:rsidR="0082031F" w:rsidRPr="00D10816">
        <w:rPr>
          <w:b/>
        </w:rPr>
        <w:t>impact</w:t>
      </w:r>
      <w:r w:rsidR="0082031F">
        <w:rPr>
          <w:b/>
        </w:rPr>
        <w:t>;</w:t>
      </w:r>
      <w:proofErr w:type="gramEnd"/>
    </w:p>
    <w:p w14:paraId="4D23950A" w14:textId="77777777" w:rsidR="00754E7C" w:rsidRDefault="00C81D59" w:rsidP="00BA1C1E">
      <w:pPr>
        <w:pStyle w:val="SingleTxtG"/>
        <w:spacing w:line="220" w:lineRule="atLeast"/>
        <w:rPr>
          <w:b/>
        </w:rPr>
      </w:pPr>
      <w:r>
        <w:rPr>
          <w:bCs/>
        </w:rPr>
        <w:tab/>
      </w:r>
      <w:r w:rsidR="0082031F" w:rsidRPr="00D10816">
        <w:rPr>
          <w:bCs/>
        </w:rPr>
        <w:t>(d)</w:t>
      </w:r>
      <w:r w:rsidR="0082031F" w:rsidRPr="00D10816">
        <w:rPr>
          <w:bCs/>
        </w:rPr>
        <w:tab/>
      </w:r>
      <w:r w:rsidR="0082031F" w:rsidRPr="00D10816">
        <w:rPr>
          <w:b/>
        </w:rPr>
        <w:t xml:space="preserve">Permit access to all places where individuals are held hostage or deprived of their liberty, to </w:t>
      </w:r>
      <w:r w:rsidR="0082031F" w:rsidRPr="002E6E62">
        <w:rPr>
          <w:b/>
        </w:rPr>
        <w:t>independent</w:t>
      </w:r>
      <w:r w:rsidR="0082031F" w:rsidRPr="00D10816">
        <w:rPr>
          <w:b/>
        </w:rPr>
        <w:t xml:space="preserve"> monitors</w:t>
      </w:r>
      <w:r w:rsidR="0082031F">
        <w:rPr>
          <w:b/>
        </w:rPr>
        <w:t>,</w:t>
      </w:r>
      <w:r w:rsidR="0082031F" w:rsidRPr="00D10816">
        <w:rPr>
          <w:b/>
        </w:rPr>
        <w:t xml:space="preserve"> including the Special Rapporteur on torture</w:t>
      </w:r>
      <w:r w:rsidR="0082031F">
        <w:rPr>
          <w:b/>
        </w:rPr>
        <w:t xml:space="preserve"> and other cruel, inhuman or degrading treatment or punishment</w:t>
      </w:r>
      <w:r w:rsidR="0082031F" w:rsidRPr="00D10816">
        <w:rPr>
          <w:b/>
        </w:rPr>
        <w:t xml:space="preserve"> and </w:t>
      </w:r>
      <w:proofErr w:type="gramStart"/>
      <w:r w:rsidR="0082031F">
        <w:rPr>
          <w:b/>
        </w:rPr>
        <w:t>ICRC;</w:t>
      </w:r>
      <w:proofErr w:type="gramEnd"/>
    </w:p>
    <w:p w14:paraId="33F72068" w14:textId="1D046857" w:rsidR="0082031F" w:rsidRPr="00D10816" w:rsidRDefault="00C81D59" w:rsidP="00BA1C1E">
      <w:pPr>
        <w:pStyle w:val="SingleTxtG"/>
        <w:spacing w:line="220" w:lineRule="atLeast"/>
        <w:rPr>
          <w:b/>
        </w:rPr>
      </w:pPr>
      <w:r>
        <w:rPr>
          <w:bCs/>
        </w:rPr>
        <w:tab/>
      </w:r>
      <w:r w:rsidR="0082031F" w:rsidRPr="00D10816">
        <w:rPr>
          <w:bCs/>
        </w:rPr>
        <w:t>(e)</w:t>
      </w:r>
      <w:r w:rsidR="0082031F" w:rsidRPr="00D10816">
        <w:rPr>
          <w:bCs/>
        </w:rPr>
        <w:tab/>
      </w:r>
      <w:r w:rsidR="0082031F" w:rsidRPr="00D10816">
        <w:rPr>
          <w:b/>
        </w:rPr>
        <w:t xml:space="preserve">As </w:t>
      </w:r>
      <w:r w:rsidR="0082031F" w:rsidRPr="002E6E62">
        <w:rPr>
          <w:b/>
        </w:rPr>
        <w:t>hostage</w:t>
      </w:r>
      <w:r w:rsidR="0082031F" w:rsidRPr="00D10816">
        <w:rPr>
          <w:b/>
        </w:rPr>
        <w:t>-taking presents a threat to international peace and security, share good practices, coordinate responses to hostage-taking and unify and clarify terminology. In particular, recogni</w:t>
      </w:r>
      <w:r w:rsidR="0082031F">
        <w:rPr>
          <w:b/>
        </w:rPr>
        <w:t>z</w:t>
      </w:r>
      <w:r w:rsidR="0082031F" w:rsidRPr="00D10816">
        <w:rPr>
          <w:b/>
        </w:rPr>
        <w:t>e that arbitrary detention for leverage is hostage</w:t>
      </w:r>
      <w:r w:rsidR="006B49D7">
        <w:rPr>
          <w:b/>
        </w:rPr>
        <w:noBreakHyphen/>
      </w:r>
      <w:proofErr w:type="gramStart"/>
      <w:r w:rsidR="0082031F" w:rsidRPr="00D10816">
        <w:rPr>
          <w:b/>
        </w:rPr>
        <w:t>taking</w:t>
      </w:r>
      <w:r w:rsidR="0082031F">
        <w:rPr>
          <w:b/>
        </w:rPr>
        <w:t>;</w:t>
      </w:r>
      <w:proofErr w:type="gramEnd"/>
    </w:p>
    <w:p w14:paraId="1439A614" w14:textId="77777777" w:rsidR="00754E7C" w:rsidRDefault="00C81D59" w:rsidP="00BA1C1E">
      <w:pPr>
        <w:pStyle w:val="SingleTxtG"/>
        <w:spacing w:line="220" w:lineRule="atLeast"/>
        <w:rPr>
          <w:b/>
        </w:rPr>
      </w:pPr>
      <w:r>
        <w:rPr>
          <w:bCs/>
        </w:rPr>
        <w:tab/>
      </w:r>
      <w:r w:rsidR="0082031F" w:rsidRPr="00D10816">
        <w:rPr>
          <w:bCs/>
        </w:rPr>
        <w:t>(f)</w:t>
      </w:r>
      <w:r w:rsidR="0082031F" w:rsidRPr="00D10816">
        <w:rPr>
          <w:bCs/>
        </w:rPr>
        <w:tab/>
      </w:r>
      <w:r w:rsidR="0082031F" w:rsidRPr="00D10816">
        <w:rPr>
          <w:b/>
        </w:rPr>
        <w:t xml:space="preserve">Endorse </w:t>
      </w:r>
      <w:r w:rsidR="0082031F" w:rsidRPr="002E6E62">
        <w:rPr>
          <w:b/>
        </w:rPr>
        <w:t>the</w:t>
      </w:r>
      <w:r w:rsidR="0082031F" w:rsidRPr="00D10816">
        <w:rPr>
          <w:b/>
        </w:rPr>
        <w:t xml:space="preserve"> Declaration against Arbitrary Detention in State-to-State </w:t>
      </w:r>
      <w:proofErr w:type="gramStart"/>
      <w:r w:rsidR="0082031F" w:rsidRPr="00D10816">
        <w:rPr>
          <w:b/>
        </w:rPr>
        <w:t>Relations</w:t>
      </w:r>
      <w:r w:rsidR="0082031F">
        <w:rPr>
          <w:b/>
        </w:rPr>
        <w:t>;</w:t>
      </w:r>
      <w:proofErr w:type="gramEnd"/>
    </w:p>
    <w:p w14:paraId="0DD29971" w14:textId="77777777" w:rsidR="00754E7C" w:rsidRDefault="00C81D59" w:rsidP="00BA1C1E">
      <w:pPr>
        <w:pStyle w:val="SingleTxtG"/>
        <w:spacing w:line="220" w:lineRule="atLeast"/>
        <w:rPr>
          <w:b/>
        </w:rPr>
      </w:pPr>
      <w:r>
        <w:rPr>
          <w:bCs/>
        </w:rPr>
        <w:tab/>
      </w:r>
      <w:r w:rsidR="0082031F" w:rsidRPr="00D10816">
        <w:rPr>
          <w:bCs/>
        </w:rPr>
        <w:t>(g)</w:t>
      </w:r>
      <w:r w:rsidR="0082031F" w:rsidRPr="00D10816">
        <w:rPr>
          <w:bCs/>
        </w:rPr>
        <w:tab/>
      </w:r>
      <w:r w:rsidR="0082031F" w:rsidRPr="00D10816">
        <w:rPr>
          <w:b/>
        </w:rPr>
        <w:t xml:space="preserve">Establish the institutional capacity to respond quickly and strategically to individual or mass </w:t>
      </w:r>
      <w:r w:rsidR="0082031F">
        <w:rPr>
          <w:b/>
        </w:rPr>
        <w:t>S</w:t>
      </w:r>
      <w:r w:rsidR="0082031F" w:rsidRPr="00D10816">
        <w:rPr>
          <w:b/>
        </w:rPr>
        <w:t>tate and non-</w:t>
      </w:r>
      <w:r w:rsidR="0082031F">
        <w:rPr>
          <w:b/>
        </w:rPr>
        <w:t>S</w:t>
      </w:r>
      <w:r w:rsidR="0082031F" w:rsidRPr="00D10816">
        <w:rPr>
          <w:b/>
        </w:rPr>
        <w:t xml:space="preserve">tate </w:t>
      </w:r>
      <w:r w:rsidR="0082031F" w:rsidRPr="002E6E62">
        <w:rPr>
          <w:b/>
        </w:rPr>
        <w:t>hostage</w:t>
      </w:r>
      <w:r w:rsidR="0082031F" w:rsidRPr="00D10816">
        <w:rPr>
          <w:b/>
        </w:rPr>
        <w:t xml:space="preserve"> </w:t>
      </w:r>
      <w:proofErr w:type="gramStart"/>
      <w:r w:rsidR="0082031F" w:rsidRPr="00D10816">
        <w:rPr>
          <w:b/>
        </w:rPr>
        <w:t>taking</w:t>
      </w:r>
      <w:r w:rsidR="0082031F">
        <w:rPr>
          <w:b/>
        </w:rPr>
        <w:t>;</w:t>
      </w:r>
      <w:proofErr w:type="gramEnd"/>
    </w:p>
    <w:p w14:paraId="09030536" w14:textId="02A4F834" w:rsidR="0082031F" w:rsidRPr="00D10816" w:rsidRDefault="00C81D59" w:rsidP="00BA1C1E">
      <w:pPr>
        <w:pStyle w:val="SingleTxtG"/>
        <w:spacing w:line="220" w:lineRule="atLeast"/>
        <w:rPr>
          <w:b/>
        </w:rPr>
      </w:pPr>
      <w:r>
        <w:rPr>
          <w:bCs/>
        </w:rPr>
        <w:tab/>
      </w:r>
      <w:r w:rsidR="0082031F" w:rsidRPr="00D10816">
        <w:rPr>
          <w:bCs/>
        </w:rPr>
        <w:t>(h)</w:t>
      </w:r>
      <w:r w:rsidR="0082031F" w:rsidRPr="00D10816">
        <w:rPr>
          <w:bCs/>
        </w:rPr>
        <w:tab/>
      </w:r>
      <w:r w:rsidR="0082031F" w:rsidRPr="002E6E62">
        <w:rPr>
          <w:b/>
        </w:rPr>
        <w:t xml:space="preserve">Formulate early-warning systems to detect patterns indicative of </w:t>
      </w:r>
      <w:r w:rsidR="0082031F">
        <w:rPr>
          <w:b/>
        </w:rPr>
        <w:t>S</w:t>
      </w:r>
      <w:r w:rsidR="0082031F" w:rsidRPr="002E6E62">
        <w:rPr>
          <w:b/>
        </w:rPr>
        <w:t>tate or non-</w:t>
      </w:r>
      <w:r w:rsidR="0082031F">
        <w:rPr>
          <w:b/>
        </w:rPr>
        <w:t>S</w:t>
      </w:r>
      <w:r w:rsidR="0082031F" w:rsidRPr="002E6E62">
        <w:rPr>
          <w:b/>
        </w:rPr>
        <w:t>tate hostage-</w:t>
      </w:r>
      <w:proofErr w:type="gramStart"/>
      <w:r w:rsidR="0082031F" w:rsidRPr="002E6E62">
        <w:rPr>
          <w:b/>
        </w:rPr>
        <w:t>taking</w:t>
      </w:r>
      <w:r w:rsidR="0082031F">
        <w:rPr>
          <w:b/>
        </w:rPr>
        <w:t>;</w:t>
      </w:r>
      <w:proofErr w:type="gramEnd"/>
    </w:p>
    <w:p w14:paraId="58990F33" w14:textId="77777777" w:rsidR="00754E7C" w:rsidRDefault="00C81D59" w:rsidP="00BA1C1E">
      <w:pPr>
        <w:pStyle w:val="SingleTxtG"/>
        <w:spacing w:line="220" w:lineRule="atLeast"/>
        <w:rPr>
          <w:b/>
        </w:rPr>
      </w:pPr>
      <w:r>
        <w:rPr>
          <w:bCs/>
        </w:rPr>
        <w:tab/>
      </w:r>
      <w:r w:rsidR="0082031F" w:rsidRPr="00D10816">
        <w:rPr>
          <w:bCs/>
        </w:rPr>
        <w:t>(i)</w:t>
      </w:r>
      <w:r w:rsidR="0082031F" w:rsidRPr="00D10816">
        <w:rPr>
          <w:bCs/>
        </w:rPr>
        <w:tab/>
      </w:r>
      <w:r w:rsidR="0082031F" w:rsidRPr="00D10816">
        <w:rPr>
          <w:b/>
        </w:rPr>
        <w:t>Establish a national speciali</w:t>
      </w:r>
      <w:r w:rsidR="0082031F">
        <w:rPr>
          <w:b/>
        </w:rPr>
        <w:t>z</w:t>
      </w:r>
      <w:r w:rsidR="0082031F" w:rsidRPr="00D10816">
        <w:rPr>
          <w:b/>
        </w:rPr>
        <w:t>ed office or envoy of appropriate seniority on hostage-taking that supports victims and families. This office should have specifically trained staff, rather than regular consular staff, who visit hostages. Th</w:t>
      </w:r>
      <w:r w:rsidR="0082031F">
        <w:rPr>
          <w:b/>
        </w:rPr>
        <w:t>e</w:t>
      </w:r>
      <w:r w:rsidR="0082031F" w:rsidRPr="00D10816">
        <w:rPr>
          <w:b/>
        </w:rPr>
        <w:t xml:space="preserve"> obligation to visit should be mandated rather than </w:t>
      </w:r>
      <w:r w:rsidR="0082031F" w:rsidRPr="002F421A">
        <w:rPr>
          <w:b/>
        </w:rPr>
        <w:t>discretionary</w:t>
      </w:r>
      <w:r w:rsidR="0082031F" w:rsidRPr="00D10816">
        <w:rPr>
          <w:b/>
        </w:rPr>
        <w:t xml:space="preserve">. All efforts should be made to ensure </w:t>
      </w:r>
      <w:r w:rsidR="0082031F">
        <w:rPr>
          <w:b/>
        </w:rPr>
        <w:t xml:space="preserve">that </w:t>
      </w:r>
      <w:r w:rsidR="0082031F" w:rsidRPr="00D10816">
        <w:rPr>
          <w:b/>
        </w:rPr>
        <w:t>hostages are kept informed and have their physical and mental health evaluated. They should have communications with the outside world. Family members should be treated with respect and as part of the process rather than be</w:t>
      </w:r>
      <w:r w:rsidR="0082031F">
        <w:rPr>
          <w:b/>
        </w:rPr>
        <w:t>ing</w:t>
      </w:r>
      <w:r w:rsidR="0082031F" w:rsidRPr="00D10816">
        <w:rPr>
          <w:b/>
        </w:rPr>
        <w:t xml:space="preserve"> held at arm</w:t>
      </w:r>
      <w:r w:rsidR="006B49D7">
        <w:rPr>
          <w:b/>
        </w:rPr>
        <w:t>’</w:t>
      </w:r>
      <w:r w:rsidR="0082031F" w:rsidRPr="00D10816">
        <w:rPr>
          <w:b/>
        </w:rPr>
        <w:t>s</w:t>
      </w:r>
      <w:r w:rsidR="0082031F">
        <w:rPr>
          <w:b/>
        </w:rPr>
        <w:t xml:space="preserve"> </w:t>
      </w:r>
      <w:r w:rsidR="0082031F" w:rsidRPr="00D10816">
        <w:rPr>
          <w:b/>
        </w:rPr>
        <w:t xml:space="preserve">length. Hostages and their families should receive a debriefing upon release that provides them with clarity on non-confidential measures that were taken to secure </w:t>
      </w:r>
      <w:proofErr w:type="gramStart"/>
      <w:r w:rsidR="0082031F" w:rsidRPr="00D10816">
        <w:rPr>
          <w:b/>
        </w:rPr>
        <w:t>release</w:t>
      </w:r>
      <w:r w:rsidR="0082031F">
        <w:rPr>
          <w:b/>
        </w:rPr>
        <w:t>;</w:t>
      </w:r>
      <w:proofErr w:type="gramEnd"/>
    </w:p>
    <w:p w14:paraId="3CB45E01" w14:textId="77777777" w:rsidR="00754E7C" w:rsidRDefault="00C81D59" w:rsidP="00BA1C1E">
      <w:pPr>
        <w:pStyle w:val="SingleTxtG"/>
        <w:spacing w:line="220" w:lineRule="atLeast"/>
        <w:rPr>
          <w:b/>
        </w:rPr>
      </w:pPr>
      <w:r>
        <w:rPr>
          <w:bCs/>
        </w:rPr>
        <w:tab/>
      </w:r>
      <w:r w:rsidR="0082031F" w:rsidRPr="00D10816">
        <w:rPr>
          <w:bCs/>
        </w:rPr>
        <w:t>(j)</w:t>
      </w:r>
      <w:r w:rsidR="0082031F" w:rsidRPr="00D10816">
        <w:rPr>
          <w:bCs/>
        </w:rPr>
        <w:tab/>
      </w:r>
      <w:r w:rsidR="0082031F" w:rsidRPr="00D10816">
        <w:rPr>
          <w:b/>
        </w:rPr>
        <w:t>Recogni</w:t>
      </w:r>
      <w:r w:rsidR="0082031F">
        <w:rPr>
          <w:b/>
        </w:rPr>
        <w:t>z</w:t>
      </w:r>
      <w:r w:rsidR="0082031F" w:rsidRPr="00D10816">
        <w:rPr>
          <w:b/>
        </w:rPr>
        <w:t xml:space="preserve">e that both hostages and their family members constitute victims who are entitled to </w:t>
      </w:r>
      <w:r w:rsidR="0082031F" w:rsidRPr="002F421A">
        <w:rPr>
          <w:b/>
        </w:rPr>
        <w:t>effective</w:t>
      </w:r>
      <w:r w:rsidR="0082031F" w:rsidRPr="00D10816">
        <w:rPr>
          <w:b/>
        </w:rPr>
        <w:t xml:space="preserve"> reparation, rehabilitation and </w:t>
      </w:r>
      <w:proofErr w:type="gramStart"/>
      <w:r w:rsidR="0082031F" w:rsidRPr="00D10816">
        <w:rPr>
          <w:b/>
        </w:rPr>
        <w:t>support</w:t>
      </w:r>
      <w:r w:rsidR="0082031F">
        <w:rPr>
          <w:b/>
        </w:rPr>
        <w:t>;</w:t>
      </w:r>
      <w:proofErr w:type="gramEnd"/>
    </w:p>
    <w:p w14:paraId="52F25E2C" w14:textId="02E8EC0D" w:rsidR="0082031F" w:rsidRPr="00D10816" w:rsidRDefault="00C81D59" w:rsidP="00BA1C1E">
      <w:pPr>
        <w:pStyle w:val="SingleTxtG"/>
        <w:spacing w:line="220" w:lineRule="atLeast"/>
        <w:rPr>
          <w:b/>
        </w:rPr>
      </w:pPr>
      <w:r>
        <w:rPr>
          <w:bCs/>
        </w:rPr>
        <w:tab/>
      </w:r>
      <w:r w:rsidR="0082031F" w:rsidRPr="00D10816">
        <w:rPr>
          <w:bCs/>
        </w:rPr>
        <w:t>(k)</w:t>
      </w:r>
      <w:r w:rsidR="0082031F" w:rsidRPr="00D10816">
        <w:rPr>
          <w:bCs/>
        </w:rPr>
        <w:tab/>
      </w:r>
      <w:r w:rsidR="0082031F" w:rsidRPr="00D10816">
        <w:rPr>
          <w:b/>
        </w:rPr>
        <w:t xml:space="preserve">Establish </w:t>
      </w:r>
      <w:r w:rsidR="0082031F" w:rsidRPr="002F421A">
        <w:rPr>
          <w:b/>
        </w:rPr>
        <w:t xml:space="preserve">available, accessible and appropriate </w:t>
      </w:r>
      <w:r w:rsidR="0082031F" w:rsidRPr="00D10816">
        <w:rPr>
          <w:b/>
        </w:rPr>
        <w:t xml:space="preserve">support systems </w:t>
      </w:r>
      <w:r w:rsidR="0082031F">
        <w:rPr>
          <w:b/>
        </w:rPr>
        <w:t>to</w:t>
      </w:r>
      <w:r w:rsidR="0082031F" w:rsidRPr="00D10816">
        <w:rPr>
          <w:b/>
        </w:rPr>
        <w:t xml:space="preserve"> assist hostages and their families that address the psychological, physical and </w:t>
      </w:r>
      <w:r w:rsidR="0082031F" w:rsidRPr="002F421A">
        <w:rPr>
          <w:b/>
        </w:rPr>
        <w:t>economic</w:t>
      </w:r>
      <w:r w:rsidR="0082031F" w:rsidRPr="00D10816">
        <w:rPr>
          <w:b/>
        </w:rPr>
        <w:t xml:space="preserve"> consequences of being taken hostage (and in cases of sexual torture, reproductive and other speciali</w:t>
      </w:r>
      <w:r w:rsidR="0082031F">
        <w:rPr>
          <w:b/>
        </w:rPr>
        <w:t>z</w:t>
      </w:r>
      <w:r w:rsidR="0082031F" w:rsidRPr="00D10816">
        <w:rPr>
          <w:b/>
        </w:rPr>
        <w:t xml:space="preserve">ed support). </w:t>
      </w:r>
      <w:r w:rsidR="0082031F">
        <w:rPr>
          <w:b/>
        </w:rPr>
        <w:t>For hostages, such support should start as soon as possible after release and last as long as needed, and at times may start during detention in situations where</w:t>
      </w:r>
      <w:r w:rsidR="0082031F" w:rsidRPr="00C12406">
        <w:rPr>
          <w:b/>
        </w:rPr>
        <w:t xml:space="preserve"> access is </w:t>
      </w:r>
      <w:r w:rsidR="0082031F">
        <w:rPr>
          <w:b/>
        </w:rPr>
        <w:t>granted to detainees</w:t>
      </w:r>
      <w:r w:rsidR="0082031F" w:rsidRPr="00C12406">
        <w:rPr>
          <w:b/>
        </w:rPr>
        <w:t xml:space="preserve">. For families, such support </w:t>
      </w:r>
      <w:r w:rsidR="0082031F">
        <w:rPr>
          <w:b/>
        </w:rPr>
        <w:t xml:space="preserve">should be provided </w:t>
      </w:r>
      <w:r w:rsidR="0082031F" w:rsidRPr="00C12406">
        <w:rPr>
          <w:b/>
        </w:rPr>
        <w:t xml:space="preserve">throughout the ordeal. </w:t>
      </w:r>
      <w:r w:rsidR="0082031F" w:rsidRPr="00D10816">
        <w:rPr>
          <w:b/>
        </w:rPr>
        <w:t xml:space="preserve">This should include enacting laws and regulations that specify financial and other support. The support should be monitored and ongoing for as long as it is </w:t>
      </w:r>
      <w:proofErr w:type="gramStart"/>
      <w:r w:rsidR="0082031F" w:rsidRPr="00D10816">
        <w:rPr>
          <w:b/>
        </w:rPr>
        <w:t>needed</w:t>
      </w:r>
      <w:r w:rsidR="0082031F">
        <w:rPr>
          <w:b/>
        </w:rPr>
        <w:t>;</w:t>
      </w:r>
      <w:proofErr w:type="gramEnd"/>
    </w:p>
    <w:p w14:paraId="4F9B3B0B" w14:textId="77777777" w:rsidR="00754E7C" w:rsidRDefault="00C81D59" w:rsidP="00BA1C1E">
      <w:pPr>
        <w:pStyle w:val="SingleTxtG"/>
        <w:spacing w:line="220" w:lineRule="atLeast"/>
        <w:rPr>
          <w:b/>
        </w:rPr>
      </w:pPr>
      <w:r>
        <w:rPr>
          <w:bCs/>
        </w:rPr>
        <w:tab/>
      </w:r>
      <w:r w:rsidR="0082031F" w:rsidRPr="00D10816">
        <w:rPr>
          <w:bCs/>
        </w:rPr>
        <w:t>(l)</w:t>
      </w:r>
      <w:r w:rsidR="0082031F" w:rsidRPr="00D10816">
        <w:rPr>
          <w:bCs/>
        </w:rPr>
        <w:tab/>
      </w:r>
      <w:r w:rsidR="0082031F" w:rsidRPr="002F421A">
        <w:rPr>
          <w:b/>
        </w:rPr>
        <w:t xml:space="preserve">Adopt the guidelines </w:t>
      </w:r>
      <w:r w:rsidR="0082031F">
        <w:rPr>
          <w:b/>
        </w:rPr>
        <w:t>for</w:t>
      </w:r>
      <w:r w:rsidR="0082031F" w:rsidRPr="002F421A">
        <w:rPr>
          <w:b/>
        </w:rPr>
        <w:t xml:space="preserve"> adequate consular assistance offered by the Special Rapporteur on extrajudicial, summary or arbitrary execution</w:t>
      </w:r>
      <w:r w:rsidR="0082031F">
        <w:rPr>
          <w:b/>
        </w:rPr>
        <w:t>s</w:t>
      </w:r>
      <w:r w:rsidR="0082031F" w:rsidRPr="002F421A">
        <w:rPr>
          <w:b/>
        </w:rPr>
        <w:t xml:space="preserve"> in respect of a different subject</w:t>
      </w:r>
      <w:r w:rsidR="0082031F">
        <w:rPr>
          <w:b/>
        </w:rPr>
        <w:t xml:space="preserve"> </w:t>
      </w:r>
      <w:r w:rsidR="0082031F" w:rsidRPr="002F421A">
        <w:rPr>
          <w:b/>
        </w:rPr>
        <w:t>matter</w:t>
      </w:r>
      <w:r w:rsidR="0082031F" w:rsidRPr="00D10816">
        <w:rPr>
          <w:b/>
        </w:rPr>
        <w:t xml:space="preserve"> applicable </w:t>
      </w:r>
      <w:r w:rsidR="0082031F">
        <w:rPr>
          <w:b/>
        </w:rPr>
        <w:t xml:space="preserve">mutatis mutandis </w:t>
      </w:r>
      <w:r w:rsidR="0082031F" w:rsidRPr="00D10816">
        <w:rPr>
          <w:b/>
        </w:rPr>
        <w:t>to the context of hostage-taking</w:t>
      </w:r>
      <w:r w:rsidR="0082031F">
        <w:rPr>
          <w:b/>
        </w:rPr>
        <w:t>;</w:t>
      </w:r>
      <w:r w:rsidR="0082031F" w:rsidRPr="00A81C62">
        <w:rPr>
          <w:rStyle w:val="FootnoteReference"/>
        </w:rPr>
        <w:footnoteReference w:id="136"/>
      </w:r>
    </w:p>
    <w:p w14:paraId="07D672C2" w14:textId="6E871771" w:rsidR="0082031F" w:rsidRPr="00D10816" w:rsidRDefault="00C81D59" w:rsidP="00BA1C1E">
      <w:pPr>
        <w:pStyle w:val="SingleTxtG"/>
        <w:spacing w:line="220" w:lineRule="atLeast"/>
        <w:rPr>
          <w:b/>
        </w:rPr>
      </w:pPr>
      <w:r>
        <w:rPr>
          <w:bCs/>
        </w:rPr>
        <w:tab/>
      </w:r>
      <w:r w:rsidR="0082031F" w:rsidRPr="00D10816">
        <w:rPr>
          <w:bCs/>
        </w:rPr>
        <w:t>(m)</w:t>
      </w:r>
      <w:r w:rsidR="0082031F" w:rsidRPr="00D10816">
        <w:rPr>
          <w:bCs/>
        </w:rPr>
        <w:tab/>
      </w:r>
      <w:r w:rsidR="0082031F" w:rsidRPr="002F421A">
        <w:rPr>
          <w:b/>
        </w:rPr>
        <w:t>Raise</w:t>
      </w:r>
      <w:r w:rsidR="0082031F" w:rsidRPr="00D10816">
        <w:rPr>
          <w:b/>
        </w:rPr>
        <w:t xml:space="preserve"> awareness and educate the public about risks and combat victim blaming in </w:t>
      </w:r>
      <w:proofErr w:type="gramStart"/>
      <w:r w:rsidR="0082031F" w:rsidRPr="00D10816">
        <w:rPr>
          <w:b/>
        </w:rPr>
        <w:t>society</w:t>
      </w:r>
      <w:r w:rsidR="0082031F">
        <w:rPr>
          <w:b/>
        </w:rPr>
        <w:t>;</w:t>
      </w:r>
      <w:proofErr w:type="gramEnd"/>
    </w:p>
    <w:p w14:paraId="363CDF1B" w14:textId="77777777" w:rsidR="00754E7C" w:rsidRDefault="00C81D59" w:rsidP="00BA1C1E">
      <w:pPr>
        <w:pStyle w:val="SingleTxtG"/>
        <w:spacing w:line="220" w:lineRule="atLeast"/>
        <w:rPr>
          <w:b/>
        </w:rPr>
      </w:pPr>
      <w:r>
        <w:rPr>
          <w:bCs/>
        </w:rPr>
        <w:tab/>
      </w:r>
      <w:r w:rsidR="0082031F" w:rsidRPr="00D10816">
        <w:rPr>
          <w:bCs/>
        </w:rPr>
        <w:t>(n)</w:t>
      </w:r>
      <w:r w:rsidR="0082031F" w:rsidRPr="00D10816">
        <w:rPr>
          <w:bCs/>
        </w:rPr>
        <w:tab/>
      </w:r>
      <w:r w:rsidR="0082031F" w:rsidRPr="002F421A">
        <w:rPr>
          <w:b/>
        </w:rPr>
        <w:t>Hold State and non-State perpetrators accountable by utili</w:t>
      </w:r>
      <w:r w:rsidR="0082031F">
        <w:rPr>
          <w:b/>
        </w:rPr>
        <w:t>z</w:t>
      </w:r>
      <w:r w:rsidR="0082031F" w:rsidRPr="002F421A">
        <w:rPr>
          <w:b/>
        </w:rPr>
        <w:t xml:space="preserve">ing all available </w:t>
      </w:r>
      <w:r w:rsidR="0082031F">
        <w:rPr>
          <w:b/>
        </w:rPr>
        <w:t>a</w:t>
      </w:r>
      <w:r w:rsidR="0082031F" w:rsidRPr="002E6E62">
        <w:rPr>
          <w:b/>
        </w:rPr>
        <w:t>venues</w:t>
      </w:r>
      <w:r w:rsidR="0082031F">
        <w:rPr>
          <w:b/>
        </w:rPr>
        <w:t>,</w:t>
      </w:r>
      <w:r w:rsidR="0082031F" w:rsidRPr="002E6E62">
        <w:rPr>
          <w:b/>
        </w:rPr>
        <w:t xml:space="preserve"> including domestic courts, universal jurisdiction and targeted sanctions, such as Magnitsky sanctions, against individuals responsible for hostage</w:t>
      </w:r>
      <w:r w:rsidR="006B49D7">
        <w:rPr>
          <w:b/>
        </w:rPr>
        <w:noBreakHyphen/>
      </w:r>
      <w:r w:rsidR="0082031F" w:rsidRPr="002E6E62">
        <w:rPr>
          <w:b/>
        </w:rPr>
        <w:t xml:space="preserve">taking and associated acts of </w:t>
      </w:r>
      <w:proofErr w:type="gramStart"/>
      <w:r w:rsidR="0082031F" w:rsidRPr="002E6E62">
        <w:rPr>
          <w:b/>
        </w:rPr>
        <w:t>torture</w:t>
      </w:r>
      <w:r w:rsidR="0082031F">
        <w:rPr>
          <w:b/>
        </w:rPr>
        <w:t>;</w:t>
      </w:r>
      <w:proofErr w:type="gramEnd"/>
    </w:p>
    <w:p w14:paraId="31B89140" w14:textId="1134EB8B" w:rsidR="0082031F" w:rsidRPr="00D10816" w:rsidRDefault="00C81D59" w:rsidP="00BA1C1E">
      <w:pPr>
        <w:pStyle w:val="SingleTxtG"/>
        <w:spacing w:line="220" w:lineRule="atLeast"/>
        <w:rPr>
          <w:b/>
        </w:rPr>
      </w:pPr>
      <w:r>
        <w:rPr>
          <w:bCs/>
        </w:rPr>
        <w:tab/>
      </w:r>
      <w:r w:rsidR="0082031F" w:rsidRPr="00D10816">
        <w:rPr>
          <w:bCs/>
        </w:rPr>
        <w:t>(o)</w:t>
      </w:r>
      <w:r w:rsidR="0082031F" w:rsidRPr="00D10816">
        <w:rPr>
          <w:bCs/>
        </w:rPr>
        <w:tab/>
      </w:r>
      <w:r w:rsidR="0082031F" w:rsidRPr="00D10816">
        <w:rPr>
          <w:b/>
        </w:rPr>
        <w:t xml:space="preserve">Incorporate hostage-taking as an explicit offence in the </w:t>
      </w:r>
      <w:r w:rsidR="0082031F">
        <w:rPr>
          <w:b/>
        </w:rPr>
        <w:t>d</w:t>
      </w:r>
      <w:r w:rsidR="0082031F" w:rsidRPr="00D10816">
        <w:rPr>
          <w:b/>
        </w:rPr>
        <w:t xml:space="preserve">raft </w:t>
      </w:r>
      <w:r w:rsidR="0082031F">
        <w:rPr>
          <w:b/>
        </w:rPr>
        <w:t>a</w:t>
      </w:r>
      <w:r w:rsidR="0082031F" w:rsidRPr="00D10816">
        <w:rPr>
          <w:b/>
        </w:rPr>
        <w:t xml:space="preserve">rticles on </w:t>
      </w:r>
      <w:r w:rsidR="0082031F">
        <w:rPr>
          <w:b/>
        </w:rPr>
        <w:t>p</w:t>
      </w:r>
      <w:r w:rsidR="0082031F" w:rsidRPr="00D10816">
        <w:rPr>
          <w:b/>
        </w:rPr>
        <w:t xml:space="preserve">revention and </w:t>
      </w:r>
      <w:r w:rsidR="0082031F">
        <w:rPr>
          <w:b/>
        </w:rPr>
        <w:t>p</w:t>
      </w:r>
      <w:r w:rsidR="0082031F" w:rsidRPr="00D10816">
        <w:rPr>
          <w:b/>
        </w:rPr>
        <w:t xml:space="preserve">unishment of </w:t>
      </w:r>
      <w:r w:rsidR="0082031F">
        <w:rPr>
          <w:b/>
        </w:rPr>
        <w:t>c</w:t>
      </w:r>
      <w:r w:rsidR="0082031F" w:rsidRPr="00D10816">
        <w:rPr>
          <w:b/>
        </w:rPr>
        <w:t xml:space="preserve">rimes </w:t>
      </w:r>
      <w:r w:rsidR="0082031F">
        <w:rPr>
          <w:b/>
        </w:rPr>
        <w:t>a</w:t>
      </w:r>
      <w:r w:rsidR="0082031F" w:rsidRPr="00D10816">
        <w:rPr>
          <w:b/>
        </w:rPr>
        <w:t xml:space="preserve">gainst </w:t>
      </w:r>
      <w:r w:rsidR="0082031F">
        <w:rPr>
          <w:b/>
        </w:rPr>
        <w:t>h</w:t>
      </w:r>
      <w:r w:rsidR="0082031F" w:rsidRPr="00D10816">
        <w:rPr>
          <w:b/>
        </w:rPr>
        <w:t>umanity</w:t>
      </w:r>
      <w:r w:rsidR="00A57E39">
        <w:rPr>
          <w:b/>
        </w:rPr>
        <w:t>.</w:t>
      </w:r>
    </w:p>
    <w:p w14:paraId="10A8FF12" w14:textId="77777777" w:rsidR="0082031F" w:rsidRPr="002E6E62" w:rsidRDefault="0082031F" w:rsidP="00BA1C1E">
      <w:pPr>
        <w:pStyle w:val="SingleTxtG"/>
        <w:spacing w:line="220" w:lineRule="atLeast"/>
        <w:rPr>
          <w:b/>
          <w:lang w:val="en-US"/>
        </w:rPr>
      </w:pPr>
      <w:r w:rsidRPr="002E6E62">
        <w:rPr>
          <w:bCs/>
          <w:lang w:val="en-US"/>
        </w:rPr>
        <w:lastRenderedPageBreak/>
        <w:t>88.</w:t>
      </w:r>
      <w:r w:rsidRPr="002E6E62">
        <w:rPr>
          <w:bCs/>
          <w:lang w:val="en-US"/>
        </w:rPr>
        <w:tab/>
      </w:r>
      <w:r>
        <w:rPr>
          <w:b/>
          <w:lang w:val="en-US"/>
        </w:rPr>
        <w:t xml:space="preserve">With respect to </w:t>
      </w:r>
      <w:r w:rsidRPr="002E6E62">
        <w:rPr>
          <w:b/>
          <w:lang w:val="en-US"/>
        </w:rPr>
        <w:t>entities and bodies of the United Nations</w:t>
      </w:r>
      <w:r>
        <w:rPr>
          <w:b/>
          <w:lang w:val="en-US"/>
        </w:rPr>
        <w:t>, the Special Rapporteur urges</w:t>
      </w:r>
      <w:r w:rsidRPr="002E6E62">
        <w:rPr>
          <w:b/>
          <w:lang w:val="en-US"/>
        </w:rPr>
        <w:t>:</w:t>
      </w:r>
    </w:p>
    <w:p w14:paraId="58114CDB" w14:textId="77777777" w:rsidR="00754E7C" w:rsidRDefault="00C81D59" w:rsidP="00BA1C1E">
      <w:pPr>
        <w:pStyle w:val="SingleTxtG"/>
        <w:spacing w:line="220" w:lineRule="atLeast"/>
        <w:rPr>
          <w:b/>
          <w:lang w:val="en-US"/>
        </w:rPr>
      </w:pPr>
      <w:r>
        <w:rPr>
          <w:bCs/>
          <w:lang w:val="en-US"/>
        </w:rPr>
        <w:tab/>
      </w:r>
      <w:r w:rsidR="0082031F" w:rsidRPr="002F421A">
        <w:rPr>
          <w:bCs/>
          <w:lang w:val="en-US"/>
        </w:rPr>
        <w:t>(a)</w:t>
      </w:r>
      <w:r w:rsidR="0082031F" w:rsidRPr="002F421A">
        <w:rPr>
          <w:bCs/>
          <w:lang w:val="en-US"/>
        </w:rPr>
        <w:tab/>
      </w:r>
      <w:r w:rsidR="0082031F" w:rsidRPr="002F421A">
        <w:rPr>
          <w:b/>
          <w:lang w:val="en-US"/>
        </w:rPr>
        <w:t xml:space="preserve">The Security Council to reinvigorate the past practice of adopting a general resolution on </w:t>
      </w:r>
      <w:r w:rsidR="0082031F" w:rsidRPr="002F421A">
        <w:rPr>
          <w:b/>
        </w:rPr>
        <w:t>hostage</w:t>
      </w:r>
      <w:r w:rsidR="0082031F" w:rsidRPr="002F421A">
        <w:rPr>
          <w:b/>
          <w:lang w:val="en-US"/>
        </w:rPr>
        <w:t xml:space="preserve">-taking and to take up individual and collective situations of hostage-taking more actively and </w:t>
      </w:r>
      <w:proofErr w:type="gramStart"/>
      <w:r w:rsidR="0082031F" w:rsidRPr="002F421A">
        <w:rPr>
          <w:b/>
          <w:lang w:val="en-US"/>
        </w:rPr>
        <w:t>consistently;</w:t>
      </w:r>
      <w:proofErr w:type="gramEnd"/>
    </w:p>
    <w:p w14:paraId="64A2B93D" w14:textId="77777777" w:rsidR="00754E7C" w:rsidRDefault="00C81D59" w:rsidP="00BA1C1E">
      <w:pPr>
        <w:pStyle w:val="SingleTxtG"/>
        <w:spacing w:line="220" w:lineRule="atLeast"/>
        <w:rPr>
          <w:b/>
        </w:rPr>
      </w:pPr>
      <w:r>
        <w:rPr>
          <w:bCs/>
        </w:rPr>
        <w:tab/>
      </w:r>
      <w:r w:rsidR="0082031F" w:rsidRPr="00D10816">
        <w:rPr>
          <w:bCs/>
        </w:rPr>
        <w:t>(b)</w:t>
      </w:r>
      <w:r w:rsidR="0082031F" w:rsidRPr="00D10816">
        <w:rPr>
          <w:bCs/>
        </w:rPr>
        <w:tab/>
      </w:r>
      <w:r w:rsidR="0082031F" w:rsidRPr="00D10816">
        <w:rPr>
          <w:b/>
        </w:rPr>
        <w:t xml:space="preserve">The Secretary-General to appoint a </w:t>
      </w:r>
      <w:r w:rsidR="0082031F">
        <w:rPr>
          <w:b/>
        </w:rPr>
        <w:t>s</w:t>
      </w:r>
      <w:r w:rsidR="0082031F" w:rsidRPr="00D10816">
        <w:rPr>
          <w:b/>
        </w:rPr>
        <w:t xml:space="preserve">pecial </w:t>
      </w:r>
      <w:r w:rsidR="0082031F">
        <w:rPr>
          <w:b/>
        </w:rPr>
        <w:t>r</w:t>
      </w:r>
      <w:r w:rsidR="0082031F" w:rsidRPr="00D10816">
        <w:rPr>
          <w:b/>
        </w:rPr>
        <w:t xml:space="preserve">epresentative on </w:t>
      </w:r>
      <w:r w:rsidR="0082031F">
        <w:rPr>
          <w:b/>
        </w:rPr>
        <w:t>h</w:t>
      </w:r>
      <w:r w:rsidR="0082031F" w:rsidRPr="00D10816">
        <w:rPr>
          <w:b/>
        </w:rPr>
        <w:t>ostage</w:t>
      </w:r>
      <w:r w:rsidR="006B49D7">
        <w:rPr>
          <w:b/>
        </w:rPr>
        <w:noBreakHyphen/>
      </w:r>
      <w:r w:rsidR="0082031F" w:rsidRPr="00D10816">
        <w:rPr>
          <w:b/>
        </w:rPr>
        <w:t xml:space="preserve">taking, whose responsibilities would include being the chief negotiator within the United Nations system and on behalf of the Secretary-General to assist parties to secure the release of hostages, </w:t>
      </w:r>
      <w:r w:rsidR="0082031F" w:rsidRPr="002F421A">
        <w:rPr>
          <w:b/>
        </w:rPr>
        <w:t>represent</w:t>
      </w:r>
      <w:r w:rsidR="0082031F" w:rsidRPr="00D10816">
        <w:rPr>
          <w:b/>
        </w:rPr>
        <w:t xml:space="preserve"> the interests of hostages and their families</w:t>
      </w:r>
      <w:r w:rsidR="0082031F">
        <w:rPr>
          <w:b/>
        </w:rPr>
        <w:t>,</w:t>
      </w:r>
      <w:r w:rsidR="0082031F" w:rsidRPr="00D10816">
        <w:rPr>
          <w:b/>
        </w:rPr>
        <w:t xml:space="preserve"> intervene on their behalf with </w:t>
      </w:r>
      <w:r w:rsidR="0082031F">
        <w:rPr>
          <w:b/>
        </w:rPr>
        <w:t>G</w:t>
      </w:r>
      <w:r w:rsidR="0082031F" w:rsidRPr="00D10816">
        <w:rPr>
          <w:b/>
        </w:rPr>
        <w:t>overnments and non-State actors</w:t>
      </w:r>
      <w:r w:rsidR="0082031F">
        <w:rPr>
          <w:b/>
        </w:rPr>
        <w:t xml:space="preserve"> and</w:t>
      </w:r>
      <w:r w:rsidR="0082031F" w:rsidRPr="00D10816">
        <w:rPr>
          <w:b/>
        </w:rPr>
        <w:t xml:space="preserve"> facilitate a rapid response</w:t>
      </w:r>
      <w:r w:rsidR="0082031F">
        <w:rPr>
          <w:b/>
        </w:rPr>
        <w:t>,</w:t>
      </w:r>
      <w:r w:rsidR="0082031F" w:rsidRPr="00D10816">
        <w:rPr>
          <w:b/>
        </w:rPr>
        <w:t xml:space="preserve"> including with the engagement of States when hostage-taking is suspected</w:t>
      </w:r>
      <w:r w:rsidR="0082031F">
        <w:rPr>
          <w:b/>
        </w:rPr>
        <w:t>.</w:t>
      </w:r>
      <w:r w:rsidR="0082031F" w:rsidRPr="00D10816">
        <w:rPr>
          <w:b/>
        </w:rPr>
        <w:t xml:space="preserve"> </w:t>
      </w:r>
      <w:r w:rsidR="0082031F">
        <w:rPr>
          <w:b/>
        </w:rPr>
        <w:t>The special representative should have the</w:t>
      </w:r>
      <w:r w:rsidR="0082031F" w:rsidRPr="00D10816">
        <w:rPr>
          <w:b/>
        </w:rPr>
        <w:t xml:space="preserve"> authority to have immediate access to detainees and all places where hostages are suspected of being held, and </w:t>
      </w:r>
      <w:r w:rsidR="0082031F">
        <w:rPr>
          <w:b/>
        </w:rPr>
        <w:t xml:space="preserve">should </w:t>
      </w:r>
      <w:r w:rsidR="0082031F" w:rsidRPr="00D10816">
        <w:rPr>
          <w:b/>
        </w:rPr>
        <w:t xml:space="preserve">report annually on the global situation of State and non-State hostage-taking to the General Assembly and the Security </w:t>
      </w:r>
      <w:proofErr w:type="gramStart"/>
      <w:r w:rsidR="0082031F" w:rsidRPr="00D10816">
        <w:rPr>
          <w:b/>
        </w:rPr>
        <w:t>Council;</w:t>
      </w:r>
      <w:proofErr w:type="gramEnd"/>
    </w:p>
    <w:p w14:paraId="634A1658" w14:textId="77777777" w:rsidR="00754E7C" w:rsidRDefault="00C81D59" w:rsidP="00BA1C1E">
      <w:pPr>
        <w:pStyle w:val="SingleTxtG"/>
        <w:spacing w:line="220" w:lineRule="atLeast"/>
        <w:rPr>
          <w:b/>
        </w:rPr>
      </w:pPr>
      <w:r>
        <w:rPr>
          <w:bCs/>
        </w:rPr>
        <w:tab/>
      </w:r>
      <w:r w:rsidR="0082031F" w:rsidRPr="00D10816">
        <w:rPr>
          <w:bCs/>
        </w:rPr>
        <w:t>(c)</w:t>
      </w:r>
      <w:r w:rsidR="0082031F" w:rsidRPr="00D10816">
        <w:rPr>
          <w:bCs/>
        </w:rPr>
        <w:tab/>
      </w:r>
      <w:r w:rsidR="0082031F" w:rsidRPr="00D10816">
        <w:rPr>
          <w:b/>
        </w:rPr>
        <w:t xml:space="preserve">The </w:t>
      </w:r>
      <w:r w:rsidR="0082031F">
        <w:rPr>
          <w:b/>
        </w:rPr>
        <w:t xml:space="preserve">General Assembly and/or the </w:t>
      </w:r>
      <w:r w:rsidR="0082031F" w:rsidRPr="002F421A">
        <w:rPr>
          <w:b/>
        </w:rPr>
        <w:t>Human</w:t>
      </w:r>
      <w:r w:rsidR="0082031F" w:rsidRPr="00D10816">
        <w:rPr>
          <w:b/>
        </w:rPr>
        <w:t xml:space="preserve"> Rights Council to dedicate periodic sessions to hostage-taking </w:t>
      </w:r>
      <w:r w:rsidR="0082031F">
        <w:rPr>
          <w:b/>
        </w:rPr>
        <w:t xml:space="preserve">and </w:t>
      </w:r>
      <w:r w:rsidR="0082031F" w:rsidRPr="00D10816">
        <w:rPr>
          <w:b/>
        </w:rPr>
        <w:t>to adopt specific thematic resolution</w:t>
      </w:r>
      <w:r w:rsidR="0082031F">
        <w:rPr>
          <w:b/>
        </w:rPr>
        <w:t>s</w:t>
      </w:r>
      <w:r w:rsidR="0082031F" w:rsidRPr="00D10816">
        <w:rPr>
          <w:b/>
        </w:rPr>
        <w:t xml:space="preserve"> on hostage-taking</w:t>
      </w:r>
      <w:r w:rsidR="0082031F">
        <w:rPr>
          <w:b/>
        </w:rPr>
        <w:t>,</w:t>
      </w:r>
      <w:r w:rsidR="0082031F" w:rsidRPr="00D10816">
        <w:rPr>
          <w:b/>
        </w:rPr>
        <w:t xml:space="preserve"> or </w:t>
      </w:r>
      <w:r w:rsidR="0082031F">
        <w:rPr>
          <w:b/>
        </w:rPr>
        <w:t xml:space="preserve">the Human Rights Council to </w:t>
      </w:r>
      <w:r w:rsidR="0082031F" w:rsidRPr="00D10816">
        <w:rPr>
          <w:b/>
        </w:rPr>
        <w:t xml:space="preserve">dedicate </w:t>
      </w:r>
      <w:r w:rsidR="0082031F">
        <w:rPr>
          <w:b/>
        </w:rPr>
        <w:t>its</w:t>
      </w:r>
      <w:r w:rsidR="0082031F" w:rsidRPr="00D10816">
        <w:rPr>
          <w:b/>
        </w:rPr>
        <w:t xml:space="preserve"> next resolution on torture and other cruel, inhuman or degrading treatment or punishment</w:t>
      </w:r>
      <w:r w:rsidR="0082031F">
        <w:rPr>
          <w:b/>
        </w:rPr>
        <w:t xml:space="preserve"> to hostage-taking</w:t>
      </w:r>
      <w:r w:rsidR="0082031F" w:rsidRPr="00D10816">
        <w:rPr>
          <w:b/>
        </w:rPr>
        <w:t xml:space="preserve"> </w:t>
      </w:r>
      <w:r w:rsidR="0082031F">
        <w:rPr>
          <w:b/>
        </w:rPr>
        <w:t>and the General Assembly to</w:t>
      </w:r>
      <w:r w:rsidR="0082031F" w:rsidRPr="00D10816">
        <w:rPr>
          <w:b/>
        </w:rPr>
        <w:t xml:space="preserve"> incorporate language and standards regarding hostage-taking into the omnibus resolution on torture and other cruel, inhuman or degrading treatment or punishment;</w:t>
      </w:r>
    </w:p>
    <w:p w14:paraId="62B0DE40" w14:textId="77777777" w:rsidR="00754E7C" w:rsidRDefault="00C81D59" w:rsidP="00BA1C1E">
      <w:pPr>
        <w:pStyle w:val="SingleTxtG"/>
        <w:spacing w:line="220" w:lineRule="atLeast"/>
        <w:rPr>
          <w:b/>
        </w:rPr>
      </w:pPr>
      <w:r>
        <w:rPr>
          <w:bCs/>
        </w:rPr>
        <w:tab/>
      </w:r>
      <w:r w:rsidR="0082031F" w:rsidRPr="00D10816">
        <w:rPr>
          <w:bCs/>
        </w:rPr>
        <w:t>(d)</w:t>
      </w:r>
      <w:r w:rsidR="0082031F" w:rsidRPr="00D10816">
        <w:rPr>
          <w:bCs/>
        </w:rPr>
        <w:tab/>
      </w:r>
      <w:r w:rsidR="0082031F" w:rsidRPr="00D10816">
        <w:rPr>
          <w:b/>
        </w:rPr>
        <w:t>The Working Group on Arbitrary Detention to consider adopting a deliberation on hostage-taking and deprivation of liberty and</w:t>
      </w:r>
      <w:r w:rsidR="0082031F">
        <w:rPr>
          <w:b/>
        </w:rPr>
        <w:t>,</w:t>
      </w:r>
      <w:r w:rsidR="0082031F" w:rsidRPr="00D10816">
        <w:rPr>
          <w:b/>
        </w:rPr>
        <w:t xml:space="preserve"> together with the Working Group on Enforced </w:t>
      </w:r>
      <w:r w:rsidR="0082031F">
        <w:rPr>
          <w:b/>
        </w:rPr>
        <w:t>or</w:t>
      </w:r>
      <w:r w:rsidR="0082031F" w:rsidRPr="00D10816">
        <w:rPr>
          <w:b/>
        </w:rPr>
        <w:t xml:space="preserve"> Involuntary Disappearances, </w:t>
      </w:r>
      <w:r w:rsidR="0082031F">
        <w:rPr>
          <w:b/>
        </w:rPr>
        <w:t xml:space="preserve">to </w:t>
      </w:r>
      <w:r w:rsidR="0082031F" w:rsidRPr="00D10816">
        <w:rPr>
          <w:b/>
        </w:rPr>
        <w:t xml:space="preserve">continue </w:t>
      </w:r>
      <w:r w:rsidR="0082031F">
        <w:rPr>
          <w:b/>
        </w:rPr>
        <w:t>the positive</w:t>
      </w:r>
      <w:r w:rsidR="0082031F" w:rsidRPr="00D10816">
        <w:rPr>
          <w:b/>
        </w:rPr>
        <w:t xml:space="preserve"> collaborat</w:t>
      </w:r>
      <w:r w:rsidR="0082031F">
        <w:rPr>
          <w:b/>
        </w:rPr>
        <w:t>ion</w:t>
      </w:r>
      <w:r w:rsidR="0082031F" w:rsidRPr="00D10816">
        <w:rPr>
          <w:b/>
        </w:rPr>
        <w:t xml:space="preserve"> with the Special Rapporteur on torture</w:t>
      </w:r>
      <w:r w:rsidR="0082031F">
        <w:rPr>
          <w:b/>
        </w:rPr>
        <w:t xml:space="preserve"> and other cruel, inhuman or degrading treatment or punishment</w:t>
      </w:r>
      <w:r w:rsidR="0082031F" w:rsidRPr="00D10816">
        <w:rPr>
          <w:b/>
        </w:rPr>
        <w:t xml:space="preserve"> and other relevant mandate</w:t>
      </w:r>
      <w:r w:rsidR="0082031F">
        <w:rPr>
          <w:b/>
        </w:rPr>
        <w:t xml:space="preserve"> holders</w:t>
      </w:r>
      <w:r w:rsidR="0082031F" w:rsidRPr="00D10816">
        <w:rPr>
          <w:b/>
        </w:rPr>
        <w:t xml:space="preserve"> on these important </w:t>
      </w:r>
      <w:proofErr w:type="gramStart"/>
      <w:r w:rsidR="0082031F" w:rsidRPr="00D10816">
        <w:rPr>
          <w:b/>
        </w:rPr>
        <w:t>cases</w:t>
      </w:r>
      <w:r w:rsidR="0082031F">
        <w:rPr>
          <w:b/>
        </w:rPr>
        <w:t>;</w:t>
      </w:r>
      <w:proofErr w:type="gramEnd"/>
    </w:p>
    <w:p w14:paraId="31478108" w14:textId="2C4809E8" w:rsidR="0082031F" w:rsidRPr="00D10816" w:rsidRDefault="00C81D59" w:rsidP="00BA1C1E">
      <w:pPr>
        <w:pStyle w:val="SingleTxtG"/>
        <w:spacing w:line="220" w:lineRule="atLeast"/>
        <w:rPr>
          <w:b/>
        </w:rPr>
      </w:pPr>
      <w:r>
        <w:rPr>
          <w:bCs/>
        </w:rPr>
        <w:tab/>
      </w:r>
      <w:r w:rsidR="0082031F" w:rsidRPr="00D10816">
        <w:rPr>
          <w:bCs/>
        </w:rPr>
        <w:t>(e)</w:t>
      </w:r>
      <w:r w:rsidR="0082031F" w:rsidRPr="00D10816">
        <w:rPr>
          <w:bCs/>
        </w:rPr>
        <w:tab/>
      </w:r>
      <w:r w:rsidR="0082031F" w:rsidRPr="00D10816">
        <w:rPr>
          <w:b/>
        </w:rPr>
        <w:t>The Prosecutor of the International Criminal Court</w:t>
      </w:r>
      <w:r w:rsidR="0082031F">
        <w:rPr>
          <w:b/>
        </w:rPr>
        <w:t>,</w:t>
      </w:r>
      <w:r w:rsidR="0082031F" w:rsidRPr="00D10816">
        <w:rPr>
          <w:b/>
        </w:rPr>
        <w:t xml:space="preserve"> and other international courts and tribunals that may be established, to pursue investigations</w:t>
      </w:r>
      <w:r w:rsidR="0082031F">
        <w:rPr>
          <w:b/>
        </w:rPr>
        <w:t xml:space="preserve"> into</w:t>
      </w:r>
      <w:r w:rsidR="0082031F" w:rsidRPr="00D10816">
        <w:rPr>
          <w:b/>
        </w:rPr>
        <w:t xml:space="preserve"> and prosecutions </w:t>
      </w:r>
      <w:r w:rsidR="0082031F">
        <w:rPr>
          <w:b/>
        </w:rPr>
        <w:t>of</w:t>
      </w:r>
      <w:r w:rsidR="0082031F" w:rsidRPr="00D10816">
        <w:rPr>
          <w:b/>
        </w:rPr>
        <w:t xml:space="preserve"> hostage-taking and torture and other </w:t>
      </w:r>
      <w:proofErr w:type="gramStart"/>
      <w:r w:rsidR="0082031F" w:rsidRPr="00D10816">
        <w:rPr>
          <w:b/>
        </w:rPr>
        <w:t>ill-treatment</w:t>
      </w:r>
      <w:r w:rsidR="0082031F">
        <w:rPr>
          <w:b/>
        </w:rPr>
        <w:t>;</w:t>
      </w:r>
      <w:proofErr w:type="gramEnd"/>
    </w:p>
    <w:p w14:paraId="1F2DE88C" w14:textId="50D80700" w:rsidR="0082031F" w:rsidRPr="00D10816" w:rsidRDefault="00C81D59" w:rsidP="00BA1C1E">
      <w:pPr>
        <w:pStyle w:val="SingleTxtG"/>
        <w:spacing w:line="220" w:lineRule="atLeast"/>
        <w:rPr>
          <w:b/>
        </w:rPr>
      </w:pPr>
      <w:r>
        <w:rPr>
          <w:bCs/>
        </w:rPr>
        <w:tab/>
      </w:r>
      <w:r w:rsidR="0082031F" w:rsidRPr="00D10816">
        <w:rPr>
          <w:bCs/>
        </w:rPr>
        <w:t>(f)</w:t>
      </w:r>
      <w:r w:rsidR="0082031F" w:rsidRPr="00D10816">
        <w:rPr>
          <w:bCs/>
        </w:rPr>
        <w:tab/>
      </w:r>
      <w:r w:rsidR="0082031F" w:rsidRPr="00D10816">
        <w:rPr>
          <w:b/>
        </w:rPr>
        <w:t xml:space="preserve">The Committee against Torture and other human rights treaty bodies </w:t>
      </w:r>
      <w:r w:rsidR="0082031F">
        <w:rPr>
          <w:b/>
        </w:rPr>
        <w:t xml:space="preserve">to </w:t>
      </w:r>
      <w:r w:rsidR="0082031F" w:rsidRPr="00D10816">
        <w:rPr>
          <w:b/>
        </w:rPr>
        <w:t xml:space="preserve">consider adopting </w:t>
      </w:r>
      <w:r w:rsidR="0082031F" w:rsidRPr="002F421A">
        <w:rPr>
          <w:b/>
        </w:rPr>
        <w:t>general</w:t>
      </w:r>
      <w:r w:rsidR="0082031F" w:rsidRPr="00D10816">
        <w:rPr>
          <w:b/>
        </w:rPr>
        <w:t xml:space="preserve"> comments on the topic and </w:t>
      </w:r>
      <w:r w:rsidR="0082031F">
        <w:rPr>
          <w:b/>
        </w:rPr>
        <w:t xml:space="preserve">to </w:t>
      </w:r>
      <w:r w:rsidR="0082031F" w:rsidRPr="00D10816">
        <w:rPr>
          <w:b/>
        </w:rPr>
        <w:t xml:space="preserve">request information from </w:t>
      </w:r>
      <w:r w:rsidR="0082031F">
        <w:rPr>
          <w:b/>
        </w:rPr>
        <w:t>S</w:t>
      </w:r>
      <w:r w:rsidR="0082031F" w:rsidRPr="00D10816">
        <w:rPr>
          <w:b/>
        </w:rPr>
        <w:t>tates for their periodic reviews</w:t>
      </w:r>
      <w:r w:rsidR="0082031F">
        <w:rPr>
          <w:b/>
        </w:rPr>
        <w:t>, and States parties to report on their obligations to prevent and prohibit hostage-taking.</w:t>
      </w:r>
    </w:p>
    <w:p w14:paraId="3F3F1821" w14:textId="77777777" w:rsidR="0082031F" w:rsidRPr="00D10816" w:rsidRDefault="0082031F" w:rsidP="00BA1C1E">
      <w:pPr>
        <w:pStyle w:val="SingleTxtG"/>
        <w:spacing w:line="220" w:lineRule="atLeast"/>
        <w:rPr>
          <w:b/>
        </w:rPr>
      </w:pPr>
      <w:r w:rsidRPr="00D10816">
        <w:rPr>
          <w:bCs/>
        </w:rPr>
        <w:t>89.</w:t>
      </w:r>
      <w:r w:rsidRPr="00D10816">
        <w:rPr>
          <w:bCs/>
        </w:rPr>
        <w:tab/>
      </w:r>
      <w:r w:rsidRPr="002E6E62">
        <w:rPr>
          <w:b/>
        </w:rPr>
        <w:t xml:space="preserve">A United Nations </w:t>
      </w:r>
      <w:r>
        <w:rPr>
          <w:b/>
        </w:rPr>
        <w:t>f</w:t>
      </w:r>
      <w:r w:rsidRPr="002E6E62">
        <w:rPr>
          <w:b/>
        </w:rPr>
        <w:t xml:space="preserve">und to </w:t>
      </w:r>
      <w:r>
        <w:rPr>
          <w:b/>
        </w:rPr>
        <w:t>s</w:t>
      </w:r>
      <w:r w:rsidRPr="002E6E62">
        <w:rPr>
          <w:b/>
        </w:rPr>
        <w:t xml:space="preserve">upport </w:t>
      </w:r>
      <w:r>
        <w:rPr>
          <w:b/>
        </w:rPr>
        <w:t>h</w:t>
      </w:r>
      <w:r w:rsidRPr="002E6E62">
        <w:rPr>
          <w:b/>
        </w:rPr>
        <w:t xml:space="preserve">ostages could also be considered, funded in part by </w:t>
      </w:r>
      <w:r>
        <w:rPr>
          <w:b/>
        </w:rPr>
        <w:t xml:space="preserve">confiscations of </w:t>
      </w:r>
      <w:r w:rsidRPr="002E6E62">
        <w:rPr>
          <w:b/>
        </w:rPr>
        <w:t>financ</w:t>
      </w:r>
      <w:r>
        <w:rPr>
          <w:b/>
        </w:rPr>
        <w:t>ial assets</w:t>
      </w:r>
      <w:r w:rsidRPr="002E6E62">
        <w:rPr>
          <w:b/>
        </w:rPr>
        <w:t xml:space="preserve"> and property imposed by sanctions.</w:t>
      </w:r>
    </w:p>
    <w:p w14:paraId="728D7896" w14:textId="77777777" w:rsidR="0082031F" w:rsidRPr="00D10816" w:rsidRDefault="0082031F" w:rsidP="00BA1C1E">
      <w:pPr>
        <w:pStyle w:val="SingleTxtG"/>
        <w:spacing w:line="220" w:lineRule="atLeast"/>
        <w:rPr>
          <w:b/>
        </w:rPr>
      </w:pPr>
      <w:r w:rsidRPr="00D10816">
        <w:rPr>
          <w:bCs/>
        </w:rPr>
        <w:t>90.</w:t>
      </w:r>
      <w:r w:rsidRPr="00D10816">
        <w:rPr>
          <w:bCs/>
        </w:rPr>
        <w:tab/>
      </w:r>
      <w:r w:rsidRPr="00D10816">
        <w:rPr>
          <w:b/>
        </w:rPr>
        <w:t>The Special Rapporteur urges non-State actors:</w:t>
      </w:r>
    </w:p>
    <w:p w14:paraId="79A4E051" w14:textId="77777777" w:rsidR="00754E7C" w:rsidRDefault="00C81D59" w:rsidP="00BA1C1E">
      <w:pPr>
        <w:pStyle w:val="SingleTxtG"/>
        <w:spacing w:line="220" w:lineRule="atLeast"/>
        <w:rPr>
          <w:b/>
        </w:rPr>
      </w:pPr>
      <w:r>
        <w:rPr>
          <w:bCs/>
        </w:rPr>
        <w:tab/>
      </w:r>
      <w:r w:rsidR="0082031F" w:rsidRPr="008F4301">
        <w:rPr>
          <w:bCs/>
        </w:rPr>
        <w:t>(a)</w:t>
      </w:r>
      <w:r w:rsidR="0082031F" w:rsidRPr="001B1443">
        <w:rPr>
          <w:b/>
        </w:rPr>
        <w:tab/>
      </w:r>
      <w:r w:rsidR="0082031F">
        <w:rPr>
          <w:b/>
        </w:rPr>
        <w:t>To r</w:t>
      </w:r>
      <w:r w:rsidR="0082031F" w:rsidRPr="001B1443">
        <w:rPr>
          <w:b/>
        </w:rPr>
        <w:t>elease all hostages unconditionally and immediately and reminds them that people should never be bargaining chips in negotiations. Hostage-taking is an affront to our shared humanity and any organi</w:t>
      </w:r>
      <w:r w:rsidR="0082031F">
        <w:rPr>
          <w:b/>
        </w:rPr>
        <w:t>z</w:t>
      </w:r>
      <w:r w:rsidR="0082031F" w:rsidRPr="001B1443">
        <w:rPr>
          <w:b/>
        </w:rPr>
        <w:t xml:space="preserve">ation wishing to join the international community must act in full observance of human </w:t>
      </w:r>
      <w:proofErr w:type="gramStart"/>
      <w:r w:rsidR="0082031F" w:rsidRPr="001B1443">
        <w:rPr>
          <w:b/>
        </w:rPr>
        <w:t>rights</w:t>
      </w:r>
      <w:r w:rsidR="0082031F">
        <w:rPr>
          <w:b/>
        </w:rPr>
        <w:t>;</w:t>
      </w:r>
      <w:proofErr w:type="gramEnd"/>
    </w:p>
    <w:p w14:paraId="0AA8851A" w14:textId="77777777" w:rsidR="00754E7C" w:rsidRDefault="00C81D59" w:rsidP="00BA1C1E">
      <w:pPr>
        <w:pStyle w:val="SingleTxtG"/>
        <w:spacing w:line="220" w:lineRule="atLeast"/>
        <w:rPr>
          <w:b/>
        </w:rPr>
      </w:pPr>
      <w:r>
        <w:rPr>
          <w:bCs/>
        </w:rPr>
        <w:tab/>
      </w:r>
      <w:r w:rsidR="0082031F" w:rsidRPr="008F4301">
        <w:rPr>
          <w:bCs/>
        </w:rPr>
        <w:t>(b)</w:t>
      </w:r>
      <w:r w:rsidR="0082031F">
        <w:rPr>
          <w:b/>
        </w:rPr>
        <w:tab/>
        <w:t>To r</w:t>
      </w:r>
      <w:r w:rsidR="0082031F" w:rsidRPr="00D10816">
        <w:rPr>
          <w:b/>
        </w:rPr>
        <w:t>ecall that hostage-taking is an international crime and constitutes torture</w:t>
      </w:r>
      <w:r w:rsidR="0082031F">
        <w:rPr>
          <w:b/>
        </w:rPr>
        <w:t>,</w:t>
      </w:r>
      <w:r w:rsidR="0082031F" w:rsidRPr="00D10816">
        <w:rPr>
          <w:b/>
        </w:rPr>
        <w:t xml:space="preserve"> which is absolutely </w:t>
      </w:r>
      <w:r w:rsidR="0082031F" w:rsidRPr="002F421A">
        <w:rPr>
          <w:b/>
        </w:rPr>
        <w:t>prohibited</w:t>
      </w:r>
      <w:r w:rsidR="0082031F" w:rsidRPr="00D10816">
        <w:rPr>
          <w:b/>
        </w:rPr>
        <w:t xml:space="preserve"> in all circumstances and without immunity or </w:t>
      </w:r>
      <w:proofErr w:type="gramStart"/>
      <w:r w:rsidR="0082031F" w:rsidRPr="00D10816">
        <w:rPr>
          <w:b/>
        </w:rPr>
        <w:t>amnesty</w:t>
      </w:r>
      <w:r w:rsidR="0082031F">
        <w:rPr>
          <w:b/>
        </w:rPr>
        <w:t>;</w:t>
      </w:r>
      <w:proofErr w:type="gramEnd"/>
    </w:p>
    <w:p w14:paraId="4AF37053" w14:textId="453E8607" w:rsidR="0082031F" w:rsidRPr="00D10816" w:rsidRDefault="00C81D59" w:rsidP="00BA1C1E">
      <w:pPr>
        <w:pStyle w:val="SingleTxtG"/>
        <w:spacing w:line="220" w:lineRule="atLeast"/>
        <w:rPr>
          <w:b/>
        </w:rPr>
      </w:pPr>
      <w:r>
        <w:rPr>
          <w:bCs/>
        </w:rPr>
        <w:tab/>
      </w:r>
      <w:r w:rsidR="0082031F">
        <w:rPr>
          <w:bCs/>
        </w:rPr>
        <w:t>(c)</w:t>
      </w:r>
      <w:r w:rsidR="0082031F">
        <w:rPr>
          <w:bCs/>
        </w:rPr>
        <w:tab/>
      </w:r>
      <w:r w:rsidR="0082031F" w:rsidRPr="00A61FE4">
        <w:rPr>
          <w:b/>
        </w:rPr>
        <w:t>To</w:t>
      </w:r>
      <w:r w:rsidR="0082031F">
        <w:rPr>
          <w:bCs/>
        </w:rPr>
        <w:t xml:space="preserve"> </w:t>
      </w:r>
      <w:r w:rsidR="0082031F">
        <w:rPr>
          <w:b/>
        </w:rPr>
        <w:t>p</w:t>
      </w:r>
      <w:r w:rsidR="0082031F" w:rsidRPr="00D10816">
        <w:rPr>
          <w:b/>
        </w:rPr>
        <w:t xml:space="preserve">ermit </w:t>
      </w:r>
      <w:r w:rsidR="0082031F" w:rsidRPr="002F421A">
        <w:rPr>
          <w:b/>
        </w:rPr>
        <w:t>ICRC</w:t>
      </w:r>
      <w:r w:rsidR="0082031F" w:rsidRPr="00D10816">
        <w:rPr>
          <w:b/>
        </w:rPr>
        <w:t xml:space="preserve"> and other monitoring bodies</w:t>
      </w:r>
      <w:r w:rsidR="0082031F">
        <w:rPr>
          <w:b/>
        </w:rPr>
        <w:t xml:space="preserve"> and mandate holders,</w:t>
      </w:r>
      <w:r w:rsidR="0082031F" w:rsidRPr="00D10816">
        <w:rPr>
          <w:b/>
        </w:rPr>
        <w:t xml:space="preserve"> including the Special Rapporteur on torture</w:t>
      </w:r>
      <w:r w:rsidR="0082031F">
        <w:rPr>
          <w:b/>
        </w:rPr>
        <w:t xml:space="preserve"> and other cruel, inhuman or degrading treatment or punishment,</w:t>
      </w:r>
      <w:r w:rsidR="0082031F" w:rsidRPr="00D10816">
        <w:rPr>
          <w:b/>
        </w:rPr>
        <w:t xml:space="preserve"> to have direct and unimpeded access to all </w:t>
      </w:r>
      <w:proofErr w:type="gramStart"/>
      <w:r w:rsidR="0082031F" w:rsidRPr="00D10816">
        <w:rPr>
          <w:b/>
        </w:rPr>
        <w:t>hostages</w:t>
      </w:r>
      <w:r w:rsidR="0082031F">
        <w:rPr>
          <w:b/>
        </w:rPr>
        <w:t>;</w:t>
      </w:r>
      <w:proofErr w:type="gramEnd"/>
    </w:p>
    <w:p w14:paraId="7829096C" w14:textId="14F76FDC" w:rsidR="0082031F" w:rsidRDefault="00C81D59" w:rsidP="00BA1C1E">
      <w:pPr>
        <w:pStyle w:val="SingleTxtG"/>
        <w:spacing w:line="220" w:lineRule="atLeast"/>
        <w:rPr>
          <w:b/>
        </w:rPr>
      </w:pPr>
      <w:r>
        <w:rPr>
          <w:bCs/>
        </w:rPr>
        <w:tab/>
      </w:r>
      <w:r w:rsidR="0082031F">
        <w:rPr>
          <w:bCs/>
        </w:rPr>
        <w:t>(d)</w:t>
      </w:r>
      <w:r w:rsidR="0082031F">
        <w:rPr>
          <w:bCs/>
        </w:rPr>
        <w:tab/>
      </w:r>
      <w:r w:rsidR="0082031F" w:rsidRPr="00A61FE4">
        <w:rPr>
          <w:b/>
        </w:rPr>
        <w:t xml:space="preserve">To </w:t>
      </w:r>
      <w:r w:rsidR="0082031F">
        <w:rPr>
          <w:b/>
        </w:rPr>
        <w:t>p</w:t>
      </w:r>
      <w:r w:rsidR="0082031F" w:rsidRPr="00D10816">
        <w:rPr>
          <w:b/>
        </w:rPr>
        <w:t xml:space="preserve">rovide proof of life and information about the whereabouts and condition of hostages in a dignified </w:t>
      </w:r>
      <w:r w:rsidR="0082031F" w:rsidRPr="002F421A">
        <w:rPr>
          <w:b/>
        </w:rPr>
        <w:t>and</w:t>
      </w:r>
      <w:r w:rsidR="0082031F" w:rsidRPr="00D10816">
        <w:rPr>
          <w:b/>
        </w:rPr>
        <w:t xml:space="preserve"> secure manner to the State and families, including about those who are deceased</w:t>
      </w:r>
      <w:r w:rsidR="0082031F">
        <w:rPr>
          <w:b/>
        </w:rPr>
        <w:t>; and</w:t>
      </w:r>
      <w:r w:rsidR="0082031F" w:rsidRPr="00D10816">
        <w:rPr>
          <w:b/>
        </w:rPr>
        <w:t xml:space="preserve"> </w:t>
      </w:r>
      <w:r w:rsidR="0082031F">
        <w:rPr>
          <w:b/>
        </w:rPr>
        <w:t>to r</w:t>
      </w:r>
      <w:r w:rsidR="0082031F" w:rsidRPr="00D10816">
        <w:rPr>
          <w:b/>
        </w:rPr>
        <w:t>eturn bodies promptly and in a dignified manner.</w:t>
      </w:r>
    </w:p>
    <w:p w14:paraId="5C56C403" w14:textId="77777777" w:rsidR="0082031F" w:rsidRPr="00650C92" w:rsidRDefault="0082031F" w:rsidP="00BA1C1E">
      <w:pPr>
        <w:spacing w:line="220" w:lineRule="atLeast"/>
        <w:jc w:val="center"/>
        <w:rPr>
          <w:u w:val="single"/>
        </w:rPr>
      </w:pPr>
      <w:r w:rsidRPr="00650C92">
        <w:rPr>
          <w:u w:val="single"/>
        </w:rPr>
        <w:tab/>
      </w:r>
      <w:r w:rsidRPr="00650C92">
        <w:rPr>
          <w:u w:val="single"/>
        </w:rPr>
        <w:tab/>
      </w:r>
      <w:r w:rsidRPr="00650C92">
        <w:rPr>
          <w:u w:val="single"/>
        </w:rPr>
        <w:tab/>
      </w:r>
    </w:p>
    <w:sectPr w:rsidR="0082031F" w:rsidRPr="00650C92" w:rsidSect="00CA1B0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9B5A" w14:textId="77777777" w:rsidR="002833A9" w:rsidRPr="00C47B2E" w:rsidRDefault="002833A9" w:rsidP="00C47B2E">
      <w:pPr>
        <w:pStyle w:val="Footer"/>
      </w:pPr>
    </w:p>
  </w:endnote>
  <w:endnote w:type="continuationSeparator" w:id="0">
    <w:p w14:paraId="67597B3C" w14:textId="77777777" w:rsidR="002833A9" w:rsidRPr="00C47B2E" w:rsidRDefault="002833A9" w:rsidP="00C47B2E">
      <w:pPr>
        <w:pStyle w:val="Footer"/>
      </w:pPr>
    </w:p>
  </w:endnote>
  <w:endnote w:type="continuationNotice" w:id="1">
    <w:p w14:paraId="2E89D949" w14:textId="77777777" w:rsidR="002833A9" w:rsidRPr="00C47B2E" w:rsidRDefault="002833A9"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4D14" w14:textId="72E1686D" w:rsidR="0090338D" w:rsidRDefault="0090338D" w:rsidP="004D769B">
    <w:pPr>
      <w:pStyle w:val="Footer"/>
      <w:tabs>
        <w:tab w:val="right" w:pos="9638"/>
      </w:tabs>
    </w:pPr>
    <w:r w:rsidRPr="0090338D">
      <w:rPr>
        <w:b/>
        <w:bCs/>
        <w:sz w:val="18"/>
      </w:rPr>
      <w:fldChar w:fldCharType="begin"/>
    </w:r>
    <w:r w:rsidRPr="0090338D">
      <w:rPr>
        <w:b/>
        <w:bCs/>
        <w:sz w:val="18"/>
      </w:rPr>
      <w:instrText xml:space="preserve"> PAGE  \* MERGEFORMAT </w:instrText>
    </w:r>
    <w:r w:rsidRPr="0090338D">
      <w:rPr>
        <w:b/>
        <w:bCs/>
        <w:sz w:val="18"/>
      </w:rPr>
      <w:fldChar w:fldCharType="separate"/>
    </w:r>
    <w:r w:rsidRPr="0090338D">
      <w:rPr>
        <w:b/>
        <w:bCs/>
        <w:noProof/>
        <w:sz w:val="18"/>
      </w:rPr>
      <w:t>2</w:t>
    </w:r>
    <w:r w:rsidRPr="0090338D">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82A4" w14:textId="4C70158F" w:rsidR="0090338D" w:rsidRDefault="0090338D" w:rsidP="0090338D">
    <w:pPr>
      <w:pStyle w:val="Footer"/>
      <w:tabs>
        <w:tab w:val="right" w:pos="9638"/>
      </w:tabs>
    </w:pPr>
    <w:r>
      <w:tab/>
    </w:r>
    <w:r w:rsidRPr="0090338D">
      <w:rPr>
        <w:b/>
        <w:bCs/>
        <w:sz w:val="18"/>
      </w:rPr>
      <w:fldChar w:fldCharType="begin"/>
    </w:r>
    <w:r w:rsidRPr="0090338D">
      <w:rPr>
        <w:b/>
        <w:bCs/>
        <w:sz w:val="18"/>
      </w:rPr>
      <w:instrText xml:space="preserve"> PAGE  \* MERGEFORMAT </w:instrText>
    </w:r>
    <w:r w:rsidRPr="0090338D">
      <w:rPr>
        <w:b/>
        <w:bCs/>
        <w:sz w:val="18"/>
      </w:rPr>
      <w:fldChar w:fldCharType="separate"/>
    </w:r>
    <w:r w:rsidRPr="0090338D">
      <w:rPr>
        <w:b/>
        <w:bCs/>
        <w:noProof/>
        <w:sz w:val="18"/>
      </w:rPr>
      <w:t>3</w:t>
    </w:r>
    <w:r w:rsidRPr="0090338D">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C9E3" w14:textId="77777777" w:rsidR="004D769B" w:rsidRDefault="004D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F2AE" w14:textId="77777777" w:rsidR="002833A9" w:rsidRPr="00C47B2E" w:rsidRDefault="002833A9" w:rsidP="00C47B2E">
      <w:pPr>
        <w:tabs>
          <w:tab w:val="right" w:pos="2155"/>
        </w:tabs>
        <w:spacing w:after="80" w:line="240" w:lineRule="auto"/>
        <w:ind w:left="680"/>
      </w:pPr>
      <w:r>
        <w:rPr>
          <w:u w:val="single"/>
        </w:rPr>
        <w:tab/>
      </w:r>
    </w:p>
  </w:footnote>
  <w:footnote w:type="continuationSeparator" w:id="0">
    <w:p w14:paraId="4B50132E" w14:textId="77777777" w:rsidR="002833A9" w:rsidRPr="00C47B2E" w:rsidRDefault="002833A9" w:rsidP="005E716E">
      <w:pPr>
        <w:tabs>
          <w:tab w:val="right" w:pos="2155"/>
        </w:tabs>
        <w:spacing w:after="80" w:line="240" w:lineRule="auto"/>
        <w:ind w:left="680"/>
      </w:pPr>
      <w:r>
        <w:rPr>
          <w:u w:val="single"/>
        </w:rPr>
        <w:tab/>
      </w:r>
    </w:p>
  </w:footnote>
  <w:footnote w:type="continuationNotice" w:id="1">
    <w:p w14:paraId="4ED7A7D5" w14:textId="77777777" w:rsidR="002833A9" w:rsidRPr="00C47B2E" w:rsidRDefault="002833A9" w:rsidP="00C47B2E">
      <w:pPr>
        <w:pStyle w:val="Footer"/>
      </w:pPr>
    </w:p>
  </w:footnote>
  <w:footnote w:id="2">
    <w:p w14:paraId="25BC90C8" w14:textId="77777777" w:rsidR="0082031F" w:rsidRPr="00E73C32" w:rsidRDefault="0082031F" w:rsidP="0082031F">
      <w:pPr>
        <w:pStyle w:val="FootnoteText"/>
      </w:pPr>
      <w:r w:rsidRPr="00EC325F">
        <w:rPr>
          <w:rStyle w:val="FootnoteReference"/>
          <w:sz w:val="20"/>
          <w:szCs w:val="22"/>
          <w:vertAlign w:val="baseline"/>
        </w:rPr>
        <w:tab/>
        <w:t>*</w:t>
      </w:r>
      <w:bookmarkStart w:id="0" w:name="_Hlk164923434"/>
      <w:r w:rsidRPr="00EC325F">
        <w:rPr>
          <w:rStyle w:val="FootnoteReference"/>
          <w:sz w:val="20"/>
          <w:szCs w:val="22"/>
          <w:vertAlign w:val="baseline"/>
        </w:rPr>
        <w:tab/>
      </w:r>
      <w:r w:rsidRPr="00696FEC">
        <w:t xml:space="preserve">The present report was submitted to the conference services for processing after the deadline </w:t>
      </w:r>
      <w:proofErr w:type="gramStart"/>
      <w:r w:rsidRPr="00696FEC">
        <w:t>so as to</w:t>
      </w:r>
      <w:proofErr w:type="gramEnd"/>
      <w:r w:rsidRPr="00696FEC">
        <w:t xml:space="preserve"> include the most recent information.</w:t>
      </w:r>
      <w:bookmarkEnd w:id="0"/>
    </w:p>
  </w:footnote>
  <w:footnote w:id="3">
    <w:p w14:paraId="4E0B1755" w14:textId="77777777" w:rsidR="0082031F" w:rsidRPr="00A42648" w:rsidRDefault="0082031F" w:rsidP="0082031F">
      <w:pPr>
        <w:pStyle w:val="FootnoteText"/>
      </w:pPr>
      <w:r>
        <w:tab/>
      </w:r>
      <w:r w:rsidRPr="00A81C62">
        <w:rPr>
          <w:rStyle w:val="FootnoteReference"/>
        </w:rPr>
        <w:footnoteRef/>
      </w:r>
      <w:r>
        <w:tab/>
      </w:r>
      <w:r w:rsidRPr="006A6115">
        <w:t>See</w:t>
      </w:r>
      <w:r>
        <w:t xml:space="preserve"> </w:t>
      </w:r>
      <w:hyperlink r:id="rId1" w:history="1">
        <w:r w:rsidRPr="00844893">
          <w:rPr>
            <w:rStyle w:val="Hyperlink"/>
          </w:rPr>
          <w:t>https://www.ohchr.org/en/special-procedures/sr-torture</w:t>
        </w:r>
      </w:hyperlink>
      <w:r>
        <w:t>.</w:t>
      </w:r>
    </w:p>
  </w:footnote>
  <w:footnote w:id="4">
    <w:p w14:paraId="1A8AE715" w14:textId="77777777" w:rsidR="0082031F" w:rsidRPr="00236C76" w:rsidRDefault="0082031F" w:rsidP="0082031F">
      <w:pPr>
        <w:pStyle w:val="FootnoteText"/>
      </w:pPr>
      <w:r>
        <w:tab/>
      </w:r>
      <w:r w:rsidRPr="00A81C62">
        <w:rPr>
          <w:rStyle w:val="FootnoteReference"/>
        </w:rPr>
        <w:footnoteRef/>
      </w:r>
      <w:r>
        <w:tab/>
        <w:t xml:space="preserve">See </w:t>
      </w:r>
      <w:hyperlink r:id="rId2" w:history="1">
        <w:r w:rsidRPr="00844893">
          <w:rPr>
            <w:rStyle w:val="Hyperlink"/>
          </w:rPr>
          <w:t>https://spcommreports.ohchr.org</w:t>
        </w:r>
      </w:hyperlink>
      <w:r>
        <w:rPr>
          <w:rStyle w:val="Hyperlink"/>
        </w:rPr>
        <w:t>.</w:t>
      </w:r>
    </w:p>
  </w:footnote>
  <w:footnote w:id="5">
    <w:p w14:paraId="5DCFC3E1" w14:textId="5F151CA4" w:rsidR="0082031F" w:rsidRDefault="0082031F" w:rsidP="0082031F">
      <w:pPr>
        <w:pStyle w:val="FootnoteText"/>
      </w:pPr>
      <w:r>
        <w:tab/>
      </w:r>
      <w:r w:rsidRPr="00A81C62">
        <w:rPr>
          <w:rStyle w:val="FootnoteReference"/>
        </w:rPr>
        <w:footnoteRef/>
      </w:r>
      <w:r>
        <w:tab/>
      </w:r>
      <w:hyperlink r:id="rId3" w:history="1">
        <w:r w:rsidRPr="0084264A">
          <w:rPr>
            <w:rStyle w:val="Hyperlink"/>
          </w:rPr>
          <w:t>A/HRC/55/52</w:t>
        </w:r>
      </w:hyperlink>
      <w:r>
        <w:t>.</w:t>
      </w:r>
    </w:p>
  </w:footnote>
  <w:footnote w:id="6">
    <w:p w14:paraId="069A71DF" w14:textId="47F89B84" w:rsidR="0082031F" w:rsidRDefault="0082031F" w:rsidP="0082031F">
      <w:pPr>
        <w:pStyle w:val="FootnoteText"/>
      </w:pPr>
      <w:r>
        <w:tab/>
      </w:r>
      <w:r w:rsidRPr="00A81C62">
        <w:rPr>
          <w:rStyle w:val="FootnoteReference"/>
        </w:rPr>
        <w:footnoteRef/>
      </w:r>
      <w:r>
        <w:tab/>
      </w:r>
      <w:hyperlink r:id="rId4" w:history="1">
        <w:r w:rsidRPr="0084264A">
          <w:rPr>
            <w:rStyle w:val="Hyperlink"/>
          </w:rPr>
          <w:t>A/79/181</w:t>
        </w:r>
      </w:hyperlink>
      <w:r>
        <w:t>.</w:t>
      </w:r>
    </w:p>
  </w:footnote>
  <w:footnote w:id="7">
    <w:p w14:paraId="6E0F3766" w14:textId="4ED0C5FA" w:rsidR="0082031F" w:rsidRPr="00C36767" w:rsidRDefault="0082031F" w:rsidP="0082031F">
      <w:pPr>
        <w:pStyle w:val="FootnoteText"/>
      </w:pPr>
      <w:r>
        <w:tab/>
      </w:r>
      <w:r w:rsidRPr="00A81C62">
        <w:rPr>
          <w:rStyle w:val="FootnoteReference"/>
        </w:rPr>
        <w:footnoteRef/>
      </w:r>
      <w:r>
        <w:tab/>
        <w:t xml:space="preserve">See </w:t>
      </w:r>
      <w:hyperlink r:id="rId5" w:history="1">
        <w:r w:rsidRPr="00835744">
          <w:rPr>
            <w:rStyle w:val="Hyperlink"/>
          </w:rPr>
          <w:t>https://irct.org/wp-content/uploads/2024/10/ENG-Nairobi-Delca-design-2.pdf</w:t>
        </w:r>
      </w:hyperlink>
      <w:r>
        <w:t>.</w:t>
      </w:r>
    </w:p>
  </w:footnote>
  <w:footnote w:id="8">
    <w:p w14:paraId="58CD3785" w14:textId="78D03914" w:rsidR="0082031F" w:rsidRPr="00236C76" w:rsidRDefault="0082031F" w:rsidP="0082031F">
      <w:pPr>
        <w:pStyle w:val="FootnoteText"/>
        <w:rPr>
          <w:lang w:val="fr-FR"/>
        </w:rPr>
      </w:pPr>
      <w:r>
        <w:tab/>
      </w:r>
      <w:r w:rsidRPr="00A81C62">
        <w:rPr>
          <w:rStyle w:val="FootnoteReference"/>
        </w:rPr>
        <w:footnoteRef/>
      </w:r>
      <w:r w:rsidRPr="00236C76">
        <w:rPr>
          <w:lang w:val="fr-FR"/>
        </w:rPr>
        <w:tab/>
      </w:r>
      <w:r w:rsidR="006B49D7">
        <w:rPr>
          <w:lang w:val="fr-FR"/>
        </w:rPr>
        <w:t>“</w:t>
      </w:r>
      <w:proofErr w:type="gramStart"/>
      <w:r w:rsidRPr="00236C76">
        <w:rPr>
          <w:lang w:val="fr-FR"/>
        </w:rPr>
        <w:t>Armes:</w:t>
      </w:r>
      <w:proofErr w:type="gramEnd"/>
      <w:r w:rsidRPr="00236C76">
        <w:rPr>
          <w:lang w:val="fr-FR"/>
        </w:rPr>
        <w:t xml:space="preserve"> « Le commerce ignoble des outils de torture doit être interdit</w:t>
      </w:r>
      <w:r>
        <w:rPr>
          <w:lang w:val="fr-FR"/>
        </w:rPr>
        <w:t> »</w:t>
      </w:r>
      <w:r w:rsidR="006B49D7">
        <w:rPr>
          <w:lang w:val="fr-FR"/>
        </w:rPr>
        <w:t>“</w:t>
      </w:r>
      <w:r>
        <w:rPr>
          <w:lang w:val="fr-FR"/>
        </w:rPr>
        <w:t xml:space="preserve">, </w:t>
      </w:r>
      <w:r w:rsidRPr="008F4301">
        <w:rPr>
          <w:i/>
          <w:iCs/>
          <w:lang w:val="fr-FR"/>
        </w:rPr>
        <w:t>Le Monde</w:t>
      </w:r>
      <w:r>
        <w:rPr>
          <w:lang w:val="fr-FR"/>
        </w:rPr>
        <w:t xml:space="preserve">, 21 </w:t>
      </w:r>
      <w:r w:rsidRPr="00650C92">
        <w:rPr>
          <w:lang w:val="fr-CH"/>
        </w:rPr>
        <w:t xml:space="preserve">December </w:t>
      </w:r>
      <w:r>
        <w:rPr>
          <w:lang w:val="fr-FR"/>
        </w:rPr>
        <w:t>2023</w:t>
      </w:r>
      <w:r w:rsidRPr="00236C76">
        <w:rPr>
          <w:lang w:val="fr-FR"/>
        </w:rPr>
        <w:t>.</w:t>
      </w:r>
    </w:p>
  </w:footnote>
  <w:footnote w:id="9">
    <w:p w14:paraId="53D7BFB5" w14:textId="213D85C1" w:rsidR="0082031F" w:rsidRPr="00F658E2" w:rsidRDefault="0082031F" w:rsidP="0082031F">
      <w:pPr>
        <w:pStyle w:val="FootnoteText"/>
      </w:pPr>
      <w:r w:rsidRPr="00236C76">
        <w:rPr>
          <w:lang w:val="fr-FR"/>
        </w:rPr>
        <w:tab/>
      </w:r>
      <w:r w:rsidRPr="00A81C62">
        <w:rPr>
          <w:rStyle w:val="FootnoteReference"/>
        </w:rPr>
        <w:footnoteRef/>
      </w:r>
      <w:r>
        <w:tab/>
      </w:r>
      <w:r w:rsidR="006B49D7">
        <w:t>“</w:t>
      </w:r>
      <w:r w:rsidRPr="008F4301">
        <w:t xml:space="preserve">Egypt </w:t>
      </w:r>
      <w:r>
        <w:t>i</w:t>
      </w:r>
      <w:r w:rsidRPr="008F4301">
        <w:t xml:space="preserve">s </w:t>
      </w:r>
      <w:r>
        <w:t>o</w:t>
      </w:r>
      <w:r w:rsidRPr="008F4301">
        <w:t xml:space="preserve">bliged to </w:t>
      </w:r>
      <w:r>
        <w:t>l</w:t>
      </w:r>
      <w:r w:rsidRPr="008F4301">
        <w:t xml:space="preserve">et Gaza </w:t>
      </w:r>
      <w:r>
        <w:t>r</w:t>
      </w:r>
      <w:r w:rsidRPr="008F4301">
        <w:t xml:space="preserve">efugees </w:t>
      </w:r>
      <w:r>
        <w:t>i</w:t>
      </w:r>
      <w:r w:rsidRPr="008F4301">
        <w:t>n</w:t>
      </w:r>
      <w:r w:rsidR="006B49D7">
        <w:t>”</w:t>
      </w:r>
      <w:r>
        <w:t xml:space="preserve">, </w:t>
      </w:r>
      <w:r w:rsidRPr="008F4301">
        <w:rPr>
          <w:i/>
          <w:iCs/>
        </w:rPr>
        <w:t>Foreign Policy</w:t>
      </w:r>
      <w:r>
        <w:t>, 30 April 2024.</w:t>
      </w:r>
    </w:p>
  </w:footnote>
  <w:footnote w:id="10">
    <w:p w14:paraId="16E26D28" w14:textId="24ACCFEA" w:rsidR="0082031F" w:rsidRPr="00EA4142" w:rsidRDefault="0082031F" w:rsidP="0082031F">
      <w:pPr>
        <w:pStyle w:val="FootnoteText"/>
      </w:pPr>
      <w:r>
        <w:tab/>
      </w:r>
      <w:r w:rsidRPr="00A81C62">
        <w:rPr>
          <w:rStyle w:val="FootnoteReference"/>
        </w:rPr>
        <w:footnoteRef/>
      </w:r>
      <w:r>
        <w:tab/>
      </w:r>
      <w:r w:rsidR="006B49D7">
        <w:t>“</w:t>
      </w:r>
      <w:r w:rsidRPr="008F4301">
        <w:t>Prisoners serving sentences with no clear end is a stain on British justice – it also amounts to torture</w:t>
      </w:r>
      <w:r w:rsidR="006B49D7">
        <w:t>”</w:t>
      </w:r>
      <w:r>
        <w:t xml:space="preserve">, </w:t>
      </w:r>
      <w:r w:rsidRPr="008F4301">
        <w:rPr>
          <w:i/>
          <w:iCs/>
        </w:rPr>
        <w:t>The Guardian</w:t>
      </w:r>
      <w:r>
        <w:t>, 20 May 2024.</w:t>
      </w:r>
    </w:p>
  </w:footnote>
  <w:footnote w:id="11">
    <w:p w14:paraId="07824850" w14:textId="5A39CF61" w:rsidR="0082031F" w:rsidRPr="00755925" w:rsidRDefault="0082031F" w:rsidP="0082031F">
      <w:pPr>
        <w:pStyle w:val="FootnoteText"/>
      </w:pPr>
      <w:r>
        <w:tab/>
      </w:r>
      <w:r w:rsidRPr="00A81C62">
        <w:rPr>
          <w:rStyle w:val="FootnoteReference"/>
        </w:rPr>
        <w:footnoteRef/>
      </w:r>
      <w:r>
        <w:tab/>
      </w:r>
      <w:r w:rsidR="006B49D7">
        <w:t>“</w:t>
      </w:r>
      <w:r w:rsidRPr="008F4301">
        <w:t>The Assad regime were world leaders in torture. Its survivors will determine Syria</w:t>
      </w:r>
      <w:r w:rsidR="006B49D7">
        <w:t>’</w:t>
      </w:r>
      <w:r w:rsidRPr="008F4301">
        <w:t>s future</w:t>
      </w:r>
      <w:r w:rsidR="006B49D7">
        <w:t>”</w:t>
      </w:r>
      <w:r>
        <w:t xml:space="preserve">, </w:t>
      </w:r>
      <w:r w:rsidRPr="008F4301">
        <w:rPr>
          <w:i/>
          <w:iCs/>
        </w:rPr>
        <w:t>The National</w:t>
      </w:r>
      <w:r>
        <w:t>, 20 December 2024</w:t>
      </w:r>
      <w:r w:rsidRPr="008F4301">
        <w:t>.</w:t>
      </w:r>
    </w:p>
  </w:footnote>
  <w:footnote w:id="12">
    <w:p w14:paraId="2C1CE20E" w14:textId="5E5E4BF3" w:rsidR="0082031F" w:rsidRPr="00F658E2" w:rsidRDefault="0082031F" w:rsidP="0082031F">
      <w:pPr>
        <w:pStyle w:val="FootnoteText"/>
      </w:pPr>
      <w:r>
        <w:tab/>
      </w:r>
      <w:r w:rsidRPr="00A81C62">
        <w:rPr>
          <w:rStyle w:val="FootnoteReference"/>
        </w:rPr>
        <w:footnoteRef/>
      </w:r>
      <w:r>
        <w:tab/>
        <w:t xml:space="preserve">United Nations, </w:t>
      </w:r>
      <w:r w:rsidR="006B49D7">
        <w:t>“</w:t>
      </w:r>
      <w:r w:rsidRPr="008F4301">
        <w:t xml:space="preserve">Haunted by </w:t>
      </w:r>
      <w:r>
        <w:t>t</w:t>
      </w:r>
      <w:r w:rsidRPr="008F4301">
        <w:t xml:space="preserve">ales of </w:t>
      </w:r>
      <w:r>
        <w:t>t</w:t>
      </w:r>
      <w:r w:rsidRPr="008F4301">
        <w:t>orture</w:t>
      </w:r>
      <w:r w:rsidR="006B49D7">
        <w:t>”</w:t>
      </w:r>
      <w:r>
        <w:t xml:space="preserve">, </w:t>
      </w:r>
      <w:r w:rsidRPr="00444909">
        <w:rPr>
          <w:i/>
          <w:iCs/>
        </w:rPr>
        <w:t>Awake at Night</w:t>
      </w:r>
      <w:r>
        <w:t xml:space="preserve">, podcast, 15 December 2023; Coalition for Just Reparations, </w:t>
      </w:r>
      <w:r w:rsidR="006B49D7">
        <w:t>“</w:t>
      </w:r>
      <w:r>
        <w:t>Implementing the Yazidi Survivors Law</w:t>
      </w:r>
      <w:r w:rsidR="006B49D7">
        <w:t>”</w:t>
      </w:r>
      <w:r>
        <w:t xml:space="preserve">, </w:t>
      </w:r>
      <w:r w:rsidRPr="00A47864">
        <w:rPr>
          <w:i/>
          <w:iCs/>
        </w:rPr>
        <w:t>More than Ink on Paper</w:t>
      </w:r>
      <w:r>
        <w:t>, podcast, 26</w:t>
      </w:r>
      <w:r w:rsidR="00573CB6">
        <w:t> </w:t>
      </w:r>
      <w:r>
        <w:t xml:space="preserve">June 2024; </w:t>
      </w:r>
      <w:r w:rsidR="006B49D7">
        <w:t>“</w:t>
      </w:r>
      <w:r w:rsidRPr="008F4301">
        <w:t>Trapped: The IPP Prisoner Scandal</w:t>
      </w:r>
      <w:r w:rsidR="006B49D7">
        <w:t>”</w:t>
      </w:r>
      <w:r>
        <w:t xml:space="preserve">, </w:t>
      </w:r>
      <w:r w:rsidRPr="008F4301">
        <w:rPr>
          <w:i/>
          <w:iCs/>
        </w:rPr>
        <w:t>The Daily Mail Test</w:t>
      </w:r>
      <w:r>
        <w:t>, podcast,</w:t>
      </w:r>
      <w:r w:rsidR="00F9316B">
        <w:t xml:space="preserve"> </w:t>
      </w:r>
      <w:r>
        <w:t>28 June 2024; Swissinfo</w:t>
      </w:r>
      <w:r w:rsidRPr="00341C71">
        <w:t xml:space="preserve">, </w:t>
      </w:r>
      <w:r w:rsidR="006B49D7">
        <w:t>“</w:t>
      </w:r>
      <w:r w:rsidRPr="008F4301">
        <w:t xml:space="preserve">Forty </w:t>
      </w:r>
      <w:r>
        <w:t>y</w:t>
      </w:r>
      <w:r w:rsidRPr="008F4301">
        <w:t xml:space="preserve">ears of the Convention </w:t>
      </w:r>
      <w:r>
        <w:t>a</w:t>
      </w:r>
      <w:r w:rsidRPr="008F4301">
        <w:t xml:space="preserve">gainst Torture: </w:t>
      </w:r>
      <w:r>
        <w:t>a</w:t>
      </w:r>
      <w:r w:rsidRPr="008F4301">
        <w:t xml:space="preserve">re </w:t>
      </w:r>
      <w:r>
        <w:t>w</w:t>
      </w:r>
      <w:r w:rsidRPr="008F4301">
        <w:t xml:space="preserve">e </w:t>
      </w:r>
      <w:r>
        <w:t>h</w:t>
      </w:r>
      <w:r w:rsidRPr="008F4301">
        <w:t xml:space="preserve">onoring </w:t>
      </w:r>
      <w:r>
        <w:t>i</w:t>
      </w:r>
      <w:r w:rsidRPr="008F4301">
        <w:t>t?</w:t>
      </w:r>
      <w:r w:rsidR="006B49D7">
        <w:t>”</w:t>
      </w:r>
      <w:r>
        <w:t>,</w:t>
      </w:r>
      <w:r w:rsidR="00F9316B">
        <w:t xml:space="preserve"> </w:t>
      </w:r>
      <w:r w:rsidRPr="008F4301">
        <w:rPr>
          <w:i/>
          <w:iCs/>
        </w:rPr>
        <w:t>Inside Geneva</w:t>
      </w:r>
      <w:r>
        <w:t xml:space="preserve">, podcast, 1 October 2024; and </w:t>
      </w:r>
      <w:r w:rsidR="006B49D7">
        <w:t>“</w:t>
      </w:r>
      <w:r w:rsidRPr="008F4301">
        <w:t xml:space="preserve">Sexual </w:t>
      </w:r>
      <w:r>
        <w:t>t</w:t>
      </w:r>
      <w:r w:rsidRPr="008F4301">
        <w:t>orture with Alice Edwards</w:t>
      </w:r>
      <w:r w:rsidR="006B49D7">
        <w:t>”</w:t>
      </w:r>
      <w:r>
        <w:t xml:space="preserve">, </w:t>
      </w:r>
      <w:r>
        <w:rPr>
          <w:i/>
          <w:iCs/>
        </w:rPr>
        <w:t xml:space="preserve">Asymmetrical </w:t>
      </w:r>
      <w:r w:rsidRPr="00BF7307">
        <w:rPr>
          <w:i/>
          <w:iCs/>
        </w:rPr>
        <w:t>Haircuts</w:t>
      </w:r>
      <w:r>
        <w:t xml:space="preserve">, </w:t>
      </w:r>
      <w:r w:rsidRPr="00BF7307">
        <w:t>podcast</w:t>
      </w:r>
      <w:r>
        <w:t>, 25 October 2024.</w:t>
      </w:r>
    </w:p>
  </w:footnote>
  <w:footnote w:id="13">
    <w:p w14:paraId="6B190761" w14:textId="7F57DBFB" w:rsidR="0082031F" w:rsidRPr="000D56A9" w:rsidRDefault="0082031F" w:rsidP="0082031F">
      <w:pPr>
        <w:pStyle w:val="FootnoteText"/>
      </w:pPr>
      <w:r>
        <w:tab/>
      </w:r>
      <w:r w:rsidRPr="00A81C62">
        <w:rPr>
          <w:rStyle w:val="FootnoteReference"/>
        </w:rPr>
        <w:footnoteRef/>
      </w:r>
      <w:r>
        <w:tab/>
      </w:r>
      <w:r w:rsidRPr="00A042C3">
        <w:rPr>
          <w:i/>
          <w:iCs/>
        </w:rPr>
        <w:t>Britain</w:t>
      </w:r>
      <w:r w:rsidR="006B49D7">
        <w:rPr>
          <w:i/>
          <w:iCs/>
        </w:rPr>
        <w:t>’</w:t>
      </w:r>
      <w:r w:rsidRPr="00A042C3">
        <w:rPr>
          <w:i/>
          <w:iCs/>
        </w:rPr>
        <w:t>s Forgotten Prisoners</w:t>
      </w:r>
      <w:r w:rsidRPr="008F4301">
        <w:t>,</w:t>
      </w:r>
      <w:r w:rsidRPr="00151B1B">
        <w:t xml:space="preserve"> </w:t>
      </w:r>
      <w:r>
        <w:t xml:space="preserve">documentary film, </w:t>
      </w:r>
      <w:r w:rsidRPr="003758FA">
        <w:t>Martin Read</w:t>
      </w:r>
      <w:r>
        <w:t>, d</w:t>
      </w:r>
      <w:r w:rsidRPr="003758FA">
        <w:t>irector</w:t>
      </w:r>
      <w:r>
        <w:t xml:space="preserve"> (2024).</w:t>
      </w:r>
    </w:p>
  </w:footnote>
  <w:footnote w:id="14">
    <w:p w14:paraId="3A3CFB57" w14:textId="375552AA" w:rsidR="0082031F" w:rsidRDefault="0082031F" w:rsidP="0082031F">
      <w:pPr>
        <w:pStyle w:val="FootnoteText"/>
      </w:pPr>
      <w:r>
        <w:tab/>
      </w:r>
      <w:r w:rsidRPr="00A81C62">
        <w:rPr>
          <w:rStyle w:val="FootnoteReference"/>
        </w:rPr>
        <w:footnoteRef/>
      </w:r>
      <w:r>
        <w:tab/>
      </w:r>
      <w:hyperlink r:id="rId6" w:history="1">
        <w:r w:rsidRPr="0084264A">
          <w:rPr>
            <w:rStyle w:val="Hyperlink"/>
          </w:rPr>
          <w:t>A/31/242</w:t>
        </w:r>
      </w:hyperlink>
      <w:r>
        <w:t>, annex, para. 5.</w:t>
      </w:r>
    </w:p>
  </w:footnote>
  <w:footnote w:id="15">
    <w:p w14:paraId="5083100C" w14:textId="36B07963" w:rsidR="0082031F" w:rsidRDefault="0082031F" w:rsidP="0082031F">
      <w:pPr>
        <w:pStyle w:val="FootnoteText"/>
      </w:pPr>
      <w:r>
        <w:tab/>
      </w:r>
      <w:r w:rsidRPr="00A81C62">
        <w:rPr>
          <w:rStyle w:val="FootnoteReference"/>
        </w:rPr>
        <w:footnoteRef/>
      </w:r>
      <w:r>
        <w:tab/>
        <w:t xml:space="preserve">See </w:t>
      </w:r>
      <w:hyperlink r:id="rId7" w:history="1">
        <w:r w:rsidRPr="0084264A">
          <w:rPr>
            <w:rStyle w:val="Hyperlink"/>
          </w:rPr>
          <w:t>A/79/181</w:t>
        </w:r>
      </w:hyperlink>
      <w:r>
        <w:t>.</w:t>
      </w:r>
    </w:p>
  </w:footnote>
  <w:footnote w:id="16">
    <w:p w14:paraId="4F0B7539" w14:textId="77777777" w:rsidR="0082031F" w:rsidRDefault="0082031F" w:rsidP="0082031F">
      <w:pPr>
        <w:pStyle w:val="FootnoteText"/>
      </w:pPr>
      <w:r>
        <w:tab/>
      </w:r>
      <w:r w:rsidRPr="00A81C62">
        <w:rPr>
          <w:rStyle w:val="FootnoteReference"/>
        </w:rPr>
        <w:footnoteRef/>
      </w:r>
      <w:r>
        <w:tab/>
      </w:r>
      <w:r w:rsidRPr="003A7512">
        <w:t xml:space="preserve">See </w:t>
      </w:r>
      <w:r>
        <w:t>a</w:t>
      </w:r>
      <w:r w:rsidRPr="003A7512">
        <w:t xml:space="preserve">rticles 4–8 </w:t>
      </w:r>
      <w:r>
        <w:t>of the a</w:t>
      </w:r>
      <w:r w:rsidRPr="003A7512">
        <w:t xml:space="preserve">rticles on </w:t>
      </w:r>
      <w:r>
        <w:t>r</w:t>
      </w:r>
      <w:r w:rsidRPr="003A7512">
        <w:t xml:space="preserve">esponsibility of States for </w:t>
      </w:r>
      <w:r>
        <w:t>i</w:t>
      </w:r>
      <w:r w:rsidRPr="003A7512">
        <w:t xml:space="preserve">nternationally </w:t>
      </w:r>
      <w:r>
        <w:t>w</w:t>
      </w:r>
      <w:r w:rsidRPr="003A7512">
        <w:t xml:space="preserve">rongful </w:t>
      </w:r>
      <w:r>
        <w:t>a</w:t>
      </w:r>
      <w:r w:rsidRPr="003A7512">
        <w:t>cts.</w:t>
      </w:r>
    </w:p>
  </w:footnote>
  <w:footnote w:id="17">
    <w:p w14:paraId="059CF5E2" w14:textId="2B7558F9" w:rsidR="0082031F" w:rsidRPr="00F476B4" w:rsidRDefault="0082031F" w:rsidP="003873C3">
      <w:pPr>
        <w:pStyle w:val="FootnoteText"/>
      </w:pPr>
      <w:r>
        <w:tab/>
      </w:r>
      <w:r w:rsidRPr="00A81C62">
        <w:rPr>
          <w:rStyle w:val="FootnoteReference"/>
        </w:rPr>
        <w:footnoteRef/>
      </w:r>
      <w:r>
        <w:tab/>
        <w:t xml:space="preserve">See recent communications: ARE 3/2022; PSE 3/2023; and OTH 106/2024. All communications mentioned in the present report are available at </w:t>
      </w:r>
      <w:r w:rsidRPr="0089164C">
        <w:t>https://spcommreports.ohchr.org/Tmsearch/</w:t>
      </w:r>
      <w:r w:rsidRPr="003873C3">
        <w:t>TMDocuments</w:t>
      </w:r>
      <w:r>
        <w:t>.</w:t>
      </w:r>
      <w:r w:rsidRPr="0089164C">
        <w:t xml:space="preserve"> </w:t>
      </w:r>
      <w:r>
        <w:t xml:space="preserve">See, also </w:t>
      </w:r>
      <w:hyperlink r:id="rId8" w:history="1">
        <w:r w:rsidRPr="0084264A">
          <w:rPr>
            <w:rStyle w:val="Hyperlink"/>
            <w:rFonts w:eastAsia="Times New Roman"/>
          </w:rPr>
          <w:t>CAT/C/YEM/CO/2/Rev.1</w:t>
        </w:r>
      </w:hyperlink>
      <w:r>
        <w:rPr>
          <w:rFonts w:eastAsia="Times New Roman"/>
          <w:color w:val="000000"/>
        </w:rPr>
        <w:t>, para.</w:t>
      </w:r>
      <w:r w:rsidR="003873C3">
        <w:rPr>
          <w:rFonts w:eastAsia="Times New Roman"/>
          <w:color w:val="000000"/>
        </w:rPr>
        <w:t> </w:t>
      </w:r>
      <w:r>
        <w:rPr>
          <w:rFonts w:eastAsia="Times New Roman"/>
          <w:color w:val="000000"/>
        </w:rPr>
        <w:t>14.</w:t>
      </w:r>
    </w:p>
  </w:footnote>
  <w:footnote w:id="18">
    <w:p w14:paraId="7191A156" w14:textId="77777777" w:rsidR="0082031F" w:rsidRDefault="0082031F" w:rsidP="0082031F">
      <w:pPr>
        <w:pStyle w:val="FootnoteText"/>
      </w:pPr>
      <w:r>
        <w:tab/>
      </w:r>
      <w:r w:rsidRPr="00A81C62">
        <w:rPr>
          <w:rStyle w:val="FootnoteReference"/>
        </w:rPr>
        <w:footnoteRef/>
      </w:r>
      <w:r>
        <w:tab/>
      </w:r>
      <w:r w:rsidRPr="00DB3090">
        <w:t xml:space="preserve">Submissions were received from </w:t>
      </w:r>
      <w:r>
        <w:t>8</w:t>
      </w:r>
      <w:r w:rsidRPr="00DB3090">
        <w:t xml:space="preserve"> States, and </w:t>
      </w:r>
      <w:r>
        <w:t xml:space="preserve">43 </w:t>
      </w:r>
      <w:r w:rsidRPr="00DB3090">
        <w:t>other contribut</w:t>
      </w:r>
      <w:r>
        <w:t>or</w:t>
      </w:r>
      <w:r w:rsidRPr="00DB3090">
        <w:t xml:space="preserve">s. All submissions </w:t>
      </w:r>
      <w:r>
        <w:t>will be available</w:t>
      </w:r>
      <w:r w:rsidRPr="00DB3090">
        <w:t xml:space="preserve"> </w:t>
      </w:r>
      <w:r>
        <w:t>at</w:t>
      </w:r>
      <w:r w:rsidRPr="00DB3090">
        <w:t xml:space="preserve"> </w:t>
      </w:r>
      <w:r w:rsidRPr="00D721F1">
        <w:t>https://www.ohchr.org/en/calls-for-input/2024/hostage-taking-torture-legal-frameworks-supporting-victims-and-families-and</w:t>
      </w:r>
      <w:r>
        <w:t>.</w:t>
      </w:r>
    </w:p>
  </w:footnote>
  <w:footnote w:id="19">
    <w:p w14:paraId="7AE74FF5" w14:textId="77777777" w:rsidR="0082031F" w:rsidRPr="00A042C3" w:rsidRDefault="0082031F" w:rsidP="0082031F">
      <w:pPr>
        <w:pStyle w:val="FootnoteText"/>
        <w:rPr>
          <w:lang w:val="en-CA"/>
        </w:rPr>
      </w:pPr>
      <w:r>
        <w:tab/>
      </w:r>
      <w:r w:rsidRPr="00A81C62">
        <w:rPr>
          <w:rStyle w:val="FootnoteReference"/>
        </w:rPr>
        <w:footnoteRef/>
      </w:r>
      <w:r>
        <w:tab/>
        <w:t>More than</w:t>
      </w:r>
      <w:r w:rsidRPr="002D7514">
        <w:t xml:space="preserve"> </w:t>
      </w:r>
      <w:r>
        <w:t>20</w:t>
      </w:r>
      <w:r w:rsidRPr="002D7514">
        <w:t xml:space="preserve"> former hostages or members of their families of multiple nationalities were interviewed</w:t>
      </w:r>
      <w:r>
        <w:t xml:space="preserve"> for the present report</w:t>
      </w:r>
      <w:r w:rsidRPr="002D7514">
        <w:t>, covering both non-State and State hostage-taking in Africa, Asi</w:t>
      </w:r>
      <w:r w:rsidRPr="008E5F0C">
        <w:t xml:space="preserve">a, Latin America and the Middle East. Written testimonies were </w:t>
      </w:r>
      <w:r>
        <w:t xml:space="preserve">also </w:t>
      </w:r>
      <w:r w:rsidRPr="008E5F0C">
        <w:t>received from former hostages.</w:t>
      </w:r>
    </w:p>
  </w:footnote>
  <w:footnote w:id="20">
    <w:p w14:paraId="16F3639E" w14:textId="77777777" w:rsidR="0082031F" w:rsidRPr="001C647E" w:rsidRDefault="0082031F" w:rsidP="0082031F">
      <w:pPr>
        <w:pStyle w:val="FootnoteText"/>
      </w:pPr>
      <w:r>
        <w:tab/>
      </w:r>
      <w:r w:rsidRPr="00A81C62">
        <w:rPr>
          <w:rStyle w:val="FootnoteReference"/>
        </w:rPr>
        <w:footnoteRef/>
      </w:r>
      <w:r>
        <w:tab/>
      </w:r>
      <w:r w:rsidRPr="00D721F1">
        <w:t>Submission of Hostage International</w:t>
      </w:r>
      <w:r>
        <w:t>.</w:t>
      </w:r>
    </w:p>
  </w:footnote>
  <w:footnote w:id="21">
    <w:p w14:paraId="12415062" w14:textId="77777777" w:rsidR="0082031F" w:rsidRPr="00A4106A" w:rsidRDefault="0082031F" w:rsidP="0082031F">
      <w:pPr>
        <w:pStyle w:val="FootnoteText"/>
      </w:pPr>
      <w:r>
        <w:tab/>
      </w:r>
      <w:r w:rsidRPr="00A81C62">
        <w:rPr>
          <w:rStyle w:val="FootnoteReference"/>
        </w:rPr>
        <w:footnoteRef/>
      </w:r>
      <w:r>
        <w:tab/>
        <w:t>Submission of Protect Humanitarians.</w:t>
      </w:r>
    </w:p>
  </w:footnote>
  <w:footnote w:id="22">
    <w:p w14:paraId="5586AF2A" w14:textId="5C341467" w:rsidR="005C45C3" w:rsidRPr="007D3EE8" w:rsidRDefault="0082031F" w:rsidP="005C45C3">
      <w:pPr>
        <w:pStyle w:val="FootnoteText"/>
      </w:pPr>
      <w:r>
        <w:tab/>
      </w:r>
      <w:r w:rsidRPr="00A81C62">
        <w:rPr>
          <w:rStyle w:val="FootnoteReference"/>
        </w:rPr>
        <w:footnoteRef/>
      </w:r>
      <w:r>
        <w:tab/>
        <w:t xml:space="preserve">Hostage Aid Worldwide, </w:t>
      </w:r>
      <w:r w:rsidR="006B49D7">
        <w:t>“</w:t>
      </w:r>
      <w:r w:rsidRPr="00D721F1">
        <w:t xml:space="preserve">Global </w:t>
      </w:r>
      <w:r>
        <w:t>h</w:t>
      </w:r>
      <w:r w:rsidRPr="00D721F1">
        <w:t xml:space="preserve">ostage </w:t>
      </w:r>
      <w:r>
        <w:t>r</w:t>
      </w:r>
      <w:r w:rsidRPr="00D721F1">
        <w:t>eport 202</w:t>
      </w:r>
      <w:r w:rsidRPr="008F4301">
        <w:t>3</w:t>
      </w:r>
      <w:r w:rsidR="006B49D7">
        <w:t>”</w:t>
      </w:r>
      <w:r w:rsidRPr="00D721F1">
        <w:t>, p. 13.</w:t>
      </w:r>
    </w:p>
  </w:footnote>
  <w:footnote w:id="23">
    <w:p w14:paraId="45A18EAF" w14:textId="4D46030C" w:rsidR="0082031F" w:rsidRPr="005B77B6" w:rsidRDefault="0082031F" w:rsidP="0082031F">
      <w:pPr>
        <w:pStyle w:val="FootnoteText"/>
      </w:pPr>
      <w:r>
        <w:tab/>
      </w:r>
      <w:r w:rsidRPr="00A81C62">
        <w:rPr>
          <w:rStyle w:val="FootnoteReference"/>
        </w:rPr>
        <w:footnoteRef/>
      </w:r>
      <w:r>
        <w:tab/>
      </w:r>
      <w:r w:rsidRPr="0055305F">
        <w:t>Ibid</w:t>
      </w:r>
      <w:r>
        <w:t>.</w:t>
      </w:r>
      <w:r w:rsidRPr="0055305F">
        <w:t>,</w:t>
      </w:r>
      <w:r>
        <w:t xml:space="preserve"> p. 15.</w:t>
      </w:r>
    </w:p>
  </w:footnote>
  <w:footnote w:id="24">
    <w:p w14:paraId="61EB9EC6" w14:textId="77777777" w:rsidR="0082031F" w:rsidRDefault="0082031F" w:rsidP="0082031F">
      <w:pPr>
        <w:pStyle w:val="FootnoteText"/>
      </w:pPr>
      <w:r>
        <w:tab/>
      </w:r>
      <w:r w:rsidRPr="00A81C62">
        <w:rPr>
          <w:rStyle w:val="FootnoteReference"/>
        </w:rPr>
        <w:footnoteRef/>
      </w:r>
      <w:r>
        <w:tab/>
      </w:r>
      <w:r w:rsidRPr="009B2477">
        <w:t>These included the kidnapping of Israeli</w:t>
      </w:r>
      <w:r>
        <w:t xml:space="preserve"> athletes</w:t>
      </w:r>
      <w:r w:rsidRPr="009B2477">
        <w:t xml:space="preserve"> by Palestinian militants</w:t>
      </w:r>
      <w:r w:rsidRPr="009B2477" w:rsidDel="00600CD4">
        <w:t xml:space="preserve"> </w:t>
      </w:r>
      <w:r w:rsidRPr="009B2477">
        <w:t xml:space="preserve">at the Munich Olympics (1972), the hostage-taking at the German Embassy in Stockholm by the non-State Baader-Meinhof Group (1975), the hostage-taking at </w:t>
      </w:r>
      <w:r w:rsidRPr="0003220F">
        <w:t>Organization of the Petroleum Exporting Countries</w:t>
      </w:r>
      <w:r w:rsidRPr="009B2477">
        <w:t xml:space="preserve"> headquarters in Vienna </w:t>
      </w:r>
      <w:r w:rsidRPr="00A042C3">
        <w:t>by</w:t>
      </w:r>
      <w:r w:rsidRPr="009B2477">
        <w:t xml:space="preserve"> pro-Palestinian militants (1975) and the Air France hijacking </w:t>
      </w:r>
      <w:r w:rsidRPr="00A042C3">
        <w:t xml:space="preserve">by </w:t>
      </w:r>
      <w:r w:rsidRPr="009B2477">
        <w:t>leftist and Palestinian militants in 1976, which ended with the Entebbe raid.</w:t>
      </w:r>
    </w:p>
  </w:footnote>
  <w:footnote w:id="25">
    <w:p w14:paraId="2736EB8C" w14:textId="77777777" w:rsidR="0082031F" w:rsidRPr="004611D2" w:rsidRDefault="0082031F" w:rsidP="0082031F">
      <w:pPr>
        <w:pStyle w:val="FootnoteText"/>
        <w:contextualSpacing/>
      </w:pPr>
      <w:r>
        <w:tab/>
      </w:r>
      <w:r w:rsidRPr="00A81C62">
        <w:rPr>
          <w:rStyle w:val="FootnoteReference"/>
        </w:rPr>
        <w:footnoteRef/>
      </w:r>
      <w:r>
        <w:tab/>
      </w:r>
      <w:r w:rsidRPr="004611D2">
        <w:t>Submission of Germ</w:t>
      </w:r>
      <w:r>
        <w:t>á</w:t>
      </w:r>
      <w:r w:rsidRPr="004611D2">
        <w:t>n Parra Gallego.</w:t>
      </w:r>
    </w:p>
  </w:footnote>
  <w:footnote w:id="26">
    <w:p w14:paraId="00F716A1" w14:textId="77777777" w:rsidR="0082031F" w:rsidRPr="007D3EE8" w:rsidRDefault="0082031F" w:rsidP="0082031F">
      <w:pPr>
        <w:pStyle w:val="FootnoteText"/>
      </w:pPr>
      <w:r>
        <w:tab/>
      </w:r>
      <w:r w:rsidRPr="00A81C62">
        <w:rPr>
          <w:rStyle w:val="FootnoteReference"/>
        </w:rPr>
        <w:footnoteRef/>
      </w:r>
      <w:r>
        <w:tab/>
        <w:t>Submission of the Foley Foundation.</w:t>
      </w:r>
    </w:p>
  </w:footnote>
  <w:footnote w:id="27">
    <w:p w14:paraId="222BDDE1" w14:textId="03CDCADB" w:rsidR="0082031F" w:rsidRPr="00634013" w:rsidRDefault="0082031F" w:rsidP="0082031F">
      <w:pPr>
        <w:pStyle w:val="FootnoteText"/>
      </w:pPr>
      <w:r>
        <w:tab/>
      </w:r>
      <w:r w:rsidRPr="00A81C62">
        <w:rPr>
          <w:rStyle w:val="FootnoteReference"/>
        </w:rPr>
        <w:footnoteRef/>
      </w:r>
      <w:r>
        <w:tab/>
        <w:t xml:space="preserve">See Human Rights Watch, </w:t>
      </w:r>
      <w:r w:rsidR="006B49D7">
        <w:rPr>
          <w:i/>
          <w:iCs/>
        </w:rPr>
        <w:t>“</w:t>
      </w:r>
      <w:r w:rsidRPr="008F4301">
        <w:rPr>
          <w:i/>
          <w:iCs/>
        </w:rPr>
        <w:t>Those Terrible Weeks in Their Camp</w:t>
      </w:r>
      <w:r w:rsidR="006B49D7">
        <w:rPr>
          <w:i/>
          <w:iCs/>
        </w:rPr>
        <w:t>”</w:t>
      </w:r>
      <w:r w:rsidRPr="008F4301">
        <w:rPr>
          <w:i/>
          <w:iCs/>
        </w:rPr>
        <w:t>: Boko Haram Violence against Women and Girls in Northeast Nigeria</w:t>
      </w:r>
      <w:r>
        <w:t xml:space="preserve"> (2014).</w:t>
      </w:r>
    </w:p>
  </w:footnote>
  <w:footnote w:id="28">
    <w:p w14:paraId="07EBCDD8" w14:textId="3B8839F5" w:rsidR="0082031F" w:rsidRPr="00544B77" w:rsidRDefault="0082031F" w:rsidP="0082031F">
      <w:pPr>
        <w:pStyle w:val="FootnoteText"/>
      </w:pPr>
      <w:r>
        <w:tab/>
      </w:r>
      <w:r w:rsidRPr="00A81C62">
        <w:rPr>
          <w:rStyle w:val="FootnoteReference"/>
        </w:rPr>
        <w:footnoteRef/>
      </w:r>
      <w:r>
        <w:tab/>
        <w:t xml:space="preserve">See </w:t>
      </w:r>
      <w:r w:rsidRPr="004611D2">
        <w:t xml:space="preserve">Amnesty International, </w:t>
      </w:r>
      <w:r w:rsidR="006B49D7">
        <w:t>“</w:t>
      </w:r>
      <w:r w:rsidRPr="003515E1">
        <w:t xml:space="preserve">Nigeria: </w:t>
      </w:r>
      <w:r>
        <w:t>n</w:t>
      </w:r>
      <w:r w:rsidRPr="003515E1">
        <w:t>ine years after Chibok girls</w:t>
      </w:r>
      <w:r w:rsidR="006B49D7">
        <w:t>’</w:t>
      </w:r>
      <w:r w:rsidRPr="003515E1">
        <w:t xml:space="preserve"> abducted, authorities failing to protect children</w:t>
      </w:r>
      <w:r w:rsidR="006B49D7">
        <w:t>”</w:t>
      </w:r>
      <w:r w:rsidRPr="004611D2">
        <w:t>, 14 April 2023</w:t>
      </w:r>
      <w:r>
        <w:t>.</w:t>
      </w:r>
    </w:p>
  </w:footnote>
  <w:footnote w:id="29">
    <w:p w14:paraId="7C4492EC" w14:textId="77777777" w:rsidR="0082031F" w:rsidRPr="004611D2" w:rsidRDefault="0082031F" w:rsidP="0082031F">
      <w:pPr>
        <w:pStyle w:val="FootnoteText"/>
        <w:contextualSpacing/>
      </w:pPr>
      <w:r>
        <w:tab/>
      </w:r>
      <w:r w:rsidRPr="00A81C62">
        <w:rPr>
          <w:rStyle w:val="FootnoteReference"/>
        </w:rPr>
        <w:footnoteRef/>
      </w:r>
      <w:r>
        <w:tab/>
      </w:r>
      <w:r w:rsidRPr="004611D2">
        <w:t>Submission of Jeff Woodke.</w:t>
      </w:r>
    </w:p>
  </w:footnote>
  <w:footnote w:id="30">
    <w:p w14:paraId="6DC559CF" w14:textId="26F6429B" w:rsidR="0082031F" w:rsidRPr="008A6C1B" w:rsidRDefault="0082031F" w:rsidP="0082031F">
      <w:pPr>
        <w:pStyle w:val="FootnoteText"/>
      </w:pPr>
      <w:r>
        <w:tab/>
      </w:r>
      <w:r w:rsidRPr="00A81C62">
        <w:rPr>
          <w:rStyle w:val="FootnoteReference"/>
        </w:rPr>
        <w:footnoteRef/>
      </w:r>
      <w:r>
        <w:tab/>
        <w:t xml:space="preserve">Submission of Protect Humanitarians; and </w:t>
      </w:r>
      <w:r w:rsidRPr="008F4301">
        <w:t>United Nations</w:t>
      </w:r>
      <w:r w:rsidRPr="00FF4EE7">
        <w:t xml:space="preserve">, </w:t>
      </w:r>
      <w:r w:rsidR="006B49D7">
        <w:t>“</w:t>
      </w:r>
      <w:r w:rsidRPr="008F4301">
        <w:t>UN, INGOs call for immediate release of detained personnel in Yemen</w:t>
      </w:r>
      <w:r w:rsidR="006B49D7">
        <w:t>”</w:t>
      </w:r>
      <w:r w:rsidRPr="00FF4EE7">
        <w:t xml:space="preserve">, </w:t>
      </w:r>
      <w:r>
        <w:t xml:space="preserve">United Nations News, </w:t>
      </w:r>
      <w:r w:rsidRPr="00FF4EE7">
        <w:t>12 October 2024</w:t>
      </w:r>
      <w:r>
        <w:t xml:space="preserve">, available at </w:t>
      </w:r>
      <w:r w:rsidRPr="008F4301">
        <w:rPr>
          <w:rFonts w:eastAsia="SimSun"/>
          <w:color w:val="000000"/>
          <w:szCs w:val="18"/>
          <w:lang w:eastAsia="zh-CN"/>
        </w:rPr>
        <w:t>https://news.un.org/en/story/2024/10/1155651</w:t>
      </w:r>
      <w:r>
        <w:rPr>
          <w:rFonts w:eastAsia="SimSun"/>
          <w:color w:val="000000"/>
          <w:szCs w:val="18"/>
          <w:lang w:eastAsia="zh-CN"/>
        </w:rPr>
        <w:t>.</w:t>
      </w:r>
    </w:p>
  </w:footnote>
  <w:footnote w:id="31">
    <w:p w14:paraId="47135C59" w14:textId="3A94BE61" w:rsidR="0082031F" w:rsidRPr="00A44C62" w:rsidRDefault="0082031F" w:rsidP="0082031F">
      <w:pPr>
        <w:pStyle w:val="FootnoteText"/>
      </w:pPr>
      <w:r>
        <w:tab/>
      </w:r>
      <w:r w:rsidRPr="00A81C62">
        <w:rPr>
          <w:rStyle w:val="FootnoteReference"/>
        </w:rPr>
        <w:footnoteRef/>
      </w:r>
      <w:r>
        <w:tab/>
        <w:t xml:space="preserve">Adam Dolnik and Richard </w:t>
      </w:r>
      <w:r w:rsidRPr="004611D2">
        <w:t xml:space="preserve">Pilch, </w:t>
      </w:r>
      <w:r w:rsidR="006B49D7">
        <w:t>“</w:t>
      </w:r>
      <w:r w:rsidRPr="004611D2">
        <w:t xml:space="preserve">The Moscow </w:t>
      </w:r>
      <w:r>
        <w:t>t</w:t>
      </w:r>
      <w:r w:rsidRPr="004611D2">
        <w:t xml:space="preserve">heater </w:t>
      </w:r>
      <w:r>
        <w:t>h</w:t>
      </w:r>
      <w:r w:rsidRPr="004611D2">
        <w:t xml:space="preserve">ostage </w:t>
      </w:r>
      <w:r>
        <w:t>c</w:t>
      </w:r>
      <w:r w:rsidRPr="004611D2">
        <w:t xml:space="preserve">risis: </w:t>
      </w:r>
      <w:r>
        <w:t>t</w:t>
      </w:r>
      <w:r w:rsidRPr="004611D2">
        <w:t xml:space="preserve">he </w:t>
      </w:r>
      <w:r>
        <w:t>p</w:t>
      </w:r>
      <w:r w:rsidRPr="004611D2">
        <w:t xml:space="preserve">erpetrators, their </w:t>
      </w:r>
      <w:r>
        <w:t>t</w:t>
      </w:r>
      <w:r w:rsidRPr="004611D2">
        <w:t xml:space="preserve">actics, and the Russian </w:t>
      </w:r>
      <w:r>
        <w:t>r</w:t>
      </w:r>
      <w:r w:rsidRPr="004611D2">
        <w:t>esponse</w:t>
      </w:r>
      <w:r w:rsidR="006B49D7">
        <w:t>”</w:t>
      </w:r>
      <w:r>
        <w:t>,</w:t>
      </w:r>
      <w:r w:rsidR="0017772C">
        <w:t xml:space="preserve"> </w:t>
      </w:r>
      <w:r w:rsidRPr="004611D2">
        <w:rPr>
          <w:i/>
          <w:iCs/>
        </w:rPr>
        <w:t>International Negotiation</w:t>
      </w:r>
      <w:r w:rsidRPr="00A113A2">
        <w:t>,</w:t>
      </w:r>
      <w:r w:rsidR="0017772C">
        <w:t xml:space="preserve"> </w:t>
      </w:r>
      <w:r>
        <w:t xml:space="preserve">vol. </w:t>
      </w:r>
      <w:r w:rsidRPr="008F4301">
        <w:t>8</w:t>
      </w:r>
      <w:r>
        <w:t xml:space="preserve">, No. </w:t>
      </w:r>
      <w:r w:rsidRPr="004611D2">
        <w:t>3</w:t>
      </w:r>
      <w:r>
        <w:t xml:space="preserve"> (2003)</w:t>
      </w:r>
      <w:r w:rsidRPr="004611D2">
        <w:t>, p. 585.</w:t>
      </w:r>
    </w:p>
  </w:footnote>
  <w:footnote w:id="32">
    <w:p w14:paraId="4CCAAFCD" w14:textId="0C7FED4F" w:rsidR="0082031F" w:rsidRPr="00255C67" w:rsidRDefault="0082031F" w:rsidP="0082031F">
      <w:pPr>
        <w:pStyle w:val="FootnoteText"/>
      </w:pPr>
      <w:r>
        <w:tab/>
      </w:r>
      <w:r w:rsidRPr="00A81C62">
        <w:rPr>
          <w:rStyle w:val="FootnoteReference"/>
        </w:rPr>
        <w:footnoteRef/>
      </w:r>
      <w:r>
        <w:tab/>
        <w:t xml:space="preserve">Ughetta </w:t>
      </w:r>
      <w:r w:rsidRPr="004611D2">
        <w:t>Moscardino</w:t>
      </w:r>
      <w:r>
        <w:t xml:space="preserve"> and others</w:t>
      </w:r>
      <w:r w:rsidRPr="004611D2">
        <w:t xml:space="preserve"> </w:t>
      </w:r>
      <w:r w:rsidR="006B49D7">
        <w:t>“</w:t>
      </w:r>
      <w:r w:rsidRPr="004611D2">
        <w:t xml:space="preserve">Narratives from caregivers of children surviving the terrorist attack in Beslan: </w:t>
      </w:r>
      <w:r>
        <w:t>i</w:t>
      </w:r>
      <w:r w:rsidRPr="004611D2">
        <w:t>ssues of health, culture, and resilience</w:t>
      </w:r>
      <w:r w:rsidR="006B49D7">
        <w:t>”</w:t>
      </w:r>
      <w:r>
        <w:t>,</w:t>
      </w:r>
      <w:r w:rsidR="0017772C">
        <w:t xml:space="preserve"> </w:t>
      </w:r>
      <w:r w:rsidRPr="004611D2">
        <w:rPr>
          <w:i/>
          <w:iCs/>
        </w:rPr>
        <w:t>Social Science &amp; Medicine</w:t>
      </w:r>
      <w:r w:rsidRPr="004611D2">
        <w:t>,</w:t>
      </w:r>
      <w:r w:rsidR="0017772C">
        <w:t xml:space="preserve"> </w:t>
      </w:r>
      <w:r>
        <w:t xml:space="preserve">vol. </w:t>
      </w:r>
      <w:r w:rsidRPr="008F4301">
        <w:t>64</w:t>
      </w:r>
      <w:r>
        <w:t xml:space="preserve">, No. </w:t>
      </w:r>
      <w:r w:rsidRPr="004611D2">
        <w:t>8</w:t>
      </w:r>
      <w:r>
        <w:t xml:space="preserve"> (2007)</w:t>
      </w:r>
      <w:r w:rsidRPr="004611D2">
        <w:t>,</w:t>
      </w:r>
      <w:r>
        <w:t xml:space="preserve"> pp.</w:t>
      </w:r>
      <w:r w:rsidRPr="004611D2">
        <w:t xml:space="preserve"> 1776–1787.</w:t>
      </w:r>
    </w:p>
  </w:footnote>
  <w:footnote w:id="33">
    <w:p w14:paraId="16C733C7" w14:textId="3C86BA56" w:rsidR="0082031F" w:rsidRPr="00255C67" w:rsidRDefault="0082031F" w:rsidP="0082031F">
      <w:pPr>
        <w:pStyle w:val="FootnoteText"/>
      </w:pPr>
      <w:r>
        <w:tab/>
      </w:r>
      <w:r w:rsidRPr="00A81C62">
        <w:rPr>
          <w:rStyle w:val="FootnoteReference"/>
        </w:rPr>
        <w:footnoteRef/>
      </w:r>
      <w:r>
        <w:tab/>
        <w:t xml:space="preserve">Michael J. </w:t>
      </w:r>
      <w:r w:rsidRPr="004611D2">
        <w:t xml:space="preserve">Ard, </w:t>
      </w:r>
      <w:r w:rsidR="006B49D7">
        <w:t>“</w:t>
      </w:r>
      <w:r w:rsidRPr="004611D2">
        <w:t>Intelligence warning in the corporate sector: the 2013 In Amenas terrorist attack in retrospect</w:t>
      </w:r>
      <w:r w:rsidR="006B49D7">
        <w:t>”</w:t>
      </w:r>
      <w:r>
        <w:t>,</w:t>
      </w:r>
      <w:r w:rsidR="0017772C">
        <w:t xml:space="preserve"> </w:t>
      </w:r>
      <w:r w:rsidRPr="004611D2">
        <w:rPr>
          <w:i/>
          <w:iCs/>
        </w:rPr>
        <w:t>Journal of Policing, Intelligence and Counter Terrorism</w:t>
      </w:r>
      <w:r w:rsidRPr="004611D2">
        <w:t>,</w:t>
      </w:r>
      <w:r w:rsidR="0017772C">
        <w:t xml:space="preserve"> </w:t>
      </w:r>
      <w:r>
        <w:t xml:space="preserve">vol. </w:t>
      </w:r>
      <w:r w:rsidRPr="008F4301">
        <w:t>19</w:t>
      </w:r>
      <w:r>
        <w:t xml:space="preserve">, No. </w:t>
      </w:r>
      <w:r w:rsidRPr="004611D2">
        <w:t>4</w:t>
      </w:r>
      <w:r>
        <w:t xml:space="preserve"> (2024)</w:t>
      </w:r>
      <w:r w:rsidRPr="004611D2">
        <w:t>, p. 441.</w:t>
      </w:r>
    </w:p>
  </w:footnote>
  <w:footnote w:id="34">
    <w:p w14:paraId="731A06C6" w14:textId="77777777" w:rsidR="0082031F" w:rsidRPr="004611D2" w:rsidRDefault="0082031F" w:rsidP="0082031F">
      <w:pPr>
        <w:pStyle w:val="FootnoteText"/>
        <w:contextualSpacing/>
      </w:pPr>
      <w:r>
        <w:tab/>
      </w:r>
      <w:r w:rsidRPr="00A81C62">
        <w:rPr>
          <w:rStyle w:val="FootnoteReference"/>
        </w:rPr>
        <w:footnoteRef/>
      </w:r>
      <w:r>
        <w:tab/>
        <w:t xml:space="preserve">See </w:t>
      </w:r>
      <w:hyperlink r:id="rId9" w:history="1">
        <w:r w:rsidRPr="00B04133">
          <w:rPr>
            <w:rStyle w:val="Hyperlink"/>
          </w:rPr>
          <w:t>https://www.ohchr.org/en/press-releases/2024/09/un-torture-expert-calls-immediate-release-israeli-hostages-after-meeting</w:t>
        </w:r>
      </w:hyperlink>
      <w:r>
        <w:t>; and</w:t>
      </w:r>
      <w:r w:rsidRPr="00907CC5">
        <w:t xml:space="preserve"> </w:t>
      </w:r>
      <w:hyperlink r:id="rId10" w:history="1">
        <w:r w:rsidRPr="00E467B3">
          <w:rPr>
            <w:rStyle w:val="Hyperlink"/>
          </w:rPr>
          <w:t>https://www.ohchr.org/en/press-releases/2024/01/un-experts-demand-accountability-victims-sexual-torture-and-unlawful</w:t>
        </w:r>
      </w:hyperlink>
      <w:r>
        <w:t>.</w:t>
      </w:r>
    </w:p>
  </w:footnote>
  <w:footnote w:id="35">
    <w:p w14:paraId="4882BD96" w14:textId="77777777" w:rsidR="0082031F" w:rsidRPr="00B47859" w:rsidRDefault="0082031F" w:rsidP="0082031F">
      <w:pPr>
        <w:pStyle w:val="FootnoteText"/>
      </w:pPr>
      <w:r>
        <w:tab/>
      </w:r>
      <w:r w:rsidRPr="00A81C62">
        <w:rPr>
          <w:rStyle w:val="FootnoteReference"/>
        </w:rPr>
        <w:footnoteRef/>
      </w:r>
      <w:r>
        <w:tab/>
        <w:t xml:space="preserve">See </w:t>
      </w:r>
      <w:hyperlink r:id="rId11" w:history="1">
        <w:r w:rsidRPr="004E529E">
          <w:rPr>
            <w:rStyle w:val="Hyperlink"/>
          </w:rPr>
          <w:t>https://www.ohchr.org/en/press-releases/2024/05/israel-un-expert-calls-probe-allegations-torture-and-mistreatment-against</w:t>
        </w:r>
      </w:hyperlink>
      <w:r>
        <w:t xml:space="preserve">; </w:t>
      </w:r>
      <w:hyperlink r:id="rId12" w:history="1">
        <w:r w:rsidRPr="00E467B3">
          <w:rPr>
            <w:rStyle w:val="Hyperlink"/>
          </w:rPr>
          <w:t>https://www.ohchr.org/en/press-releases/2024/03/un-experts-urge-international-community-step-pressure-end-crimes-uphold</w:t>
        </w:r>
      </w:hyperlink>
      <w:r>
        <w:t xml:space="preserve">; </w:t>
      </w:r>
      <w:hyperlink r:id="rId13" w:history="1">
        <w:r w:rsidRPr="00E467B3">
          <w:rPr>
            <w:rStyle w:val="Hyperlink"/>
          </w:rPr>
          <w:t>https://www.ohchr.org/en/press-releases/2024/08/special-rapporteur-torture-appalled-allegation-sexual-torture-israeli</w:t>
        </w:r>
      </w:hyperlink>
      <w:r>
        <w:t xml:space="preserve">; </w:t>
      </w:r>
      <w:hyperlink r:id="rId14" w:history="1">
        <w:r w:rsidRPr="00E467B3">
          <w:rPr>
            <w:rStyle w:val="Hyperlink"/>
          </w:rPr>
          <w:t>https://www.ohchr.org/en/press-releases/2023/11/un-experts-call-full-and-independent-investigations-all-crimes-committed</w:t>
        </w:r>
      </w:hyperlink>
      <w:r>
        <w:t xml:space="preserve">; and </w:t>
      </w:r>
      <w:hyperlink r:id="rId15" w:history="1">
        <w:r w:rsidRPr="00466F92">
          <w:rPr>
            <w:rStyle w:val="Hyperlink"/>
          </w:rPr>
          <w:t>https://www.ohchr.org/en/press-releases/2023/10/israeloccupied-palestinian-territory-un-experts-deplore-attacks-civilians</w:t>
        </w:r>
      </w:hyperlink>
      <w:r>
        <w:rPr>
          <w:rStyle w:val="Hyperlink"/>
        </w:rPr>
        <w:t>.</w:t>
      </w:r>
    </w:p>
  </w:footnote>
  <w:footnote w:id="36">
    <w:p w14:paraId="5AAFED72" w14:textId="1BED4BE4" w:rsidR="0082031F" w:rsidRPr="004611D2" w:rsidRDefault="0082031F" w:rsidP="0082031F">
      <w:pPr>
        <w:pStyle w:val="FootnoteText"/>
        <w:contextualSpacing/>
        <w:jc w:val="both"/>
      </w:pPr>
      <w:r>
        <w:tab/>
      </w:r>
      <w:r w:rsidRPr="00A81C62">
        <w:rPr>
          <w:rStyle w:val="FootnoteReference"/>
        </w:rPr>
        <w:footnoteRef/>
      </w:r>
      <w:r>
        <w:tab/>
        <w:t xml:space="preserve">See </w:t>
      </w:r>
      <w:hyperlink r:id="rId16" w:history="1">
        <w:r w:rsidRPr="0084264A">
          <w:rPr>
            <w:rStyle w:val="Hyperlink"/>
          </w:rPr>
          <w:t>A/79/232</w:t>
        </w:r>
      </w:hyperlink>
      <w:r>
        <w:t>.</w:t>
      </w:r>
    </w:p>
  </w:footnote>
  <w:footnote w:id="37">
    <w:p w14:paraId="2A3512F8" w14:textId="46EBB0A2" w:rsidR="0082031F" w:rsidRPr="004611D2" w:rsidRDefault="0082031F" w:rsidP="0082031F">
      <w:pPr>
        <w:pStyle w:val="FootnoteText"/>
        <w:contextualSpacing/>
      </w:pPr>
      <w:r>
        <w:tab/>
      </w:r>
      <w:r w:rsidRPr="00A81C62">
        <w:rPr>
          <w:rStyle w:val="FootnoteReference"/>
        </w:rPr>
        <w:footnoteRef/>
      </w:r>
      <w:r>
        <w:tab/>
      </w:r>
      <w:r w:rsidRPr="00B5036A">
        <w:t>Office of the United Nations High Commissioner for Human Rights</w:t>
      </w:r>
      <w:r>
        <w:t xml:space="preserve"> (OHCHR)</w:t>
      </w:r>
      <w:r w:rsidRPr="004611D2">
        <w:t xml:space="preserve">, </w:t>
      </w:r>
      <w:r w:rsidR="006B49D7">
        <w:t>“</w:t>
      </w:r>
      <w:r w:rsidRPr="004611D2">
        <w:t xml:space="preserve">Thematic report: </w:t>
      </w:r>
      <w:r>
        <w:rPr>
          <w:color w:val="000000" w:themeColor="text1"/>
        </w:rPr>
        <w:t>d</w:t>
      </w:r>
      <w:r w:rsidRPr="004611D2">
        <w:rPr>
          <w:color w:val="000000" w:themeColor="text1"/>
        </w:rPr>
        <w:t>etention in the context of the escalation of hostilities in Gaza (October 2023</w:t>
      </w:r>
      <w:r>
        <w:rPr>
          <w:color w:val="000000" w:themeColor="text1"/>
        </w:rPr>
        <w:t>–</w:t>
      </w:r>
      <w:r w:rsidRPr="004611D2">
        <w:rPr>
          <w:color w:val="000000" w:themeColor="text1"/>
        </w:rPr>
        <w:t>June 2024)</w:t>
      </w:r>
      <w:r w:rsidR="006B49D7">
        <w:rPr>
          <w:color w:val="000000" w:themeColor="text1"/>
        </w:rPr>
        <w:t>”</w:t>
      </w:r>
      <w:r>
        <w:rPr>
          <w:color w:val="000000" w:themeColor="text1"/>
        </w:rPr>
        <w:t xml:space="preserve">, </w:t>
      </w:r>
      <w:r w:rsidRPr="004611D2">
        <w:rPr>
          <w:color w:val="000000" w:themeColor="text1"/>
        </w:rPr>
        <w:t>31 July 2024.</w:t>
      </w:r>
    </w:p>
  </w:footnote>
  <w:footnote w:id="38">
    <w:p w14:paraId="512584CA" w14:textId="2C0E8C97" w:rsidR="0082031F" w:rsidRDefault="0082031F" w:rsidP="0082031F">
      <w:pPr>
        <w:pStyle w:val="FootnoteText"/>
      </w:pPr>
      <w:r>
        <w:tab/>
      </w:r>
      <w:r w:rsidRPr="00A81C62">
        <w:rPr>
          <w:rStyle w:val="FootnoteReference"/>
        </w:rPr>
        <w:footnoteRef/>
      </w:r>
      <w:r>
        <w:tab/>
        <w:t xml:space="preserve">United Nations, Office of the Special Representative of the Secretary-General on Sexual Violence in Conflict, </w:t>
      </w:r>
      <w:r w:rsidR="006B49D7">
        <w:t>“</w:t>
      </w:r>
      <w:r>
        <w:t>Mission report: official visit of the Office of the Special Representative to Israel and the occupied West Bank, 29 January–14 February 2024</w:t>
      </w:r>
      <w:r w:rsidR="006B49D7">
        <w:t>”</w:t>
      </w:r>
      <w:r>
        <w:t>, 4 March 2024.</w:t>
      </w:r>
    </w:p>
  </w:footnote>
  <w:footnote w:id="39">
    <w:p w14:paraId="27642B47" w14:textId="77777777" w:rsidR="0082031F" w:rsidRPr="004611D2" w:rsidRDefault="0082031F" w:rsidP="0082031F">
      <w:pPr>
        <w:pStyle w:val="FootnoteText"/>
        <w:contextualSpacing/>
      </w:pPr>
      <w:r>
        <w:rPr>
          <w:color w:val="000000" w:themeColor="text1"/>
        </w:rPr>
        <w:tab/>
      </w:r>
      <w:r w:rsidRPr="00A81C62">
        <w:rPr>
          <w:rStyle w:val="FootnoteReference"/>
        </w:rPr>
        <w:footnoteRef/>
      </w:r>
      <w:r>
        <w:rPr>
          <w:color w:val="000000" w:themeColor="text1"/>
        </w:rPr>
        <w:tab/>
      </w:r>
      <w:r w:rsidRPr="004611D2">
        <w:rPr>
          <w:color w:val="000000" w:themeColor="text1"/>
        </w:rPr>
        <w:t xml:space="preserve">Submissions of </w:t>
      </w:r>
      <w:r>
        <w:rPr>
          <w:color w:val="000000" w:themeColor="text1"/>
        </w:rPr>
        <w:t xml:space="preserve">the </w:t>
      </w:r>
      <w:r w:rsidRPr="004611D2">
        <w:rPr>
          <w:color w:val="000000" w:themeColor="text1"/>
        </w:rPr>
        <w:t xml:space="preserve">Foley Foundation, Daniella Gilbert, Daren Nair, Protect Humanitarians, REDRESS and </w:t>
      </w:r>
      <w:r>
        <w:rPr>
          <w:color w:val="000000" w:themeColor="text1"/>
        </w:rPr>
        <w:t xml:space="preserve">the </w:t>
      </w:r>
      <w:r w:rsidRPr="004611D2">
        <w:rPr>
          <w:color w:val="000000" w:themeColor="text1"/>
        </w:rPr>
        <w:t>Soufan Centre.</w:t>
      </w:r>
    </w:p>
  </w:footnote>
  <w:footnote w:id="40">
    <w:p w14:paraId="48DCF9DD" w14:textId="75BD58F6" w:rsidR="0082031F" w:rsidRPr="00836E00" w:rsidRDefault="0082031F" w:rsidP="0082031F">
      <w:pPr>
        <w:pStyle w:val="FootnoteText"/>
      </w:pPr>
      <w:r>
        <w:tab/>
      </w:r>
      <w:r w:rsidRPr="00A81C62">
        <w:rPr>
          <w:rStyle w:val="FootnoteReference"/>
        </w:rPr>
        <w:footnoteRef/>
      </w:r>
      <w:r>
        <w:tab/>
        <w:t>Submission of International Human Rights Advisors.</w:t>
      </w:r>
    </w:p>
  </w:footnote>
  <w:footnote w:id="41">
    <w:p w14:paraId="606A8087" w14:textId="77777777" w:rsidR="0082031F" w:rsidRPr="00086D5B" w:rsidRDefault="0082031F" w:rsidP="0082031F">
      <w:pPr>
        <w:pStyle w:val="FootnoteText"/>
      </w:pPr>
      <w:r>
        <w:tab/>
      </w:r>
      <w:r w:rsidRPr="00A81C62">
        <w:rPr>
          <w:rStyle w:val="FootnoteReference"/>
        </w:rPr>
        <w:footnoteRef/>
      </w:r>
      <w:r>
        <w:tab/>
        <w:t xml:space="preserve">See the cases of Michael Kovrig and Michael Spavor; and submission of </w:t>
      </w:r>
      <w:r w:rsidRPr="00176D39">
        <w:t>Michael Kovrig</w:t>
      </w:r>
      <w:r>
        <w:t>.</w:t>
      </w:r>
    </w:p>
  </w:footnote>
  <w:footnote w:id="42">
    <w:p w14:paraId="70D1B4CC" w14:textId="7C0AD1AB" w:rsidR="0082031F" w:rsidRPr="005C2FF2" w:rsidRDefault="0082031F" w:rsidP="0082031F">
      <w:pPr>
        <w:pStyle w:val="FootnoteText"/>
      </w:pPr>
      <w:r w:rsidRPr="005C2FF2">
        <w:tab/>
      </w:r>
      <w:r w:rsidRPr="00A81C62">
        <w:rPr>
          <w:rStyle w:val="FootnoteReference"/>
        </w:rPr>
        <w:footnoteRef/>
      </w:r>
      <w:r w:rsidRPr="005C2FF2">
        <w:tab/>
        <w:t xml:space="preserve">Submissions of REDRESS, </w:t>
      </w:r>
      <w:r w:rsidRPr="00617789">
        <w:t>Michael Kovrig</w:t>
      </w:r>
      <w:r w:rsidRPr="005C2FF2">
        <w:t xml:space="preserve">, </w:t>
      </w:r>
      <w:r>
        <w:t xml:space="preserve">the </w:t>
      </w:r>
      <w:r w:rsidRPr="00412E70">
        <w:t>Human Rights Advisory Group</w:t>
      </w:r>
      <w:r w:rsidRPr="005C2FF2">
        <w:t xml:space="preserve"> and </w:t>
      </w:r>
      <w:r w:rsidRPr="00412E70">
        <w:t>Secure Canada</w:t>
      </w:r>
      <w:r>
        <w:t>,</w:t>
      </w:r>
      <w:r w:rsidRPr="005C2FF2">
        <w:t xml:space="preserve"> and </w:t>
      </w:r>
      <w:r>
        <w:t xml:space="preserve">the </w:t>
      </w:r>
      <w:r w:rsidRPr="005C2FF2">
        <w:t>Soufan Cent</w:t>
      </w:r>
      <w:r>
        <w:t>re</w:t>
      </w:r>
      <w:r w:rsidRPr="005C2FF2">
        <w:t>.</w:t>
      </w:r>
    </w:p>
  </w:footnote>
  <w:footnote w:id="43">
    <w:p w14:paraId="3811FCAE" w14:textId="461A9A83" w:rsidR="0082031F" w:rsidRPr="005C2FF2" w:rsidRDefault="0082031F" w:rsidP="0082031F">
      <w:pPr>
        <w:pStyle w:val="FootnoteText"/>
      </w:pPr>
      <w:r>
        <w:tab/>
      </w:r>
      <w:r w:rsidRPr="00A81C62">
        <w:rPr>
          <w:rStyle w:val="FootnoteReference"/>
        </w:rPr>
        <w:footnoteRef/>
      </w:r>
      <w:r>
        <w:tab/>
        <w:t>For example, the cases of Olivier Vandecasteele, Ana Diamond,</w:t>
      </w:r>
      <w:r>
        <w:rPr>
          <w:rFonts w:asciiTheme="majorBidi" w:hAnsiTheme="majorBidi" w:cstheme="majorBidi"/>
        </w:rPr>
        <w:t xml:space="preserve"> </w:t>
      </w:r>
      <w:r>
        <w:t xml:space="preserve">Nazanin Zaghari-Ratcliffe, Anoosheh Ashoori and Emad Shargi; and submissions of the </w:t>
      </w:r>
      <w:r w:rsidRPr="004611D2">
        <w:t xml:space="preserve">Soufan Centre, </w:t>
      </w:r>
      <w:r w:rsidRPr="00617789">
        <w:t>Anoosheh Ashoori</w:t>
      </w:r>
      <w:r>
        <w:t xml:space="preserve"> and</w:t>
      </w:r>
      <w:r w:rsidRPr="004611D2">
        <w:t xml:space="preserve"> </w:t>
      </w:r>
      <w:r w:rsidRPr="00412E70">
        <w:t>Ana Diamond</w:t>
      </w:r>
      <w:r>
        <w:t xml:space="preserve">. See also </w:t>
      </w:r>
      <w:hyperlink r:id="rId17" w:history="1">
        <w:r w:rsidRPr="0084264A">
          <w:rPr>
            <w:rStyle w:val="Hyperlink"/>
            <w:rFonts w:asciiTheme="majorBidi" w:hAnsiTheme="majorBidi" w:cstheme="majorBidi"/>
          </w:rPr>
          <w:t>A/HRC/WGAD/2016/28</w:t>
        </w:r>
      </w:hyperlink>
      <w:r>
        <w:rPr>
          <w:rFonts w:asciiTheme="majorBidi" w:hAnsiTheme="majorBidi" w:cstheme="majorBidi"/>
        </w:rPr>
        <w:t>,</w:t>
      </w:r>
      <w:r w:rsidRPr="00412E70">
        <w:rPr>
          <w:rFonts w:asciiTheme="majorBidi" w:hAnsiTheme="majorBidi" w:cstheme="majorBidi"/>
        </w:rPr>
        <w:t xml:space="preserve"> </w:t>
      </w:r>
      <w:hyperlink r:id="rId18" w:history="1">
        <w:r w:rsidRPr="0084264A">
          <w:rPr>
            <w:rStyle w:val="Hyperlink"/>
            <w:rFonts w:asciiTheme="majorBidi" w:hAnsiTheme="majorBidi" w:cstheme="majorBidi"/>
          </w:rPr>
          <w:t>A/HRC/WGAD/2021/85</w:t>
        </w:r>
      </w:hyperlink>
      <w:r>
        <w:rPr>
          <w:rFonts w:asciiTheme="majorBidi" w:hAnsiTheme="majorBidi" w:cstheme="majorBidi"/>
        </w:rPr>
        <w:t xml:space="preserve"> and </w:t>
      </w:r>
      <w:hyperlink r:id="rId19" w:history="1">
        <w:r w:rsidRPr="0084264A">
          <w:rPr>
            <w:rStyle w:val="Hyperlink"/>
            <w:rFonts w:asciiTheme="majorBidi" w:hAnsiTheme="majorBidi" w:cstheme="majorBidi"/>
          </w:rPr>
          <w:t>A/HRC/WGAD/2023/37</w:t>
        </w:r>
      </w:hyperlink>
      <w:r w:rsidRPr="005C2FF2">
        <w:rPr>
          <w:rFonts w:asciiTheme="majorBidi" w:hAnsiTheme="majorBidi" w:cstheme="majorBidi"/>
        </w:rPr>
        <w:t>.</w:t>
      </w:r>
    </w:p>
  </w:footnote>
  <w:footnote w:id="44">
    <w:p w14:paraId="251781BE" w14:textId="05A66424" w:rsidR="0082031F" w:rsidRPr="005C2FF2" w:rsidRDefault="0082031F" w:rsidP="0082031F">
      <w:pPr>
        <w:pStyle w:val="FootnoteText"/>
      </w:pPr>
      <w:r w:rsidRPr="005C2FF2">
        <w:tab/>
      </w:r>
      <w:r w:rsidRPr="00A81C62">
        <w:rPr>
          <w:rStyle w:val="FootnoteReference"/>
        </w:rPr>
        <w:footnoteRef/>
      </w:r>
      <w:r w:rsidRPr="005C2FF2">
        <w:tab/>
        <w:t>Submission</w:t>
      </w:r>
      <w:r>
        <w:t>s</w:t>
      </w:r>
      <w:r w:rsidRPr="005C2FF2">
        <w:t xml:space="preserve"> of </w:t>
      </w:r>
      <w:r w:rsidRPr="00412E70">
        <w:t>DIGNITY</w:t>
      </w:r>
      <w:r w:rsidRPr="005C2FF2">
        <w:t xml:space="preserve"> and </w:t>
      </w:r>
      <w:r w:rsidRPr="00617789">
        <w:t>Assistance Association for Political Prisoners</w:t>
      </w:r>
      <w:r w:rsidRPr="005C2FF2">
        <w:t xml:space="preserve"> (Myanmar).</w:t>
      </w:r>
    </w:p>
  </w:footnote>
  <w:footnote w:id="45">
    <w:p w14:paraId="11D92A65" w14:textId="77777777" w:rsidR="0082031F" w:rsidRPr="00AB2D70" w:rsidRDefault="0082031F" w:rsidP="0082031F">
      <w:pPr>
        <w:pStyle w:val="FootnoteText"/>
      </w:pPr>
      <w:r w:rsidRPr="005C2FF2">
        <w:tab/>
      </w:r>
      <w:r w:rsidRPr="00A81C62">
        <w:rPr>
          <w:rStyle w:val="FootnoteReference"/>
        </w:rPr>
        <w:footnoteRef/>
      </w:r>
      <w:r w:rsidRPr="005C2FF2">
        <w:tab/>
        <w:t>For example</w:t>
      </w:r>
      <w:r>
        <w:t>,</w:t>
      </w:r>
      <w:r w:rsidRPr="005C2FF2">
        <w:t xml:space="preserve"> the case of Evan Gershkovich</w:t>
      </w:r>
      <w:r>
        <w:t>; and</w:t>
      </w:r>
      <w:r w:rsidRPr="005C2FF2">
        <w:t xml:space="preserve"> </w:t>
      </w:r>
      <w:r>
        <w:t>s</w:t>
      </w:r>
      <w:r w:rsidRPr="005C2FF2">
        <w:t xml:space="preserve">ubmissions of </w:t>
      </w:r>
      <w:r>
        <w:t xml:space="preserve">the </w:t>
      </w:r>
      <w:r w:rsidRPr="005C2FF2">
        <w:t>Memorial Human Rights Defence Centre</w:t>
      </w:r>
      <w:r>
        <w:t>, the New Dissidents Foundation and the Norwegian Helsinki Committee.</w:t>
      </w:r>
    </w:p>
  </w:footnote>
  <w:footnote w:id="46">
    <w:p w14:paraId="533C2C66" w14:textId="77777777" w:rsidR="0082031F" w:rsidRPr="00876757" w:rsidRDefault="0082031F" w:rsidP="0082031F">
      <w:pPr>
        <w:pStyle w:val="FootnoteText"/>
      </w:pPr>
      <w:r>
        <w:tab/>
      </w:r>
      <w:r w:rsidRPr="00A81C62">
        <w:rPr>
          <w:rStyle w:val="FootnoteReference"/>
        </w:rPr>
        <w:footnoteRef/>
      </w:r>
      <w:r>
        <w:tab/>
        <w:t>See</w:t>
      </w:r>
      <w:r w:rsidDel="00E24DAE">
        <w:t xml:space="preserve"> </w:t>
      </w:r>
      <w:r>
        <w:t xml:space="preserve">cases of </w:t>
      </w:r>
      <w:r w:rsidRPr="00706D21">
        <w:t xml:space="preserve">Ryan Cornelius </w:t>
      </w:r>
      <w:r w:rsidRPr="00706D21" w:rsidDel="00E24DAE">
        <w:t>(national</w:t>
      </w:r>
      <w:r>
        <w:t xml:space="preserve"> of the United Kingdom of Great Britain and Northern Ireland</w:t>
      </w:r>
      <w:r w:rsidRPr="00706D21" w:rsidDel="00E24DAE">
        <w:t xml:space="preserve">) </w:t>
      </w:r>
      <w:r w:rsidRPr="00706D21">
        <w:t>and Zack Shahin</w:t>
      </w:r>
      <w:r w:rsidRPr="00706D21" w:rsidDel="00E24DAE">
        <w:t xml:space="preserve"> (</w:t>
      </w:r>
      <w:r w:rsidDel="00E24DAE">
        <w:t>n</w:t>
      </w:r>
      <w:r w:rsidRPr="00706D21" w:rsidDel="00E24DAE">
        <w:t>ational</w:t>
      </w:r>
      <w:r>
        <w:t xml:space="preserve"> of the United States</w:t>
      </w:r>
      <w:r w:rsidRPr="00706D21" w:rsidDel="00E24DAE">
        <w:t>)</w:t>
      </w:r>
      <w:r>
        <w:t>, who were</w:t>
      </w:r>
      <w:r w:rsidRPr="00706D21" w:rsidDel="00E24DAE">
        <w:t xml:space="preserve"> detained in the United Arab Emirates and </w:t>
      </w:r>
      <w:r>
        <w:t xml:space="preserve">have </w:t>
      </w:r>
      <w:r w:rsidRPr="00706D21" w:rsidDel="00E24DAE">
        <w:t>remain</w:t>
      </w:r>
      <w:r>
        <w:t>ed</w:t>
      </w:r>
      <w:r w:rsidRPr="00706D21" w:rsidDel="00E24DAE">
        <w:t xml:space="preserve"> in prison</w:t>
      </w:r>
      <w:r w:rsidDel="00E24DAE">
        <w:t xml:space="preserve"> since 2008</w:t>
      </w:r>
      <w:r>
        <w:t>,</w:t>
      </w:r>
      <w:r w:rsidDel="00E24DAE">
        <w:t xml:space="preserve"> </w:t>
      </w:r>
      <w:r>
        <w:t>reportedly to advance S</w:t>
      </w:r>
      <w:r w:rsidDel="00E24DAE">
        <w:t xml:space="preserve">tate commercial and political </w:t>
      </w:r>
      <w:proofErr w:type="gramStart"/>
      <w:r w:rsidDel="00E24DAE">
        <w:t>interests</w:t>
      </w:r>
      <w:r>
        <w:t>;</w:t>
      </w:r>
      <w:proofErr w:type="gramEnd"/>
      <w:r>
        <w:t xml:space="preserve"> and submission of International Human Rights Advisors.</w:t>
      </w:r>
    </w:p>
  </w:footnote>
  <w:footnote w:id="47">
    <w:p w14:paraId="46801860" w14:textId="77777777" w:rsidR="0082031F" w:rsidRPr="00876757" w:rsidRDefault="0082031F" w:rsidP="0082031F">
      <w:pPr>
        <w:pStyle w:val="FootnoteText"/>
      </w:pPr>
      <w:r>
        <w:tab/>
      </w:r>
      <w:r w:rsidRPr="00A81C62">
        <w:rPr>
          <w:rStyle w:val="FootnoteReference"/>
        </w:rPr>
        <w:footnoteRef/>
      </w:r>
      <w:r>
        <w:tab/>
        <w:t>Submissions of Edgar Jose Marval Moreno and Jose Pereira.</w:t>
      </w:r>
    </w:p>
  </w:footnote>
  <w:footnote w:id="48">
    <w:p w14:paraId="3B33F41D" w14:textId="2C8FF88D" w:rsidR="0082031F" w:rsidRPr="001C647E" w:rsidRDefault="0082031F" w:rsidP="0082031F">
      <w:pPr>
        <w:pStyle w:val="FootnoteText"/>
      </w:pPr>
      <w:r>
        <w:tab/>
      </w:r>
      <w:r w:rsidRPr="00A81C62">
        <w:rPr>
          <w:rStyle w:val="FootnoteReference"/>
        </w:rPr>
        <w:footnoteRef/>
      </w:r>
      <w:r>
        <w:tab/>
        <w:t xml:space="preserve">Carla </w:t>
      </w:r>
      <w:r w:rsidRPr="001C647E">
        <w:rPr>
          <w:color w:val="222222"/>
          <w:shd w:val="clear" w:color="auto" w:fill="FFFFFF"/>
        </w:rPr>
        <w:t>Ferstman</w:t>
      </w:r>
      <w:r>
        <w:rPr>
          <w:color w:val="222222"/>
          <w:shd w:val="clear" w:color="auto" w:fill="FFFFFF"/>
        </w:rPr>
        <w:t xml:space="preserve"> and Marina</w:t>
      </w:r>
      <w:r w:rsidRPr="001C647E">
        <w:rPr>
          <w:color w:val="222222"/>
          <w:shd w:val="clear" w:color="auto" w:fill="FFFFFF"/>
        </w:rPr>
        <w:t xml:space="preserve"> Sharpe</w:t>
      </w:r>
      <w:r>
        <w:rPr>
          <w:color w:val="222222"/>
          <w:shd w:val="clear" w:color="auto" w:fill="FFFFFF"/>
        </w:rPr>
        <w:t>,</w:t>
      </w:r>
      <w:r w:rsidRPr="001C647E">
        <w:rPr>
          <w:color w:val="222222"/>
          <w:shd w:val="clear" w:color="auto" w:fill="FFFFFF"/>
        </w:rPr>
        <w:t xml:space="preserve"> </w:t>
      </w:r>
      <w:r w:rsidR="006B49D7">
        <w:rPr>
          <w:color w:val="222222"/>
          <w:shd w:val="clear" w:color="auto" w:fill="FFFFFF"/>
        </w:rPr>
        <w:t>“</w:t>
      </w:r>
      <w:r w:rsidRPr="001C647E">
        <w:rPr>
          <w:color w:val="222222"/>
          <w:shd w:val="clear" w:color="auto" w:fill="FFFFFF"/>
        </w:rPr>
        <w:t>Iran</w:t>
      </w:r>
      <w:r w:rsidR="006B49D7">
        <w:rPr>
          <w:color w:val="222222"/>
          <w:shd w:val="clear" w:color="auto" w:fill="FFFFFF"/>
        </w:rPr>
        <w:t>’</w:t>
      </w:r>
      <w:r w:rsidRPr="001C647E">
        <w:rPr>
          <w:color w:val="222222"/>
          <w:shd w:val="clear" w:color="auto" w:fill="FFFFFF"/>
        </w:rPr>
        <w:t>s arbitrary detention of foreign and dual nationals as hostage-taking and crimes against humanity</w:t>
      </w:r>
      <w:r w:rsidR="006B49D7">
        <w:rPr>
          <w:color w:val="222222"/>
          <w:shd w:val="clear" w:color="auto" w:fill="FFFFFF"/>
        </w:rPr>
        <w:t>”</w:t>
      </w:r>
      <w:r>
        <w:rPr>
          <w:color w:val="222222"/>
          <w:shd w:val="clear" w:color="auto" w:fill="FFFFFF"/>
        </w:rPr>
        <w:t>,</w:t>
      </w:r>
      <w:r w:rsidRPr="001C647E">
        <w:rPr>
          <w:color w:val="222222"/>
          <w:shd w:val="clear" w:color="auto" w:fill="FFFFFF"/>
        </w:rPr>
        <w:t xml:space="preserve"> </w:t>
      </w:r>
      <w:r w:rsidRPr="008F4301">
        <w:rPr>
          <w:i/>
          <w:iCs/>
          <w:color w:val="222222"/>
          <w:shd w:val="clear" w:color="auto" w:fill="FFFFFF"/>
        </w:rPr>
        <w:t>Journal of International Criminal Justice</w:t>
      </w:r>
      <w:r w:rsidRPr="001C647E">
        <w:rPr>
          <w:color w:val="222222"/>
          <w:shd w:val="clear" w:color="auto" w:fill="FFFFFF"/>
        </w:rPr>
        <w:t xml:space="preserve">, </w:t>
      </w:r>
      <w:r>
        <w:rPr>
          <w:color w:val="222222"/>
          <w:shd w:val="clear" w:color="auto" w:fill="FFFFFF"/>
        </w:rPr>
        <w:t>vol. 20, No.</w:t>
      </w:r>
      <w:r w:rsidR="000B629E">
        <w:rPr>
          <w:color w:val="222222"/>
          <w:shd w:val="clear" w:color="auto" w:fill="FFFFFF"/>
        </w:rPr>
        <w:t> </w:t>
      </w:r>
      <w:r>
        <w:rPr>
          <w:color w:val="222222"/>
          <w:shd w:val="clear" w:color="auto" w:fill="FFFFFF"/>
        </w:rPr>
        <w:t>2 (</w:t>
      </w:r>
      <w:r w:rsidRPr="001C647E">
        <w:rPr>
          <w:color w:val="222222"/>
          <w:shd w:val="clear" w:color="auto" w:fill="FFFFFF"/>
        </w:rPr>
        <w:t>May 2022</w:t>
      </w:r>
      <w:r>
        <w:rPr>
          <w:color w:val="222222"/>
          <w:shd w:val="clear" w:color="auto" w:fill="FFFFFF"/>
        </w:rPr>
        <w:t>)</w:t>
      </w:r>
      <w:r w:rsidRPr="001C647E">
        <w:rPr>
          <w:color w:val="222222"/>
          <w:shd w:val="clear" w:color="auto" w:fill="FFFFFF"/>
        </w:rPr>
        <w:t>, p. 403.</w:t>
      </w:r>
    </w:p>
  </w:footnote>
  <w:footnote w:id="49">
    <w:p w14:paraId="5328E330" w14:textId="77777777" w:rsidR="0082031F" w:rsidRPr="004611D2" w:rsidRDefault="0082031F" w:rsidP="0082031F">
      <w:pPr>
        <w:pStyle w:val="FootnoteText"/>
        <w:contextualSpacing/>
      </w:pPr>
      <w:r>
        <w:tab/>
      </w:r>
      <w:r w:rsidRPr="00A81C62">
        <w:rPr>
          <w:rStyle w:val="FootnoteReference"/>
        </w:rPr>
        <w:footnoteRef/>
      </w:r>
      <w:r>
        <w:tab/>
      </w:r>
      <w:r w:rsidRPr="004611D2">
        <w:t xml:space="preserve">Submissions of </w:t>
      </w:r>
      <w:r>
        <w:t xml:space="preserve">the </w:t>
      </w:r>
      <w:r w:rsidRPr="004611D2">
        <w:t>Soufan Centre</w:t>
      </w:r>
      <w:r>
        <w:t xml:space="preserve"> and</w:t>
      </w:r>
      <w:r w:rsidRPr="004611D2">
        <w:t xml:space="preserve"> Protect Humanitarians.</w:t>
      </w:r>
    </w:p>
  </w:footnote>
  <w:footnote w:id="50">
    <w:p w14:paraId="62A07C6E" w14:textId="77777777" w:rsidR="0082031F" w:rsidRPr="004611D2" w:rsidRDefault="0082031F" w:rsidP="0082031F">
      <w:pPr>
        <w:pStyle w:val="FootnoteText"/>
        <w:contextualSpacing/>
      </w:pPr>
      <w:r>
        <w:tab/>
      </w:r>
      <w:r w:rsidRPr="00A81C62">
        <w:rPr>
          <w:rStyle w:val="FootnoteReference"/>
        </w:rPr>
        <w:footnoteRef/>
      </w:r>
      <w:r>
        <w:tab/>
      </w:r>
      <w:r w:rsidRPr="004611D2">
        <w:t>Submission</w:t>
      </w:r>
      <w:r>
        <w:t>s</w:t>
      </w:r>
      <w:r w:rsidRPr="004611D2">
        <w:t xml:space="preserve"> of Ukraine</w:t>
      </w:r>
      <w:r>
        <w:t>.</w:t>
      </w:r>
    </w:p>
  </w:footnote>
  <w:footnote w:id="51">
    <w:p w14:paraId="41D2798D" w14:textId="77777777" w:rsidR="0082031F" w:rsidRPr="004611D2" w:rsidRDefault="0082031F" w:rsidP="0082031F">
      <w:pPr>
        <w:pStyle w:val="FootnoteText"/>
        <w:contextualSpacing/>
      </w:pPr>
      <w:r>
        <w:tab/>
      </w:r>
      <w:r w:rsidRPr="00A81C62">
        <w:rPr>
          <w:rStyle w:val="FootnoteReference"/>
        </w:rPr>
        <w:footnoteRef/>
      </w:r>
      <w:r>
        <w:tab/>
      </w:r>
      <w:r w:rsidRPr="004611D2">
        <w:t>Submission</w:t>
      </w:r>
      <w:r>
        <w:t>s</w:t>
      </w:r>
      <w:r w:rsidRPr="004611D2">
        <w:t xml:space="preserve"> of </w:t>
      </w:r>
      <w:r>
        <w:t xml:space="preserve">the </w:t>
      </w:r>
      <w:r w:rsidRPr="004611D2">
        <w:t>Association of Reintegration of Crimea</w:t>
      </w:r>
      <w:r>
        <w:t xml:space="preserve"> and the Maat for Peace, Development and Human Rights Association</w:t>
      </w:r>
      <w:r w:rsidRPr="004611D2">
        <w:t>.</w:t>
      </w:r>
    </w:p>
  </w:footnote>
  <w:footnote w:id="52">
    <w:p w14:paraId="428DFE26" w14:textId="77777777" w:rsidR="0082031F" w:rsidRPr="00A60825" w:rsidRDefault="0082031F" w:rsidP="0082031F">
      <w:pPr>
        <w:pStyle w:val="FootnoteText"/>
      </w:pPr>
      <w:r>
        <w:tab/>
      </w:r>
      <w:r w:rsidRPr="00A81C62">
        <w:rPr>
          <w:rStyle w:val="FootnoteReference"/>
        </w:rPr>
        <w:footnoteRef/>
      </w:r>
      <w:r>
        <w:tab/>
        <w:t xml:space="preserve">See </w:t>
      </w:r>
      <w:r w:rsidRPr="001C3239">
        <w:t>https://www.icc-cpi.int/news/situation-ukraine-icc-judges-issue-arrest-warrants-against-vladimir-vladimirovich-putin-and</w:t>
      </w:r>
      <w:r>
        <w:t>.</w:t>
      </w:r>
    </w:p>
  </w:footnote>
  <w:footnote w:id="53">
    <w:p w14:paraId="5C5BCF2B" w14:textId="77777777" w:rsidR="0082031F" w:rsidRPr="004611D2" w:rsidRDefault="0082031F" w:rsidP="0082031F">
      <w:pPr>
        <w:pStyle w:val="FootnoteText"/>
        <w:contextualSpacing/>
      </w:pPr>
      <w:r>
        <w:tab/>
      </w:r>
      <w:r w:rsidRPr="00A81C62">
        <w:rPr>
          <w:rStyle w:val="FootnoteReference"/>
        </w:rPr>
        <w:footnoteRef/>
      </w:r>
      <w:r>
        <w:tab/>
      </w:r>
      <w:r w:rsidRPr="004611D2">
        <w:t xml:space="preserve">Submission of </w:t>
      </w:r>
      <w:r>
        <w:t xml:space="preserve">the </w:t>
      </w:r>
      <w:r w:rsidRPr="004611D2">
        <w:t>Association of Reintegration of Crimea.</w:t>
      </w:r>
    </w:p>
  </w:footnote>
  <w:footnote w:id="54">
    <w:p w14:paraId="49279CE1" w14:textId="77777777" w:rsidR="0082031F" w:rsidRPr="002E6E62" w:rsidRDefault="0082031F" w:rsidP="0082031F">
      <w:pPr>
        <w:pStyle w:val="FootnoteText"/>
      </w:pPr>
      <w:r>
        <w:tab/>
      </w:r>
      <w:r w:rsidRPr="00A81C62">
        <w:rPr>
          <w:rStyle w:val="FootnoteReference"/>
        </w:rPr>
        <w:footnoteRef/>
      </w:r>
      <w:r w:rsidRPr="002E6E62">
        <w:tab/>
        <w:t xml:space="preserve">Submission of Crew </w:t>
      </w:r>
      <w:r>
        <w:t>a</w:t>
      </w:r>
      <w:r w:rsidRPr="002E6E62">
        <w:t>gainst Torture.</w:t>
      </w:r>
    </w:p>
  </w:footnote>
  <w:footnote w:id="55">
    <w:p w14:paraId="0FBA5209" w14:textId="77777777" w:rsidR="0082031F" w:rsidRPr="002E6E62" w:rsidRDefault="0082031F" w:rsidP="0082031F">
      <w:pPr>
        <w:pStyle w:val="FootnoteText"/>
      </w:pPr>
      <w:r w:rsidRPr="002E6E62">
        <w:tab/>
      </w:r>
      <w:r w:rsidRPr="00A81C62">
        <w:rPr>
          <w:rStyle w:val="FootnoteReference"/>
        </w:rPr>
        <w:footnoteRef/>
      </w:r>
      <w:r w:rsidRPr="002E6E62">
        <w:tab/>
        <w:t xml:space="preserve">Submission of DIGNITY and </w:t>
      </w:r>
      <w:r>
        <w:t xml:space="preserve">the </w:t>
      </w:r>
      <w:r w:rsidRPr="00617789">
        <w:t>Assistance Association of Political Prisoners</w:t>
      </w:r>
      <w:r w:rsidRPr="002E6E62">
        <w:t xml:space="preserve"> (Myanmar).</w:t>
      </w:r>
    </w:p>
  </w:footnote>
  <w:footnote w:id="56">
    <w:p w14:paraId="79E9E521" w14:textId="77777777" w:rsidR="0082031F" w:rsidRPr="008E5F0C" w:rsidRDefault="0082031F" w:rsidP="0082031F">
      <w:pPr>
        <w:pStyle w:val="FootnoteText"/>
      </w:pPr>
      <w:r w:rsidRPr="002E6E62">
        <w:tab/>
      </w:r>
      <w:r w:rsidRPr="00A81C62">
        <w:rPr>
          <w:rStyle w:val="FootnoteReference"/>
        </w:rPr>
        <w:footnoteRef/>
      </w:r>
      <w:r w:rsidRPr="002E6E62">
        <w:tab/>
        <w:t>Submission of Canada.</w:t>
      </w:r>
    </w:p>
  </w:footnote>
  <w:footnote w:id="57">
    <w:p w14:paraId="1D08163B" w14:textId="77777777" w:rsidR="0082031F" w:rsidRPr="00F5637E" w:rsidRDefault="0082031F" w:rsidP="0082031F">
      <w:pPr>
        <w:pStyle w:val="FootnoteText"/>
      </w:pPr>
      <w:r>
        <w:tab/>
      </w:r>
      <w:r w:rsidRPr="00A81C62">
        <w:rPr>
          <w:rStyle w:val="FootnoteReference"/>
        </w:rPr>
        <w:footnoteRef/>
      </w:r>
      <w:r>
        <w:tab/>
        <w:t xml:space="preserve">See </w:t>
      </w:r>
      <w:r w:rsidRPr="00A042C3">
        <w:t>https://www.international.gc.ca/world-monde/issues_development-enjeux_developpement/human_rights-droits_homme/arbitrary_detention-detention_arbitraire.aspx?lang=eng</w:t>
      </w:r>
      <w:r>
        <w:t>.</w:t>
      </w:r>
    </w:p>
  </w:footnote>
  <w:footnote w:id="58">
    <w:p w14:paraId="5A4996FF" w14:textId="77777777" w:rsidR="0082031F" w:rsidRPr="00EB2935" w:rsidRDefault="0082031F" w:rsidP="0082031F">
      <w:pPr>
        <w:pStyle w:val="FootnoteText"/>
      </w:pPr>
      <w:r>
        <w:tab/>
      </w:r>
      <w:r w:rsidRPr="00A81C62">
        <w:rPr>
          <w:rStyle w:val="FootnoteReference"/>
        </w:rPr>
        <w:footnoteRef/>
      </w:r>
      <w:r>
        <w:tab/>
      </w:r>
      <w:r w:rsidRPr="00EB2935">
        <w:t xml:space="preserve">See </w:t>
      </w:r>
      <w:r w:rsidRPr="00110300">
        <w:t>ICRC</w:t>
      </w:r>
      <w:r>
        <w:t>,</w:t>
      </w:r>
      <w:r w:rsidRPr="00110300">
        <w:t xml:space="preserve"> </w:t>
      </w:r>
      <w:r w:rsidRPr="008F4301">
        <w:rPr>
          <w:i/>
          <w:iCs/>
        </w:rPr>
        <w:t xml:space="preserve">Commentary on the Third Geneva Convention: Convention III </w:t>
      </w:r>
      <w:r>
        <w:rPr>
          <w:i/>
          <w:iCs/>
        </w:rPr>
        <w:t>relative</w:t>
      </w:r>
      <w:r w:rsidRPr="008F4301">
        <w:rPr>
          <w:i/>
          <w:iCs/>
        </w:rPr>
        <w:t xml:space="preserve"> to the Treatment of Prisoners of War</w:t>
      </w:r>
      <w:r w:rsidRPr="0064298F">
        <w:t xml:space="preserve"> (Cambridge University Press, 202</w:t>
      </w:r>
      <w:r>
        <w:t>1), c</w:t>
      </w:r>
      <w:r w:rsidRPr="00110300">
        <w:t xml:space="preserve">ommentary on </w:t>
      </w:r>
      <w:r>
        <w:t>c</w:t>
      </w:r>
      <w:r w:rsidRPr="00110300">
        <w:t xml:space="preserve">ommon </w:t>
      </w:r>
      <w:r>
        <w:t>a</w:t>
      </w:r>
      <w:r w:rsidRPr="00110300">
        <w:t xml:space="preserve">rticle 3; </w:t>
      </w:r>
      <w:r>
        <w:t xml:space="preserve">and </w:t>
      </w:r>
      <w:r w:rsidRPr="00A804C4">
        <w:t xml:space="preserve">Jean-Marie Henckaerts and Louise Doswald-Beck, </w:t>
      </w:r>
      <w:r w:rsidRPr="008F4301">
        <w:rPr>
          <w:i/>
          <w:iCs/>
        </w:rPr>
        <w:t>Customary International Humanitarian Law: Volume I – Rules</w:t>
      </w:r>
      <w:r w:rsidRPr="00A804C4">
        <w:t xml:space="preserve"> (Cambridge, United Kingdom of Great Britain and Northern Ireland, Cambridge University Press, 2005),</w:t>
      </w:r>
      <w:r>
        <w:t xml:space="preserve"> r</w:t>
      </w:r>
      <w:r w:rsidRPr="00EB2935">
        <w:t>ule 96</w:t>
      </w:r>
      <w:r>
        <w:t>.</w:t>
      </w:r>
    </w:p>
  </w:footnote>
  <w:footnote w:id="59">
    <w:p w14:paraId="54328C01" w14:textId="6552C851" w:rsidR="0082031F" w:rsidRPr="001C7F3D" w:rsidRDefault="0082031F" w:rsidP="0082031F">
      <w:pPr>
        <w:pStyle w:val="FootnoteText"/>
      </w:pPr>
      <w:r>
        <w:tab/>
      </w:r>
      <w:r w:rsidRPr="00A81C62">
        <w:rPr>
          <w:rStyle w:val="FootnoteReference"/>
        </w:rPr>
        <w:footnoteRef/>
      </w:r>
      <w:r>
        <w:tab/>
      </w:r>
      <w:r w:rsidRPr="00E67BE2">
        <w:t>International Convention against the Taking of Hostages</w:t>
      </w:r>
      <w:r>
        <w:t>, p</w:t>
      </w:r>
      <w:r w:rsidRPr="00EB2935">
        <w:t xml:space="preserve">reamble. </w:t>
      </w:r>
      <w:r>
        <w:t xml:space="preserve">See </w:t>
      </w:r>
      <w:r w:rsidRPr="00EB2935">
        <w:t>B</w:t>
      </w:r>
      <w:r>
        <w:t>en</w:t>
      </w:r>
      <w:r w:rsidRPr="00EB2935">
        <w:t xml:space="preserve"> Saul, </w:t>
      </w:r>
      <w:r w:rsidR="006B49D7">
        <w:t>“</w:t>
      </w:r>
      <w:r w:rsidRPr="00EB2935">
        <w:t xml:space="preserve">Introductory </w:t>
      </w:r>
      <w:r>
        <w:t>n</w:t>
      </w:r>
      <w:r w:rsidRPr="00EB2935">
        <w:t>ote: International Convention against the Taking of Hostages, New York, 17 December 1979</w:t>
      </w:r>
      <w:r w:rsidR="006B49D7">
        <w:t>”</w:t>
      </w:r>
      <w:r w:rsidRPr="00EB2935">
        <w:t xml:space="preserve"> </w:t>
      </w:r>
      <w:r>
        <w:t>(</w:t>
      </w:r>
      <w:r w:rsidRPr="00EB2935">
        <w:t>United</w:t>
      </w:r>
      <w:r w:rsidR="00520CEE">
        <w:t> </w:t>
      </w:r>
      <w:r w:rsidRPr="00EB2935">
        <w:t>Nations Audiovisual Library of International Law</w:t>
      </w:r>
      <w:r>
        <w:t xml:space="preserve">, 2014), available at </w:t>
      </w:r>
      <w:r w:rsidRPr="00D52EC6">
        <w:t>https://legal.un.org/avl/ha/icath/icath.html</w:t>
      </w:r>
      <w:r w:rsidRPr="00EB2935">
        <w:t>.</w:t>
      </w:r>
    </w:p>
  </w:footnote>
  <w:footnote w:id="60">
    <w:p w14:paraId="3231D443" w14:textId="77777777" w:rsidR="0082031F" w:rsidRPr="001C7F3D" w:rsidRDefault="0082031F" w:rsidP="0082031F">
      <w:pPr>
        <w:pStyle w:val="FootnoteText"/>
      </w:pPr>
      <w:r>
        <w:tab/>
      </w:r>
      <w:r w:rsidRPr="00A81C62">
        <w:rPr>
          <w:rStyle w:val="FootnoteReference"/>
        </w:rPr>
        <w:footnoteRef/>
      </w:r>
      <w:r>
        <w:tab/>
      </w:r>
      <w:r w:rsidRPr="00041041">
        <w:t xml:space="preserve">See </w:t>
      </w:r>
      <w:r w:rsidRPr="00110300">
        <w:t>Convention for the Suppression of Unlawful Seizure of Aircraft</w:t>
      </w:r>
      <w:r w:rsidRPr="00EB2935">
        <w:t xml:space="preserve"> </w:t>
      </w:r>
      <w:r>
        <w:t>and</w:t>
      </w:r>
      <w:r w:rsidRPr="00EB2935">
        <w:t xml:space="preserve"> Convention </w:t>
      </w:r>
      <w:r>
        <w:t>for</w:t>
      </w:r>
      <w:r w:rsidRPr="00EB2935">
        <w:t xml:space="preserve"> the Suppression of Unlawful Acts </w:t>
      </w:r>
      <w:r>
        <w:t>A</w:t>
      </w:r>
      <w:r w:rsidRPr="00EB2935">
        <w:t>gainst the Safety of Civil Aviation.</w:t>
      </w:r>
    </w:p>
  </w:footnote>
  <w:footnote w:id="61">
    <w:p w14:paraId="3CA8D646" w14:textId="77777777" w:rsidR="0082031F" w:rsidRPr="001C7F3D" w:rsidRDefault="0082031F" w:rsidP="0082031F">
      <w:pPr>
        <w:pStyle w:val="FootnoteText"/>
      </w:pPr>
      <w:r>
        <w:tab/>
      </w:r>
      <w:r w:rsidRPr="00A81C62">
        <w:rPr>
          <w:rStyle w:val="FootnoteReference"/>
        </w:rPr>
        <w:footnoteRef/>
      </w:r>
      <w:r>
        <w:tab/>
      </w:r>
      <w:r w:rsidRPr="00041041">
        <w:t>See Convention on the Prevention and Punishment of Crimes against Internationally Protected Persons, including Diplomatic Agents.</w:t>
      </w:r>
    </w:p>
  </w:footnote>
  <w:footnote w:id="62">
    <w:p w14:paraId="3430FD4B" w14:textId="7ECB2016" w:rsidR="0082031F" w:rsidRPr="00EB2935" w:rsidRDefault="0082031F" w:rsidP="0082031F">
      <w:pPr>
        <w:pStyle w:val="FootnoteText"/>
      </w:pPr>
      <w:r>
        <w:tab/>
      </w:r>
      <w:r w:rsidRPr="00A81C62">
        <w:rPr>
          <w:rStyle w:val="FootnoteReference"/>
        </w:rPr>
        <w:footnoteRef/>
      </w:r>
      <w:r>
        <w:tab/>
      </w:r>
      <w:r w:rsidRPr="00E67BE2">
        <w:t>International Convention against the Taking of Hostages</w:t>
      </w:r>
      <w:r w:rsidRPr="00EB2935">
        <w:t xml:space="preserve">, </w:t>
      </w:r>
      <w:r w:rsidRPr="00041041">
        <w:t xml:space="preserve">in particular </w:t>
      </w:r>
      <w:r>
        <w:t>a</w:t>
      </w:r>
      <w:r w:rsidRPr="00110300">
        <w:t xml:space="preserve">rticles </w:t>
      </w:r>
      <w:r w:rsidRPr="003A0791">
        <w:t>1</w:t>
      </w:r>
      <w:r w:rsidR="00971C57">
        <w:t xml:space="preserve"> </w:t>
      </w:r>
      <w:r w:rsidRPr="003A0791">
        <w:t>(2), 2, 3 and 4</w:t>
      </w:r>
      <w:r w:rsidRPr="007061EF">
        <w:t>.</w:t>
      </w:r>
    </w:p>
  </w:footnote>
  <w:footnote w:id="63">
    <w:p w14:paraId="5671F31F" w14:textId="77777777" w:rsidR="0082031F" w:rsidRPr="008F4301" w:rsidRDefault="0082031F" w:rsidP="0082031F">
      <w:pPr>
        <w:pStyle w:val="FootnoteText"/>
      </w:pPr>
      <w:r>
        <w:tab/>
      </w:r>
      <w:r w:rsidRPr="00A81C62">
        <w:rPr>
          <w:rStyle w:val="FootnoteReference"/>
        </w:rPr>
        <w:footnoteRef/>
      </w:r>
      <w:r w:rsidRPr="008F4301">
        <w:tab/>
        <w:t>Ibid., art. 12.</w:t>
      </w:r>
    </w:p>
  </w:footnote>
  <w:footnote w:id="64">
    <w:p w14:paraId="6C88D409" w14:textId="77777777" w:rsidR="0082031F" w:rsidRPr="008F4301" w:rsidRDefault="0082031F" w:rsidP="0082031F">
      <w:pPr>
        <w:pStyle w:val="FootnoteText"/>
      </w:pPr>
      <w:r w:rsidRPr="008F4301">
        <w:tab/>
      </w:r>
      <w:r w:rsidRPr="00A81C62">
        <w:rPr>
          <w:rStyle w:val="FootnoteReference"/>
        </w:rPr>
        <w:footnoteRef/>
      </w:r>
      <w:r w:rsidRPr="008F4301">
        <w:tab/>
        <w:t>Ibid., art. 13</w:t>
      </w:r>
      <w:r w:rsidRPr="008F4301">
        <w:rPr>
          <w:color w:val="000000" w:themeColor="text1"/>
        </w:rPr>
        <w:t>.</w:t>
      </w:r>
    </w:p>
  </w:footnote>
  <w:footnote w:id="65">
    <w:p w14:paraId="583B4D10" w14:textId="77777777" w:rsidR="0082031F" w:rsidRPr="002E6E62" w:rsidRDefault="0082031F" w:rsidP="0082031F">
      <w:pPr>
        <w:pStyle w:val="FootnoteText"/>
      </w:pPr>
      <w:r w:rsidRPr="001241AF">
        <w:tab/>
      </w:r>
      <w:r w:rsidRPr="00A81C62">
        <w:rPr>
          <w:rStyle w:val="FootnoteReference"/>
        </w:rPr>
        <w:footnoteRef/>
      </w:r>
      <w:r w:rsidRPr="002E6E62">
        <w:tab/>
        <w:t>Submission of Danielle Gilbert.</w:t>
      </w:r>
    </w:p>
  </w:footnote>
  <w:footnote w:id="66">
    <w:p w14:paraId="760838F3" w14:textId="77777777" w:rsidR="0082031F" w:rsidRPr="002E6E62" w:rsidRDefault="0082031F" w:rsidP="0082031F">
      <w:pPr>
        <w:pStyle w:val="FootnoteText"/>
      </w:pPr>
      <w:r w:rsidRPr="002E6E62">
        <w:tab/>
      </w:r>
      <w:r w:rsidRPr="00A81C62">
        <w:rPr>
          <w:rStyle w:val="FootnoteReference"/>
        </w:rPr>
        <w:footnoteRef/>
      </w:r>
      <w:r w:rsidRPr="002E6E62">
        <w:tab/>
        <w:t xml:space="preserve">This is also the position of Joseph </w:t>
      </w:r>
      <w:r>
        <w:t xml:space="preserve">J. </w:t>
      </w:r>
      <w:r w:rsidRPr="002E6E62">
        <w:t>Lambert, </w:t>
      </w:r>
      <w:r w:rsidRPr="002E6E62">
        <w:rPr>
          <w:i/>
          <w:iCs/>
        </w:rPr>
        <w:t>Terrorism and Hostages in International Law: A Commentary on the Hostages Convention 1979</w:t>
      </w:r>
      <w:r w:rsidRPr="002E6E62">
        <w:t xml:space="preserve"> </w:t>
      </w:r>
      <w:r>
        <w:t xml:space="preserve">(Cambridge, United Kingdom, </w:t>
      </w:r>
      <w:r w:rsidRPr="002E6E62">
        <w:t>Grotius Publ</w:t>
      </w:r>
      <w:r>
        <w:t>ications</w:t>
      </w:r>
      <w:r w:rsidRPr="002E6E62">
        <w:t>, 199</w:t>
      </w:r>
      <w:r>
        <w:t>0</w:t>
      </w:r>
      <w:r w:rsidRPr="00202DC4">
        <w:t>), pp. 79 and 80</w:t>
      </w:r>
      <w:r>
        <w:t>;</w:t>
      </w:r>
      <w:r w:rsidRPr="002E6E62">
        <w:t xml:space="preserve"> and </w:t>
      </w:r>
      <w:r>
        <w:t xml:space="preserve">Carla </w:t>
      </w:r>
      <w:r w:rsidRPr="002E6E62">
        <w:t xml:space="preserve">Ferstman, </w:t>
      </w:r>
      <w:r w:rsidRPr="002E6E62">
        <w:rPr>
          <w:i/>
          <w:iCs/>
        </w:rPr>
        <w:t>Conceptualising Arbitrary Detention: Power, Punishment and Control</w:t>
      </w:r>
      <w:r w:rsidRPr="002E6E62">
        <w:t xml:space="preserve"> (</w:t>
      </w:r>
      <w:r>
        <w:t xml:space="preserve">Bristol, </w:t>
      </w:r>
      <w:r w:rsidRPr="002E6E62">
        <w:t>Bristol University Press, 2024), p. 227.</w:t>
      </w:r>
    </w:p>
  </w:footnote>
  <w:footnote w:id="67">
    <w:p w14:paraId="347DAFD3" w14:textId="4F5ADA0A" w:rsidR="0082031F" w:rsidRPr="002E6E62" w:rsidRDefault="0082031F" w:rsidP="0082031F">
      <w:pPr>
        <w:pStyle w:val="FootnoteText"/>
      </w:pPr>
      <w:r w:rsidRPr="002E6E62">
        <w:tab/>
      </w:r>
      <w:r w:rsidRPr="00A81C62">
        <w:rPr>
          <w:rStyle w:val="FootnoteReference"/>
        </w:rPr>
        <w:footnoteRef/>
      </w:r>
      <w:r w:rsidRPr="002E6E62">
        <w:tab/>
        <w:t xml:space="preserve">International Court of Justice, </w:t>
      </w:r>
      <w:r w:rsidRPr="002E6E62">
        <w:rPr>
          <w:i/>
          <w:iCs/>
        </w:rPr>
        <w:t>Case Concerning United States Diplomatic and Consular Staff in Tehran (United States of America v. Iran),</w:t>
      </w:r>
      <w:r w:rsidRPr="002E6E62">
        <w:t xml:space="preserve"> Judgment</w:t>
      </w:r>
      <w:r>
        <w:t>,</w:t>
      </w:r>
      <w:r w:rsidRPr="002E6E62">
        <w:t xml:space="preserve"> 24 May 1980, Summary of </w:t>
      </w:r>
      <w:r>
        <w:t xml:space="preserve">the </w:t>
      </w:r>
      <w:r w:rsidRPr="002E6E62">
        <w:t>Judgment, p.</w:t>
      </w:r>
      <w:r w:rsidR="003531EE">
        <w:t> </w:t>
      </w:r>
      <w:r w:rsidRPr="002E6E62">
        <w:t xml:space="preserve">108 (corresponding to </w:t>
      </w:r>
      <w:r w:rsidRPr="00202DC4">
        <w:t>para. 7</w:t>
      </w:r>
      <w:r w:rsidRPr="008F4301">
        <w:t>4</w:t>
      </w:r>
      <w:r w:rsidRPr="002E6E62">
        <w:t xml:space="preserve"> of the </w:t>
      </w:r>
      <w:r>
        <w:t>J</w:t>
      </w:r>
      <w:r w:rsidRPr="002E6E62">
        <w:t>udgment).</w:t>
      </w:r>
    </w:p>
  </w:footnote>
  <w:footnote w:id="68">
    <w:p w14:paraId="54CEFAB5" w14:textId="4D8983FD" w:rsidR="0082031F" w:rsidRPr="002E6E62" w:rsidRDefault="0082031F" w:rsidP="0082031F">
      <w:pPr>
        <w:pStyle w:val="FootnoteText"/>
      </w:pPr>
      <w:r w:rsidRPr="002E6E62">
        <w:tab/>
      </w:r>
      <w:r w:rsidRPr="00A81C62">
        <w:rPr>
          <w:rStyle w:val="FootnoteReference"/>
        </w:rPr>
        <w:footnoteRef/>
      </w:r>
      <w:r w:rsidRPr="002E6E62">
        <w:tab/>
        <w:t xml:space="preserve">International Court of Justice, </w:t>
      </w:r>
      <w:r w:rsidRPr="002E6E62">
        <w:rPr>
          <w:i/>
          <w:iCs/>
        </w:rPr>
        <w:t>Application of the Convention on the Prevention and Punishment of the Crime of Genocide in the Gaza Strip</w:t>
      </w:r>
      <w:r w:rsidRPr="002E6E62">
        <w:t xml:space="preserve"> (</w:t>
      </w:r>
      <w:r w:rsidRPr="002E6E62">
        <w:rPr>
          <w:i/>
          <w:iCs/>
        </w:rPr>
        <w:t>South Africa v</w:t>
      </w:r>
      <w:r>
        <w:rPr>
          <w:i/>
          <w:iCs/>
        </w:rPr>
        <w:t>.</w:t>
      </w:r>
      <w:r w:rsidRPr="002E6E62">
        <w:rPr>
          <w:i/>
          <w:iCs/>
        </w:rPr>
        <w:t xml:space="preserve"> Israel), </w:t>
      </w:r>
      <w:r>
        <w:t xml:space="preserve">Order, </w:t>
      </w:r>
      <w:r w:rsidRPr="002E6E62">
        <w:t>26 January 2024, para. 85; reiterated in para. 50 of the Court</w:t>
      </w:r>
      <w:r w:rsidR="006B49D7">
        <w:t>’</w:t>
      </w:r>
      <w:r w:rsidRPr="002E6E62">
        <w:t xml:space="preserve">s Order </w:t>
      </w:r>
      <w:r>
        <w:t>of</w:t>
      </w:r>
      <w:r w:rsidRPr="002E6E62">
        <w:t xml:space="preserve"> 28 Mar</w:t>
      </w:r>
      <w:r>
        <w:t>ch</w:t>
      </w:r>
      <w:r w:rsidRPr="002E6E62">
        <w:t xml:space="preserve"> 2024.</w:t>
      </w:r>
    </w:p>
  </w:footnote>
  <w:footnote w:id="69">
    <w:p w14:paraId="2374CF6B" w14:textId="0A69DD76" w:rsidR="0082031F" w:rsidRPr="002E6E62" w:rsidRDefault="0082031F" w:rsidP="0082031F">
      <w:pPr>
        <w:pStyle w:val="FootnoteText"/>
      </w:pPr>
      <w:r w:rsidRPr="002E6E62">
        <w:tab/>
      </w:r>
      <w:r w:rsidRPr="00A81C62">
        <w:rPr>
          <w:rStyle w:val="FootnoteReference"/>
        </w:rPr>
        <w:footnoteRef/>
      </w:r>
      <w:r w:rsidRPr="002E6E62">
        <w:tab/>
        <w:t xml:space="preserve">See </w:t>
      </w:r>
      <w:r>
        <w:t xml:space="preserve">Security Council resolutions </w:t>
      </w:r>
      <w:r w:rsidRPr="002E6E62">
        <w:t xml:space="preserve">579 (1985) and 638 (1989) on </w:t>
      </w:r>
      <w:r>
        <w:t>h</w:t>
      </w:r>
      <w:r w:rsidRPr="002E6E62">
        <w:t xml:space="preserve">ostage-taking; 618 (1988) concerning hostage-taking of a military observer as part of </w:t>
      </w:r>
      <w:r>
        <w:t xml:space="preserve">the </w:t>
      </w:r>
      <w:r w:rsidRPr="002E6E62">
        <w:t>U</w:t>
      </w:r>
      <w:r>
        <w:t xml:space="preserve">nited </w:t>
      </w:r>
      <w:r w:rsidRPr="002E6E62">
        <w:t>N</w:t>
      </w:r>
      <w:r>
        <w:t>ations</w:t>
      </w:r>
      <w:r w:rsidRPr="002E6E62">
        <w:t xml:space="preserve"> Interim Force in Lebanon; 687 (1991) concerning the invasion by Iraq of Kuwait and the taking of hostages; 2735</w:t>
      </w:r>
      <w:r w:rsidR="002548D6">
        <w:t> </w:t>
      </w:r>
      <w:r w:rsidRPr="002E6E62">
        <w:t xml:space="preserve">(2024) on ending the war in Gaza and securing the release of hostages; </w:t>
      </w:r>
      <w:r>
        <w:t xml:space="preserve">and </w:t>
      </w:r>
      <w:r w:rsidRPr="002E6E62">
        <w:t>2730 (2024) on protection of humanitarian personnel</w:t>
      </w:r>
      <w:r>
        <w:t>,</w:t>
      </w:r>
      <w:r w:rsidRPr="002E6E62">
        <w:t xml:space="preserve"> including against arbitrary detention.</w:t>
      </w:r>
    </w:p>
  </w:footnote>
  <w:footnote w:id="70">
    <w:p w14:paraId="5345F14B" w14:textId="77777777" w:rsidR="0082031F" w:rsidRPr="002E6E62" w:rsidRDefault="0082031F" w:rsidP="0082031F">
      <w:pPr>
        <w:pStyle w:val="FootnoteText"/>
      </w:pPr>
      <w:r w:rsidRPr="002E6E62">
        <w:tab/>
      </w:r>
      <w:r w:rsidRPr="00A81C62">
        <w:rPr>
          <w:rStyle w:val="FootnoteReference"/>
        </w:rPr>
        <w:footnoteRef/>
      </w:r>
      <w:r w:rsidRPr="002E6E62">
        <w:tab/>
        <w:t xml:space="preserve">Submission of Azerbaijan. </w:t>
      </w:r>
      <w:r>
        <w:t>The m</w:t>
      </w:r>
      <w:r w:rsidRPr="002E6E62">
        <w:t>ost recent resolution</w:t>
      </w:r>
      <w:r>
        <w:t xml:space="preserve"> of the Commission on this topic is</w:t>
      </w:r>
      <w:r w:rsidRPr="002E6E62">
        <w:t xml:space="preserve"> </w:t>
      </w:r>
      <w:r>
        <w:t>66/2</w:t>
      </w:r>
      <w:r w:rsidRPr="002E6E62">
        <w:t>.</w:t>
      </w:r>
    </w:p>
  </w:footnote>
  <w:footnote w:id="71">
    <w:p w14:paraId="3D46B7A4" w14:textId="77777777" w:rsidR="0082031F" w:rsidRPr="00110300" w:rsidRDefault="0082031F" w:rsidP="0082031F">
      <w:pPr>
        <w:pStyle w:val="FootnoteText"/>
      </w:pPr>
      <w:r w:rsidRPr="002E6E62">
        <w:tab/>
      </w:r>
      <w:r w:rsidRPr="00A81C62">
        <w:rPr>
          <w:rStyle w:val="FootnoteReference"/>
        </w:rPr>
        <w:footnoteRef/>
      </w:r>
      <w:r w:rsidRPr="002E6E62">
        <w:tab/>
      </w:r>
      <w:r w:rsidRPr="009F085F">
        <w:t>United States Military Tribunal at Nuremberg</w:t>
      </w:r>
      <w:r>
        <w:t>,</w:t>
      </w:r>
      <w:r w:rsidRPr="009F085F">
        <w:t xml:space="preserve"> </w:t>
      </w:r>
      <w:r w:rsidRPr="008F4301">
        <w:rPr>
          <w:i/>
          <w:iCs/>
        </w:rPr>
        <w:t>United States v. Wilhelm List et al. (The Hostages Case)</w:t>
      </w:r>
      <w:r w:rsidRPr="002E6E62">
        <w:t xml:space="preserve">, </w:t>
      </w:r>
      <w:r>
        <w:t>Judgment,</w:t>
      </w:r>
      <w:r w:rsidRPr="002E6E62">
        <w:t xml:space="preserve"> 19 February 1948. Prior to the Second World War, the</w:t>
      </w:r>
      <w:r w:rsidRPr="00110300">
        <w:t xml:space="preserve"> taking of hostages was still considered lawful, albeit under very strict conditions</w:t>
      </w:r>
      <w:r>
        <w:t>;</w:t>
      </w:r>
      <w:r w:rsidRPr="00110300">
        <w:t xml:space="preserve"> see ICRC</w:t>
      </w:r>
      <w:r>
        <w:t>,</w:t>
      </w:r>
      <w:r w:rsidRPr="00110300">
        <w:t xml:space="preserve"> </w:t>
      </w:r>
      <w:r w:rsidRPr="008F4301">
        <w:rPr>
          <w:i/>
          <w:iCs/>
        </w:rPr>
        <w:t>Commentary</w:t>
      </w:r>
      <w:r w:rsidRPr="00110300">
        <w:t xml:space="preserve">, </w:t>
      </w:r>
      <w:r w:rsidRPr="00750E7A">
        <w:t>para</w:t>
      </w:r>
      <w:r w:rsidRPr="008F4301">
        <w:t>.</w:t>
      </w:r>
      <w:r w:rsidRPr="00750E7A">
        <w:t xml:space="preserve"> 682</w:t>
      </w:r>
      <w:r w:rsidRPr="00110300">
        <w:t>.</w:t>
      </w:r>
    </w:p>
  </w:footnote>
  <w:footnote w:id="72">
    <w:p w14:paraId="5CFFEFE9" w14:textId="0F861A00" w:rsidR="0082031F" w:rsidRPr="005E6DC5" w:rsidRDefault="0082031F" w:rsidP="0082031F">
      <w:pPr>
        <w:pStyle w:val="FootnoteText"/>
      </w:pPr>
      <w:r>
        <w:tab/>
      </w:r>
      <w:r w:rsidRPr="00A81C62">
        <w:rPr>
          <w:rStyle w:val="FootnoteReference"/>
        </w:rPr>
        <w:footnoteRef/>
      </w:r>
      <w:r>
        <w:tab/>
      </w:r>
      <w:r w:rsidRPr="00041041">
        <w:t xml:space="preserve">See </w:t>
      </w:r>
      <w:r>
        <w:t>Henckaerts and Doswald-Beck,</w:t>
      </w:r>
      <w:r w:rsidRPr="00110300">
        <w:t xml:space="preserve"> </w:t>
      </w:r>
      <w:r w:rsidRPr="008F4301">
        <w:rPr>
          <w:i/>
          <w:iCs/>
        </w:rPr>
        <w:t>Customary International Humanitarian Law</w:t>
      </w:r>
      <w:r>
        <w:t>, rule 96</w:t>
      </w:r>
      <w:r w:rsidRPr="00110300">
        <w:t xml:space="preserve">; </w:t>
      </w:r>
      <w:r>
        <w:t>a</w:t>
      </w:r>
      <w:r w:rsidRPr="00110300">
        <w:t xml:space="preserve">rticles 34 and 147 of the </w:t>
      </w:r>
      <w:r w:rsidRPr="00BA39FC">
        <w:t>Geneva Convention relative to the Protection of Civilian Persons in Time of War</w:t>
      </w:r>
      <w:r>
        <w:t xml:space="preserve"> (</w:t>
      </w:r>
      <w:r w:rsidRPr="00110300">
        <w:t>Fourth Geneva Convention</w:t>
      </w:r>
      <w:r>
        <w:t>)</w:t>
      </w:r>
      <w:r w:rsidRPr="00110300">
        <w:t xml:space="preserve">; </w:t>
      </w:r>
      <w:r>
        <w:t>a</w:t>
      </w:r>
      <w:r w:rsidRPr="00110300">
        <w:t>rticle 75</w:t>
      </w:r>
      <w:r w:rsidR="00EA39BA">
        <w:t xml:space="preserve"> </w:t>
      </w:r>
      <w:r w:rsidRPr="00110300">
        <w:t>(2)</w:t>
      </w:r>
      <w:r w:rsidR="00EA39BA">
        <w:t xml:space="preserve"> </w:t>
      </w:r>
      <w:r w:rsidRPr="00110300">
        <w:t>(c) of</w:t>
      </w:r>
      <w:r>
        <w:t xml:space="preserve"> the</w:t>
      </w:r>
      <w:r w:rsidRPr="00110300">
        <w:t xml:space="preserve"> </w:t>
      </w:r>
      <w:r w:rsidRPr="00E951C7">
        <w:t>Protocol Additional to the Geneva Conventions of 12 August 1949, and relating to the Protection of Victims of International Armed Conflicts (</w:t>
      </w:r>
      <w:r w:rsidRPr="00110300">
        <w:t>Protocol I</w:t>
      </w:r>
      <w:r>
        <w:t>)</w:t>
      </w:r>
      <w:r w:rsidRPr="00110300">
        <w:t xml:space="preserve">; </w:t>
      </w:r>
      <w:r>
        <w:t>c</w:t>
      </w:r>
      <w:r w:rsidRPr="00110300">
        <w:t>ommon article 3 of the Geneva Conventions</w:t>
      </w:r>
      <w:r>
        <w:t xml:space="preserve"> of 12 August 1949; article </w:t>
      </w:r>
      <w:r w:rsidRPr="00110300">
        <w:t>4</w:t>
      </w:r>
      <w:r w:rsidR="00282026">
        <w:t xml:space="preserve"> </w:t>
      </w:r>
      <w:r w:rsidRPr="00110300">
        <w:t>(2)</w:t>
      </w:r>
      <w:r w:rsidR="00282026">
        <w:t xml:space="preserve"> </w:t>
      </w:r>
      <w:r w:rsidRPr="00110300">
        <w:t>(c) of</w:t>
      </w:r>
      <w:r>
        <w:t xml:space="preserve"> the</w:t>
      </w:r>
      <w:r w:rsidRPr="00110300">
        <w:t xml:space="preserve"> </w:t>
      </w:r>
      <w:r w:rsidRPr="00D53064">
        <w:t xml:space="preserve">Protocol Additional to the Geneva Conventions of 12 August 1949, and relating to the Protection of Victims of Non-International Armed Conflicts </w:t>
      </w:r>
      <w:r>
        <w:t>(</w:t>
      </w:r>
      <w:r w:rsidRPr="00110300">
        <w:t>Protocol II</w:t>
      </w:r>
      <w:r>
        <w:t>)</w:t>
      </w:r>
      <w:r w:rsidRPr="00110300">
        <w:t>;</w:t>
      </w:r>
      <w:r>
        <w:t xml:space="preserve"> and</w:t>
      </w:r>
      <w:r w:rsidRPr="00110300">
        <w:t xml:space="preserve"> </w:t>
      </w:r>
      <w:r>
        <w:t>a</w:t>
      </w:r>
      <w:r w:rsidRPr="001C7F3D">
        <w:t>rticle 8</w:t>
      </w:r>
      <w:r w:rsidR="00282026">
        <w:t xml:space="preserve"> </w:t>
      </w:r>
      <w:r w:rsidRPr="001C7F3D">
        <w:t>(2)</w:t>
      </w:r>
      <w:r w:rsidR="00282026">
        <w:t xml:space="preserve"> </w:t>
      </w:r>
      <w:r w:rsidRPr="001C7F3D">
        <w:t>(a)</w:t>
      </w:r>
      <w:r w:rsidR="00282026">
        <w:t xml:space="preserve"> </w:t>
      </w:r>
      <w:r w:rsidRPr="001C7F3D">
        <w:t>(viii) and (c)</w:t>
      </w:r>
      <w:r w:rsidR="00282026">
        <w:t xml:space="preserve"> </w:t>
      </w:r>
      <w:r w:rsidRPr="001C7F3D">
        <w:t>(iii) of the Rome Statute</w:t>
      </w:r>
      <w:r>
        <w:t xml:space="preserve"> of the International Criminal Court</w:t>
      </w:r>
      <w:r w:rsidRPr="001C7F3D">
        <w:t>.</w:t>
      </w:r>
    </w:p>
  </w:footnote>
  <w:footnote w:id="73">
    <w:p w14:paraId="61A3959C" w14:textId="77777777" w:rsidR="0082031F" w:rsidRPr="00041041" w:rsidRDefault="0082031F" w:rsidP="0082031F">
      <w:pPr>
        <w:pStyle w:val="FootnoteText"/>
      </w:pPr>
      <w:r>
        <w:tab/>
      </w:r>
      <w:r w:rsidRPr="00A81C62">
        <w:rPr>
          <w:rStyle w:val="FootnoteReference"/>
        </w:rPr>
        <w:footnoteRef/>
      </w:r>
      <w:r>
        <w:tab/>
      </w:r>
      <w:r w:rsidRPr="00EB2935">
        <w:t>ICRC</w:t>
      </w:r>
      <w:r>
        <w:t>,</w:t>
      </w:r>
      <w:r w:rsidRPr="00EB2935">
        <w:t xml:space="preserve"> </w:t>
      </w:r>
      <w:r w:rsidRPr="008F4301">
        <w:rPr>
          <w:i/>
          <w:iCs/>
        </w:rPr>
        <w:t>Commentary</w:t>
      </w:r>
      <w:r w:rsidRPr="00EB2935">
        <w:t xml:space="preserve">, </w:t>
      </w:r>
      <w:r w:rsidRPr="00750E7A">
        <w:t>para. 682</w:t>
      </w:r>
      <w:r w:rsidRPr="00EB2935">
        <w:t>.</w:t>
      </w:r>
    </w:p>
  </w:footnote>
  <w:footnote w:id="74">
    <w:p w14:paraId="5BAF64F3" w14:textId="0A1654BC" w:rsidR="0082031F" w:rsidRPr="00041041" w:rsidRDefault="0082031F" w:rsidP="0082031F">
      <w:pPr>
        <w:pStyle w:val="FootnoteText"/>
      </w:pPr>
      <w:r>
        <w:tab/>
      </w:r>
      <w:r w:rsidRPr="00A81C62">
        <w:rPr>
          <w:rStyle w:val="FootnoteReference"/>
        </w:rPr>
        <w:footnoteRef/>
      </w:r>
      <w:r>
        <w:tab/>
      </w:r>
      <w:r w:rsidRPr="00EB2935">
        <w:t>Art</w:t>
      </w:r>
      <w:r>
        <w:t>icle</w:t>
      </w:r>
      <w:r w:rsidRPr="00EB2935">
        <w:t xml:space="preserve"> 75</w:t>
      </w:r>
      <w:r w:rsidR="00C3283E">
        <w:t xml:space="preserve"> </w:t>
      </w:r>
      <w:r w:rsidRPr="00EB2935">
        <w:t>(2)</w:t>
      </w:r>
      <w:r w:rsidR="00C3283E">
        <w:t xml:space="preserve"> </w:t>
      </w:r>
      <w:r w:rsidRPr="00EB2935">
        <w:t>(c)</w:t>
      </w:r>
      <w:r>
        <w:t xml:space="preserve"> of</w:t>
      </w:r>
      <w:r w:rsidRPr="00EB2935">
        <w:t xml:space="preserve"> Protocol I </w:t>
      </w:r>
      <w:r>
        <w:t>Additional</w:t>
      </w:r>
      <w:r w:rsidRPr="00EB2935">
        <w:t xml:space="preserve"> to the Geneva Conventions</w:t>
      </w:r>
      <w:r>
        <w:t xml:space="preserve"> of 1949</w:t>
      </w:r>
      <w:r w:rsidRPr="00EB2935">
        <w:t>.</w:t>
      </w:r>
    </w:p>
  </w:footnote>
  <w:footnote w:id="75">
    <w:p w14:paraId="72C0B1F7" w14:textId="77777777" w:rsidR="0082031F" w:rsidRPr="002E6E62" w:rsidRDefault="0082031F" w:rsidP="0082031F">
      <w:pPr>
        <w:pStyle w:val="FootnoteText"/>
      </w:pPr>
      <w:r>
        <w:tab/>
      </w:r>
      <w:r w:rsidRPr="00A81C62">
        <w:rPr>
          <w:rStyle w:val="FootnoteReference"/>
        </w:rPr>
        <w:footnoteRef/>
      </w:r>
      <w:r w:rsidRPr="002E6E62">
        <w:tab/>
        <w:t>ICRC</w:t>
      </w:r>
      <w:r>
        <w:t>,</w:t>
      </w:r>
      <w:r w:rsidRPr="002E6E62">
        <w:t xml:space="preserve"> </w:t>
      </w:r>
      <w:r w:rsidRPr="008F4301">
        <w:rPr>
          <w:i/>
          <w:iCs/>
        </w:rPr>
        <w:t>Commentary</w:t>
      </w:r>
      <w:r w:rsidRPr="002E6E62">
        <w:t>, para</w:t>
      </w:r>
      <w:r>
        <w:t>.</w:t>
      </w:r>
      <w:r w:rsidRPr="002E6E62">
        <w:t xml:space="preserve"> 685.</w:t>
      </w:r>
    </w:p>
  </w:footnote>
  <w:footnote w:id="76">
    <w:p w14:paraId="65783BF3" w14:textId="77777777" w:rsidR="0082031F" w:rsidRPr="002E6E62" w:rsidRDefault="0082031F" w:rsidP="0082031F">
      <w:pPr>
        <w:pStyle w:val="FootnoteText"/>
      </w:pPr>
      <w:r w:rsidRPr="002E6E62">
        <w:tab/>
      </w:r>
      <w:r w:rsidRPr="00A81C62">
        <w:rPr>
          <w:rStyle w:val="FootnoteReference"/>
        </w:rPr>
        <w:footnoteRef/>
      </w:r>
      <w:r w:rsidRPr="002E6E62">
        <w:tab/>
      </w:r>
      <w:r>
        <w:t>International Tribunal for the Former Yugoslavia</w:t>
      </w:r>
      <w:r w:rsidRPr="002E6E62">
        <w:t xml:space="preserve">, </w:t>
      </w:r>
      <w:r w:rsidRPr="002E6E62">
        <w:rPr>
          <w:i/>
          <w:iCs/>
        </w:rPr>
        <w:t>Prosecutor v.</w:t>
      </w:r>
      <w:r w:rsidRPr="002E6E62">
        <w:t xml:space="preserve"> </w:t>
      </w:r>
      <w:r w:rsidRPr="002E6E62">
        <w:rPr>
          <w:i/>
          <w:iCs/>
        </w:rPr>
        <w:t>Blaškić</w:t>
      </w:r>
      <w:r w:rsidRPr="002E6E62">
        <w:t xml:space="preserve">, </w:t>
      </w:r>
      <w:r>
        <w:t xml:space="preserve">Case No. </w:t>
      </w:r>
      <w:r w:rsidRPr="002E6E62">
        <w:t>IT-95-14-T, Trial Chamber</w:t>
      </w:r>
      <w:r>
        <w:t xml:space="preserve"> Judgment</w:t>
      </w:r>
      <w:r w:rsidRPr="002E6E62">
        <w:t>, 3 March 2000, para. 158.</w:t>
      </w:r>
    </w:p>
  </w:footnote>
  <w:footnote w:id="77">
    <w:p w14:paraId="50A0D6C8" w14:textId="15BD6BF1" w:rsidR="0082031F" w:rsidRPr="002E6E62" w:rsidRDefault="0082031F" w:rsidP="0082031F">
      <w:pPr>
        <w:pStyle w:val="FootnoteText"/>
      </w:pPr>
      <w:r w:rsidRPr="002E6E62">
        <w:tab/>
      </w:r>
      <w:r w:rsidRPr="00A81C62">
        <w:rPr>
          <w:rStyle w:val="FootnoteReference"/>
        </w:rPr>
        <w:footnoteRef/>
      </w:r>
      <w:r w:rsidRPr="002E6E62">
        <w:tab/>
      </w:r>
      <w:r>
        <w:t>International Tribunal for the Former Yugoslavia</w:t>
      </w:r>
      <w:r w:rsidRPr="002E6E62">
        <w:t xml:space="preserve">, </w:t>
      </w:r>
      <w:r w:rsidRPr="002E6E62">
        <w:rPr>
          <w:i/>
          <w:iCs/>
        </w:rPr>
        <w:t>Prosecutor v. Karadžić</w:t>
      </w:r>
      <w:r w:rsidRPr="002E6E62">
        <w:t xml:space="preserve">, </w:t>
      </w:r>
      <w:r>
        <w:t xml:space="preserve">Case No. </w:t>
      </w:r>
      <w:r w:rsidRPr="002E6E62">
        <w:t>IT-95-5/18-T, Trial Chamber</w:t>
      </w:r>
      <w:r>
        <w:t xml:space="preserve"> Judgment</w:t>
      </w:r>
      <w:r w:rsidRPr="002E6E62">
        <w:t xml:space="preserve">, 24 March 2016, para. 468; </w:t>
      </w:r>
      <w:r>
        <w:t>s</w:t>
      </w:r>
      <w:r w:rsidRPr="002E6E62">
        <w:t xml:space="preserve">ee also ICRC, </w:t>
      </w:r>
      <w:r w:rsidRPr="008F4301">
        <w:rPr>
          <w:i/>
          <w:iCs/>
        </w:rPr>
        <w:t>Commentary</w:t>
      </w:r>
      <w:r w:rsidRPr="002E6E62">
        <w:t>, para</w:t>
      </w:r>
      <w:r>
        <w:t>s</w:t>
      </w:r>
      <w:r w:rsidRPr="002E6E62">
        <w:t>. 689</w:t>
      </w:r>
      <w:r>
        <w:t xml:space="preserve"> and 6</w:t>
      </w:r>
      <w:r w:rsidRPr="002E6E62">
        <w:t>90.</w:t>
      </w:r>
    </w:p>
  </w:footnote>
  <w:footnote w:id="78">
    <w:p w14:paraId="455C9A03" w14:textId="7CE6276A" w:rsidR="0082031F" w:rsidRPr="003A0791" w:rsidRDefault="0082031F" w:rsidP="0082031F">
      <w:pPr>
        <w:pStyle w:val="FootnoteText"/>
      </w:pPr>
      <w:r w:rsidRPr="002E6E62">
        <w:tab/>
      </w:r>
      <w:r w:rsidRPr="00A81C62">
        <w:rPr>
          <w:rStyle w:val="FootnoteReference"/>
        </w:rPr>
        <w:footnoteRef/>
      </w:r>
      <w:r w:rsidRPr="002E6E62">
        <w:tab/>
      </w:r>
      <w:r>
        <w:t xml:space="preserve">European Court of Human Rights, </w:t>
      </w:r>
      <w:r w:rsidRPr="002E6E62">
        <w:rPr>
          <w:i/>
          <w:iCs/>
        </w:rPr>
        <w:t>Selahattin Demirtaş v</w:t>
      </w:r>
      <w:r>
        <w:rPr>
          <w:i/>
          <w:iCs/>
        </w:rPr>
        <w:t>.</w:t>
      </w:r>
      <w:r w:rsidRPr="002E6E62">
        <w:rPr>
          <w:i/>
          <w:iCs/>
        </w:rPr>
        <w:t xml:space="preserve"> Turkey (No. 2)</w:t>
      </w:r>
      <w:r>
        <w:t>,</w:t>
      </w:r>
      <w:r w:rsidRPr="002E6E62">
        <w:t xml:space="preserve"> App</w:t>
      </w:r>
      <w:r>
        <w:t>lication</w:t>
      </w:r>
      <w:r w:rsidRPr="002E6E62">
        <w:t xml:space="preserve"> No</w:t>
      </w:r>
      <w:r>
        <w:t>.</w:t>
      </w:r>
      <w:r w:rsidRPr="002E6E62">
        <w:t xml:space="preserve"> 14305/17</w:t>
      </w:r>
      <w:r w:rsidRPr="003A0791">
        <w:t>,</w:t>
      </w:r>
      <w:r>
        <w:t xml:space="preserve"> Judgment,</w:t>
      </w:r>
      <w:r w:rsidRPr="003A0791">
        <w:t xml:space="preserve"> 22 December 2020, paras</w:t>
      </w:r>
      <w:r>
        <w:t>.</w:t>
      </w:r>
      <w:r w:rsidRPr="003A0791">
        <w:t xml:space="preserve"> 436</w:t>
      </w:r>
      <w:r>
        <w:t xml:space="preserve"> and</w:t>
      </w:r>
      <w:r w:rsidRPr="003A0791">
        <w:t xml:space="preserve"> 437;</w:t>
      </w:r>
      <w:r>
        <w:t xml:space="preserve"> and Special Court for Sierra Leone,</w:t>
      </w:r>
      <w:r w:rsidR="00C3283E">
        <w:t xml:space="preserve"> </w:t>
      </w:r>
      <w:r w:rsidRPr="003A0791">
        <w:rPr>
          <w:i/>
          <w:iCs/>
        </w:rPr>
        <w:t>Prosecutor v</w:t>
      </w:r>
      <w:r>
        <w:rPr>
          <w:i/>
          <w:iCs/>
        </w:rPr>
        <w:t>.</w:t>
      </w:r>
      <w:r w:rsidRPr="003A0791">
        <w:rPr>
          <w:i/>
          <w:iCs/>
        </w:rPr>
        <w:t xml:space="preserve"> Issa Hassan Sesay, Morris Kallon and Augustine Gbao, </w:t>
      </w:r>
      <w:r>
        <w:t>Case No. S</w:t>
      </w:r>
      <w:r w:rsidRPr="003A0791">
        <w:t>CSL-04-15-A</w:t>
      </w:r>
      <w:r>
        <w:t>,</w:t>
      </w:r>
      <w:r w:rsidRPr="003A0791">
        <w:t xml:space="preserve"> Appeals</w:t>
      </w:r>
      <w:r>
        <w:t xml:space="preserve"> Chamber </w:t>
      </w:r>
      <w:r w:rsidRPr="003A0791">
        <w:t>Judgment, 26 October 2009, para. 580.</w:t>
      </w:r>
    </w:p>
  </w:footnote>
  <w:footnote w:id="79">
    <w:p w14:paraId="0C8D3963" w14:textId="010C47C5" w:rsidR="0082031F" w:rsidRPr="003D3527" w:rsidRDefault="0082031F" w:rsidP="0082031F">
      <w:pPr>
        <w:pStyle w:val="FootnoteText"/>
      </w:pPr>
      <w:r>
        <w:tab/>
      </w:r>
      <w:r w:rsidRPr="00A81C62">
        <w:rPr>
          <w:rStyle w:val="FootnoteReference"/>
        </w:rPr>
        <w:footnoteRef/>
      </w:r>
      <w:r>
        <w:tab/>
      </w:r>
      <w:r w:rsidRPr="00EB2935">
        <w:t>Third Geneva Convention</w:t>
      </w:r>
      <w:r>
        <w:t>, art. 3</w:t>
      </w:r>
      <w:r w:rsidRPr="00EB2935">
        <w:t xml:space="preserve">; </w:t>
      </w:r>
      <w:r>
        <w:t>Henckaerts and Doswald-Beck,</w:t>
      </w:r>
      <w:r w:rsidRPr="00EB2935">
        <w:t xml:space="preserve"> </w:t>
      </w:r>
      <w:r w:rsidRPr="008F4301">
        <w:rPr>
          <w:i/>
          <w:iCs/>
        </w:rPr>
        <w:t>Customary International Humanitarian Law</w:t>
      </w:r>
      <w:r w:rsidRPr="00EB2935">
        <w:t xml:space="preserve">, </w:t>
      </w:r>
      <w:r>
        <w:t>r</w:t>
      </w:r>
      <w:r w:rsidRPr="00EB2935">
        <w:t xml:space="preserve">ule 96; </w:t>
      </w:r>
      <w:r>
        <w:t xml:space="preserve">and </w:t>
      </w:r>
      <w:r>
        <w:rPr>
          <w:i/>
          <w:iCs/>
        </w:rPr>
        <w:t xml:space="preserve">Prosecutor v. </w:t>
      </w:r>
      <w:r w:rsidRPr="00041041">
        <w:rPr>
          <w:i/>
          <w:iCs/>
        </w:rPr>
        <w:t>Karad</w:t>
      </w:r>
      <w:r w:rsidRPr="002E6E62">
        <w:rPr>
          <w:i/>
          <w:iCs/>
        </w:rPr>
        <w:t>žić</w:t>
      </w:r>
      <w:r w:rsidRPr="00110300">
        <w:t xml:space="preserve">, para. 468. See also </w:t>
      </w:r>
      <w:hyperlink r:id="rId20" w:history="1">
        <w:r w:rsidRPr="0084264A">
          <w:rPr>
            <w:rStyle w:val="Hyperlink"/>
          </w:rPr>
          <w:t>A/79/232</w:t>
        </w:r>
      </w:hyperlink>
      <w:r w:rsidRPr="00110300">
        <w:t xml:space="preserve">, </w:t>
      </w:r>
      <w:r>
        <w:t>para. 111.</w:t>
      </w:r>
    </w:p>
  </w:footnote>
  <w:footnote w:id="80">
    <w:p w14:paraId="20DF4BB5" w14:textId="77777777" w:rsidR="0082031F" w:rsidRPr="00EB2935" w:rsidRDefault="0082031F" w:rsidP="0082031F">
      <w:pPr>
        <w:pStyle w:val="FootnoteText"/>
      </w:pPr>
      <w:r>
        <w:tab/>
      </w:r>
      <w:r w:rsidRPr="00A81C62">
        <w:rPr>
          <w:rStyle w:val="FootnoteReference"/>
        </w:rPr>
        <w:footnoteRef/>
      </w:r>
      <w:r>
        <w:tab/>
      </w:r>
      <w:r>
        <w:rPr>
          <w:i/>
          <w:iCs/>
        </w:rPr>
        <w:t xml:space="preserve">Prosecutor v. </w:t>
      </w:r>
      <w:r w:rsidRPr="00274EBC">
        <w:rPr>
          <w:i/>
          <w:iCs/>
        </w:rPr>
        <w:t>Blaškić</w:t>
      </w:r>
      <w:r w:rsidRPr="00BB4A94">
        <w:t>, p</w:t>
      </w:r>
      <w:r>
        <w:t>.</w:t>
      </w:r>
      <w:r w:rsidRPr="00BB4A94">
        <w:t xml:space="preserve"> 267.</w:t>
      </w:r>
      <w:r>
        <w:t xml:space="preserve"> Even though his conviction on this point was overturned on appeal, the legal point remains valid.</w:t>
      </w:r>
    </w:p>
  </w:footnote>
  <w:footnote w:id="81">
    <w:p w14:paraId="31680FD5" w14:textId="77777777" w:rsidR="0082031F" w:rsidRPr="00110300" w:rsidRDefault="0082031F" w:rsidP="0082031F">
      <w:pPr>
        <w:pStyle w:val="FootnoteText"/>
      </w:pPr>
      <w:r>
        <w:tab/>
      </w:r>
      <w:r w:rsidRPr="00A81C62">
        <w:rPr>
          <w:rStyle w:val="FootnoteReference"/>
        </w:rPr>
        <w:footnoteRef/>
      </w:r>
      <w:r>
        <w:tab/>
        <w:t xml:space="preserve">Case No. </w:t>
      </w:r>
      <w:r w:rsidRPr="003A0791">
        <w:t>ICC-01/15</w:t>
      </w:r>
      <w:r w:rsidRPr="00110300">
        <w:t>.</w:t>
      </w:r>
    </w:p>
  </w:footnote>
  <w:footnote w:id="82">
    <w:p w14:paraId="00343740" w14:textId="4A929601" w:rsidR="0082031F" w:rsidRPr="00110300" w:rsidRDefault="0082031F" w:rsidP="0082031F">
      <w:pPr>
        <w:pStyle w:val="FootnoteText"/>
      </w:pPr>
      <w:r>
        <w:tab/>
      </w:r>
      <w:r w:rsidRPr="00A81C62">
        <w:rPr>
          <w:rStyle w:val="FootnoteReference"/>
        </w:rPr>
        <w:footnoteRef/>
      </w:r>
      <w:r>
        <w:tab/>
        <w:t xml:space="preserve">See </w:t>
      </w:r>
      <w:r w:rsidRPr="008F4301">
        <w:rPr>
          <w:rFonts w:eastAsia="SimSun"/>
          <w:color w:val="000000"/>
          <w:szCs w:val="18"/>
          <w:lang w:eastAsia="zh-CN"/>
        </w:rPr>
        <w:t>https://www.icc-cpi.int/news/situation-state-palestine-icc-pre-trial-chamber-i-issues-warrant-arrest-mohammed-diab-ibrahim</w:t>
      </w:r>
      <w:r>
        <w:rPr>
          <w:rFonts w:eastAsia="SimSun"/>
          <w:color w:val="000000"/>
          <w:szCs w:val="18"/>
          <w:lang w:eastAsia="zh-CN"/>
        </w:rPr>
        <w:t>.</w:t>
      </w:r>
    </w:p>
  </w:footnote>
  <w:footnote w:id="83">
    <w:p w14:paraId="6E382FB2" w14:textId="7FB38969" w:rsidR="0082031F" w:rsidRPr="003A0791" w:rsidRDefault="0082031F" w:rsidP="0082031F">
      <w:pPr>
        <w:pStyle w:val="FootnoteText"/>
      </w:pPr>
      <w:r>
        <w:tab/>
      </w:r>
      <w:r w:rsidRPr="00A81C62">
        <w:rPr>
          <w:rStyle w:val="FootnoteReference"/>
        </w:rPr>
        <w:footnoteRef/>
      </w:r>
      <w:r>
        <w:tab/>
      </w:r>
      <w:r w:rsidRPr="00EB2935">
        <w:t>S</w:t>
      </w:r>
      <w:r w:rsidRPr="00041041">
        <w:t>ee International Court of Justice,</w:t>
      </w:r>
      <w:r w:rsidR="00BA4645">
        <w:t xml:space="preserve"> </w:t>
      </w:r>
      <w:r w:rsidRPr="00110300">
        <w:rPr>
          <w:i/>
          <w:iCs/>
        </w:rPr>
        <w:t>Avena and Other Mexican Nationals (Mexico v.</w:t>
      </w:r>
      <w:r w:rsidR="00BA4645">
        <w:rPr>
          <w:i/>
          <w:iCs/>
        </w:rPr>
        <w:t xml:space="preserve"> </w:t>
      </w:r>
      <w:r w:rsidRPr="00110300">
        <w:rPr>
          <w:i/>
          <w:iCs/>
        </w:rPr>
        <w:t>United States of America),</w:t>
      </w:r>
      <w:r>
        <w:rPr>
          <w:i/>
          <w:iCs/>
        </w:rPr>
        <w:t xml:space="preserve"> Judgment</w:t>
      </w:r>
      <w:r w:rsidRPr="008F4301">
        <w:rPr>
          <w:i/>
          <w:iCs/>
        </w:rPr>
        <w:t>, I.C.J. Reports 2004</w:t>
      </w:r>
      <w:r w:rsidRPr="009B0F71">
        <w:t xml:space="preserve">, </w:t>
      </w:r>
      <w:r>
        <w:t xml:space="preserve">p. </w:t>
      </w:r>
      <w:r w:rsidRPr="009B0F71">
        <w:t>12.</w:t>
      </w:r>
    </w:p>
  </w:footnote>
  <w:footnote w:id="84">
    <w:p w14:paraId="7C8AA843" w14:textId="04CA6F26" w:rsidR="0082031F" w:rsidRPr="003A0791" w:rsidRDefault="0082031F" w:rsidP="0082031F">
      <w:pPr>
        <w:pStyle w:val="FootnoteText"/>
      </w:pPr>
      <w:r>
        <w:tab/>
      </w:r>
      <w:r w:rsidRPr="00A81C62">
        <w:rPr>
          <w:rStyle w:val="FootnoteReference"/>
        </w:rPr>
        <w:footnoteRef/>
      </w:r>
      <w:r>
        <w:tab/>
      </w:r>
      <w:hyperlink r:id="rId21" w:history="1">
        <w:r w:rsidRPr="0084264A">
          <w:rPr>
            <w:rStyle w:val="Hyperlink"/>
          </w:rPr>
          <w:t>A/61/10</w:t>
        </w:r>
      </w:hyperlink>
      <w:r>
        <w:t xml:space="preserve">, pp. </w:t>
      </w:r>
      <w:r w:rsidRPr="00D72B08">
        <w:t>94–100</w:t>
      </w:r>
      <w:r w:rsidRPr="0051649F">
        <w:t>. See A</w:t>
      </w:r>
      <w:r>
        <w:t>lice</w:t>
      </w:r>
      <w:r w:rsidRPr="0051649F">
        <w:t xml:space="preserve"> Edwards, </w:t>
      </w:r>
      <w:r w:rsidR="006B49D7">
        <w:t>“</w:t>
      </w:r>
      <w:r w:rsidRPr="0051649F">
        <w:t xml:space="preserve">The </w:t>
      </w:r>
      <w:r>
        <w:t>m</w:t>
      </w:r>
      <w:r w:rsidRPr="0051649F">
        <w:t xml:space="preserve">eaning of </w:t>
      </w:r>
      <w:r>
        <w:t>n</w:t>
      </w:r>
      <w:r w:rsidRPr="0051649F">
        <w:t xml:space="preserve">ationality in </w:t>
      </w:r>
      <w:r>
        <w:t>i</w:t>
      </w:r>
      <w:r w:rsidRPr="0051649F">
        <w:t xml:space="preserve">nternational </w:t>
      </w:r>
      <w:r>
        <w:t>l</w:t>
      </w:r>
      <w:r w:rsidRPr="0051649F">
        <w:t xml:space="preserve">aw in an </w:t>
      </w:r>
      <w:r>
        <w:t>e</w:t>
      </w:r>
      <w:r w:rsidRPr="0051649F">
        <w:t xml:space="preserve">ra of </w:t>
      </w:r>
      <w:r>
        <w:t>h</w:t>
      </w:r>
      <w:r w:rsidRPr="0051649F">
        <w:t xml:space="preserve">uman </w:t>
      </w:r>
      <w:r>
        <w:t>r</w:t>
      </w:r>
      <w:r w:rsidRPr="0051649F">
        <w:t>ights</w:t>
      </w:r>
      <w:r w:rsidR="006B49D7">
        <w:t>”</w:t>
      </w:r>
      <w:r w:rsidRPr="0051649F">
        <w:t xml:space="preserve">, in </w:t>
      </w:r>
      <w:r w:rsidRPr="005E6DC5">
        <w:rPr>
          <w:i/>
          <w:iCs/>
        </w:rPr>
        <w:t>Nationality and Statelessness in International Law</w:t>
      </w:r>
      <w:r>
        <w:t>,</w:t>
      </w:r>
      <w:r w:rsidRPr="0051649F">
        <w:t xml:space="preserve"> A</w:t>
      </w:r>
      <w:r>
        <w:t>lice</w:t>
      </w:r>
      <w:r w:rsidRPr="0051649F">
        <w:t xml:space="preserve"> Edwards and L</w:t>
      </w:r>
      <w:r>
        <w:t>aura</w:t>
      </w:r>
      <w:r w:rsidRPr="0051649F">
        <w:t xml:space="preserve"> </w:t>
      </w:r>
      <w:r>
        <w:t>v</w:t>
      </w:r>
      <w:r w:rsidRPr="0051649F">
        <w:t>an Waas</w:t>
      </w:r>
      <w:r>
        <w:t>,</w:t>
      </w:r>
      <w:r w:rsidRPr="0051649F">
        <w:t xml:space="preserve"> eds</w:t>
      </w:r>
      <w:r>
        <w:t>.</w:t>
      </w:r>
      <w:r w:rsidRPr="005E6DC5">
        <w:rPr>
          <w:i/>
          <w:iCs/>
        </w:rPr>
        <w:t xml:space="preserve"> </w:t>
      </w:r>
      <w:r w:rsidRPr="004145D7">
        <w:t>(</w:t>
      </w:r>
      <w:r>
        <w:t xml:space="preserve">Cambridge, United Kingdom, Cambridge University Press, </w:t>
      </w:r>
      <w:r w:rsidRPr="00443E41">
        <w:t>2014),</w:t>
      </w:r>
      <w:r w:rsidRPr="00D5763E">
        <w:t xml:space="preserve"> p. 35</w:t>
      </w:r>
      <w:r w:rsidRPr="00443E41">
        <w:t>.</w:t>
      </w:r>
    </w:p>
  </w:footnote>
  <w:footnote w:id="85">
    <w:p w14:paraId="6E661071" w14:textId="77777777" w:rsidR="0082031F" w:rsidRPr="00110300" w:rsidRDefault="0082031F" w:rsidP="0082031F">
      <w:pPr>
        <w:pStyle w:val="FootnoteText"/>
      </w:pPr>
      <w:r>
        <w:tab/>
      </w:r>
      <w:r w:rsidRPr="00A81C62">
        <w:rPr>
          <w:rStyle w:val="FootnoteReference"/>
        </w:rPr>
        <w:footnoteRef/>
      </w:r>
      <w:r>
        <w:tab/>
      </w:r>
      <w:r w:rsidRPr="00041041">
        <w:t>S</w:t>
      </w:r>
      <w:r w:rsidRPr="00110300">
        <w:t>ee https://casebook.icrc.org/a_to_z/glossary/access</w:t>
      </w:r>
      <w:r>
        <w:t>.</w:t>
      </w:r>
    </w:p>
  </w:footnote>
  <w:footnote w:id="86">
    <w:p w14:paraId="5C91B3DD" w14:textId="25AB7E47" w:rsidR="0082031F" w:rsidRPr="003A0791" w:rsidRDefault="0082031F" w:rsidP="00EC0395">
      <w:pPr>
        <w:pStyle w:val="FootnoteText"/>
      </w:pPr>
      <w:r>
        <w:tab/>
      </w:r>
      <w:r w:rsidRPr="00A81C62">
        <w:rPr>
          <w:rStyle w:val="FootnoteReference"/>
        </w:rPr>
        <w:footnoteRef/>
      </w:r>
      <w:r>
        <w:tab/>
      </w:r>
      <w:r w:rsidRPr="003A0791">
        <w:rPr>
          <w:i/>
          <w:iCs/>
          <w:color w:val="000000" w:themeColor="text1"/>
          <w:lang w:val="en"/>
        </w:rPr>
        <w:t>Maritza Urrutia v</w:t>
      </w:r>
      <w:r>
        <w:rPr>
          <w:i/>
          <w:iCs/>
          <w:color w:val="000000" w:themeColor="text1"/>
          <w:lang w:val="en"/>
        </w:rPr>
        <w:t>.</w:t>
      </w:r>
      <w:r w:rsidRPr="003A0791">
        <w:rPr>
          <w:i/>
          <w:iCs/>
          <w:color w:val="000000" w:themeColor="text1"/>
          <w:lang w:val="en"/>
        </w:rPr>
        <w:t xml:space="preserve"> Guatemala</w:t>
      </w:r>
      <w:r w:rsidRPr="003A0791">
        <w:rPr>
          <w:color w:val="000000" w:themeColor="text1"/>
          <w:lang w:val="en"/>
        </w:rPr>
        <w:t xml:space="preserve">, </w:t>
      </w:r>
      <w:r w:rsidRPr="003A0791">
        <w:t>Judgment</w:t>
      </w:r>
      <w:r>
        <w:t>,</w:t>
      </w:r>
      <w:r w:rsidRPr="003A0791">
        <w:t xml:space="preserve"> 27 November 2003, para. 85.</w:t>
      </w:r>
    </w:p>
  </w:footnote>
  <w:footnote w:id="87">
    <w:p w14:paraId="5CAE0604" w14:textId="6BE5EE26" w:rsidR="0082031F" w:rsidRPr="00041041" w:rsidRDefault="0082031F" w:rsidP="0082031F">
      <w:pPr>
        <w:pStyle w:val="FootnoteText"/>
      </w:pPr>
      <w:r>
        <w:tab/>
      </w:r>
      <w:r w:rsidRPr="00A81C62">
        <w:rPr>
          <w:rStyle w:val="FootnoteReference"/>
        </w:rPr>
        <w:footnoteRef/>
      </w:r>
      <w:r>
        <w:tab/>
        <w:t xml:space="preserve">See </w:t>
      </w:r>
      <w:r w:rsidRPr="00EB2935">
        <w:t>Ramin Mah</w:t>
      </w:r>
      <w:r>
        <w:t>n</w:t>
      </w:r>
      <w:r w:rsidRPr="00EB2935">
        <w:t>ad</w:t>
      </w:r>
      <w:r w:rsidRPr="00041041">
        <w:t xml:space="preserve">, </w:t>
      </w:r>
      <w:r w:rsidR="006B49D7">
        <w:t>“</w:t>
      </w:r>
      <w:r w:rsidRPr="00041041">
        <w:t xml:space="preserve">Shielding </w:t>
      </w:r>
      <w:r>
        <w:t>p</w:t>
      </w:r>
      <w:r w:rsidRPr="00041041">
        <w:t xml:space="preserve">risoners of </w:t>
      </w:r>
      <w:r>
        <w:t>w</w:t>
      </w:r>
      <w:r w:rsidRPr="00041041">
        <w:t xml:space="preserve">ar from </w:t>
      </w:r>
      <w:r>
        <w:t>p</w:t>
      </w:r>
      <w:r w:rsidRPr="00041041">
        <w:t xml:space="preserve">ublic </w:t>
      </w:r>
      <w:r>
        <w:t>c</w:t>
      </w:r>
      <w:r w:rsidRPr="00041041">
        <w:t>uriosity</w:t>
      </w:r>
      <w:r w:rsidR="006B49D7">
        <w:t>”</w:t>
      </w:r>
      <w:r w:rsidRPr="00041041">
        <w:t xml:space="preserve">, </w:t>
      </w:r>
      <w:r>
        <w:t>ICRC, Humanitarian Law and Policy,</w:t>
      </w:r>
      <w:r w:rsidRPr="00041041">
        <w:t xml:space="preserve"> 28 June 2022</w:t>
      </w:r>
      <w:r>
        <w:t>.</w:t>
      </w:r>
    </w:p>
  </w:footnote>
  <w:footnote w:id="88">
    <w:p w14:paraId="1B29B467" w14:textId="2D4345CF" w:rsidR="0082031F" w:rsidRPr="001C7F3D" w:rsidRDefault="0082031F" w:rsidP="0082031F">
      <w:pPr>
        <w:pStyle w:val="FootnoteText"/>
      </w:pPr>
      <w:r>
        <w:tab/>
      </w:r>
      <w:r w:rsidRPr="00A81C62">
        <w:rPr>
          <w:rStyle w:val="FootnoteReference"/>
        </w:rPr>
        <w:footnoteRef/>
      </w:r>
      <w:r>
        <w:tab/>
      </w:r>
      <w:r w:rsidRPr="00041041">
        <w:t xml:space="preserve">See </w:t>
      </w:r>
      <w:r>
        <w:t>a</w:t>
      </w:r>
      <w:r w:rsidRPr="00041041">
        <w:t>rt</w:t>
      </w:r>
      <w:r>
        <w:t>icle</w:t>
      </w:r>
      <w:r w:rsidRPr="00041041">
        <w:t xml:space="preserve"> 24</w:t>
      </w:r>
      <w:r w:rsidR="00BA4645">
        <w:t xml:space="preserve"> </w:t>
      </w:r>
      <w:r>
        <w:t>(</w:t>
      </w:r>
      <w:r w:rsidRPr="00041041">
        <w:t>1</w:t>
      </w:r>
      <w:r>
        <w:t>)</w:t>
      </w:r>
      <w:r w:rsidRPr="00041041">
        <w:t xml:space="preserve"> of the International Convention for the Protection of All Persons from Enforced Disappearance</w:t>
      </w:r>
      <w:r>
        <w:t xml:space="preserve">; </w:t>
      </w:r>
      <w:r w:rsidRPr="001C7F3D">
        <w:t xml:space="preserve">and </w:t>
      </w:r>
      <w:hyperlink r:id="rId22" w:history="1">
        <w:r w:rsidRPr="0084264A">
          <w:rPr>
            <w:rStyle w:val="Hyperlink"/>
          </w:rPr>
          <w:t>A/HRC/WGEID/1</w:t>
        </w:r>
      </w:hyperlink>
      <w:r w:rsidRPr="001C7F3D">
        <w:t xml:space="preserve">, para. 9. See </w:t>
      </w:r>
      <w:r>
        <w:t>also s</w:t>
      </w:r>
      <w:r w:rsidRPr="001C7F3D">
        <w:t xml:space="preserve">ubmission of </w:t>
      </w:r>
      <w:r>
        <w:t>the Working Group on Enforced or Involuntary Disappearances</w:t>
      </w:r>
      <w:r w:rsidRPr="001C7F3D">
        <w:t>.</w:t>
      </w:r>
    </w:p>
  </w:footnote>
  <w:footnote w:id="89">
    <w:p w14:paraId="29FA8AF1" w14:textId="0890BED3" w:rsidR="0082031F" w:rsidRPr="002E6E62" w:rsidRDefault="0082031F" w:rsidP="0082031F">
      <w:pPr>
        <w:pStyle w:val="FootnoteText"/>
      </w:pPr>
      <w:r>
        <w:tab/>
      </w:r>
      <w:r w:rsidRPr="00A81C62">
        <w:rPr>
          <w:rStyle w:val="FootnoteReference"/>
        </w:rPr>
        <w:footnoteRef/>
      </w:r>
      <w:r>
        <w:tab/>
      </w:r>
      <w:hyperlink r:id="rId23" w:history="1">
        <w:r w:rsidRPr="0084264A">
          <w:rPr>
            <w:rStyle w:val="Hyperlink"/>
          </w:rPr>
          <w:t>E/CN.4/2005/6</w:t>
        </w:r>
      </w:hyperlink>
      <w:r w:rsidRPr="002E6E62">
        <w:t>, para. 66.</w:t>
      </w:r>
    </w:p>
  </w:footnote>
  <w:footnote w:id="90">
    <w:p w14:paraId="0BB109E2" w14:textId="77777777" w:rsidR="0082031F" w:rsidRPr="008E5F0C" w:rsidRDefault="0082031F" w:rsidP="0082031F">
      <w:pPr>
        <w:pStyle w:val="FootnoteText"/>
      </w:pPr>
      <w:r w:rsidRPr="002E6E62">
        <w:tab/>
      </w:r>
      <w:r w:rsidRPr="00A81C62">
        <w:rPr>
          <w:rStyle w:val="FootnoteReference"/>
        </w:rPr>
        <w:footnoteRef/>
      </w:r>
      <w:r w:rsidRPr="002E6E62">
        <w:tab/>
        <w:t>Submission of REDRESS.</w:t>
      </w:r>
    </w:p>
  </w:footnote>
  <w:footnote w:id="91">
    <w:p w14:paraId="21D4DDC6" w14:textId="03C34497" w:rsidR="0082031F" w:rsidRDefault="0082031F" w:rsidP="0082031F">
      <w:pPr>
        <w:pStyle w:val="FootnoteText"/>
      </w:pPr>
      <w:r>
        <w:tab/>
      </w:r>
      <w:r w:rsidRPr="00A81C62">
        <w:rPr>
          <w:rStyle w:val="FootnoteReference"/>
        </w:rPr>
        <w:footnoteRef/>
      </w:r>
      <w:r>
        <w:tab/>
        <w:t xml:space="preserve">See </w:t>
      </w:r>
      <w:hyperlink r:id="rId24" w:history="1">
        <w:r w:rsidRPr="0084264A">
          <w:rPr>
            <w:rStyle w:val="Hyperlink"/>
          </w:rPr>
          <w:t>A/77/502</w:t>
        </w:r>
      </w:hyperlink>
      <w:r>
        <w:t>, sect. IV.</w:t>
      </w:r>
    </w:p>
  </w:footnote>
  <w:footnote w:id="92">
    <w:p w14:paraId="7E4CB105" w14:textId="1D8C8F8A" w:rsidR="0082031F" w:rsidRPr="00AB63AE" w:rsidRDefault="0082031F" w:rsidP="006E71D0">
      <w:pPr>
        <w:pStyle w:val="FootnoteText"/>
      </w:pPr>
      <w:r>
        <w:tab/>
      </w:r>
      <w:r w:rsidRPr="00A81C62">
        <w:rPr>
          <w:rStyle w:val="FootnoteReference"/>
        </w:rPr>
        <w:footnoteRef/>
      </w:r>
      <w:r>
        <w:tab/>
      </w:r>
      <w:hyperlink r:id="rId25" w:history="1">
        <w:r w:rsidRPr="0084264A">
          <w:rPr>
            <w:rStyle w:val="Hyperlink"/>
          </w:rPr>
          <w:t>A/HRC/24/47</w:t>
        </w:r>
      </w:hyperlink>
      <w:r w:rsidRPr="00AB63AE">
        <w:t xml:space="preserve">, para. 24, citing </w:t>
      </w:r>
      <w:r w:rsidRPr="008B350C">
        <w:rPr>
          <w:szCs w:val="18"/>
        </w:rPr>
        <w:t>E</w:t>
      </w:r>
      <w:r>
        <w:rPr>
          <w:szCs w:val="18"/>
        </w:rPr>
        <w:t>llen</w:t>
      </w:r>
      <w:r w:rsidRPr="008B350C">
        <w:rPr>
          <w:szCs w:val="18"/>
        </w:rPr>
        <w:t xml:space="preserve"> Giebels, S</w:t>
      </w:r>
      <w:r>
        <w:rPr>
          <w:szCs w:val="18"/>
        </w:rPr>
        <w:t>igrid</w:t>
      </w:r>
      <w:r w:rsidRPr="008B350C">
        <w:rPr>
          <w:szCs w:val="18"/>
        </w:rPr>
        <w:t xml:space="preserve"> Noelanders and</w:t>
      </w:r>
      <w:r>
        <w:rPr>
          <w:szCs w:val="18"/>
        </w:rPr>
        <w:t xml:space="preserve"> </w:t>
      </w:r>
      <w:r w:rsidRPr="008B350C">
        <w:rPr>
          <w:szCs w:val="18"/>
        </w:rPr>
        <w:t>G</w:t>
      </w:r>
      <w:r>
        <w:rPr>
          <w:szCs w:val="18"/>
        </w:rPr>
        <w:t>eert</w:t>
      </w:r>
      <w:r w:rsidRPr="008B350C">
        <w:rPr>
          <w:szCs w:val="18"/>
        </w:rPr>
        <w:t xml:space="preserve"> Vervaeke, </w:t>
      </w:r>
      <w:r w:rsidR="006B49D7">
        <w:rPr>
          <w:szCs w:val="18"/>
        </w:rPr>
        <w:t>“</w:t>
      </w:r>
      <w:r w:rsidRPr="008B350C">
        <w:rPr>
          <w:szCs w:val="18"/>
        </w:rPr>
        <w:t>The Hostage Experience: Implications for Negotiation Strategies</w:t>
      </w:r>
      <w:r w:rsidR="006B49D7">
        <w:rPr>
          <w:szCs w:val="18"/>
        </w:rPr>
        <w:t>”</w:t>
      </w:r>
      <w:r w:rsidRPr="008B350C">
        <w:rPr>
          <w:szCs w:val="18"/>
        </w:rPr>
        <w:t xml:space="preserve">, </w:t>
      </w:r>
      <w:r w:rsidRPr="00003D23">
        <w:rPr>
          <w:i/>
          <w:szCs w:val="18"/>
        </w:rPr>
        <w:t>Clinical Psychology and Psychotherapy</w:t>
      </w:r>
      <w:r>
        <w:rPr>
          <w:szCs w:val="18"/>
        </w:rPr>
        <w:t>, vol.</w:t>
      </w:r>
      <w:r w:rsidR="00E9019C">
        <w:rPr>
          <w:szCs w:val="18"/>
        </w:rPr>
        <w:t> </w:t>
      </w:r>
      <w:r>
        <w:rPr>
          <w:szCs w:val="18"/>
        </w:rPr>
        <w:t>12, No. 3, pp. 241–253.</w:t>
      </w:r>
    </w:p>
  </w:footnote>
  <w:footnote w:id="93">
    <w:p w14:paraId="5F300094" w14:textId="70C9B428" w:rsidR="0082031F" w:rsidRPr="00D51364" w:rsidRDefault="0082031F" w:rsidP="006E71D0">
      <w:pPr>
        <w:pStyle w:val="FootnoteText"/>
      </w:pPr>
      <w:r>
        <w:tab/>
      </w:r>
      <w:r w:rsidRPr="00A81C62">
        <w:rPr>
          <w:rStyle w:val="FootnoteReference"/>
        </w:rPr>
        <w:footnoteRef/>
      </w:r>
      <w:r>
        <w:tab/>
      </w:r>
      <w:r w:rsidRPr="00AB63AE">
        <w:t>Ibid</w:t>
      </w:r>
      <w:r>
        <w:t>.</w:t>
      </w:r>
      <w:r w:rsidRPr="00AB63AE">
        <w:t>, para. 26</w:t>
      </w:r>
      <w:r>
        <w:t xml:space="preserve">, citing </w:t>
      </w:r>
      <w:r w:rsidRPr="00AE4171">
        <w:rPr>
          <w:szCs w:val="18"/>
        </w:rPr>
        <w:t>D</w:t>
      </w:r>
      <w:r>
        <w:rPr>
          <w:szCs w:val="18"/>
        </w:rPr>
        <w:t xml:space="preserve">avid </w:t>
      </w:r>
      <w:r w:rsidRPr="00AE4171">
        <w:rPr>
          <w:szCs w:val="18"/>
        </w:rPr>
        <w:t>A. Alexander and S</w:t>
      </w:r>
      <w:r>
        <w:rPr>
          <w:szCs w:val="18"/>
        </w:rPr>
        <w:t>usan</w:t>
      </w:r>
      <w:r w:rsidRPr="00AE4171">
        <w:rPr>
          <w:szCs w:val="18"/>
        </w:rPr>
        <w:t xml:space="preserve"> Klein, </w:t>
      </w:r>
      <w:r w:rsidR="006B49D7">
        <w:rPr>
          <w:szCs w:val="18"/>
        </w:rPr>
        <w:t>“</w:t>
      </w:r>
      <w:r w:rsidRPr="00AE4171">
        <w:rPr>
          <w:szCs w:val="18"/>
        </w:rPr>
        <w:t xml:space="preserve">Kidnapping and </w:t>
      </w:r>
      <w:r>
        <w:rPr>
          <w:szCs w:val="18"/>
        </w:rPr>
        <w:t>h</w:t>
      </w:r>
      <w:r w:rsidRPr="00AE4171">
        <w:rPr>
          <w:szCs w:val="18"/>
        </w:rPr>
        <w:t xml:space="preserve">ostage-taking: </w:t>
      </w:r>
      <w:r>
        <w:rPr>
          <w:szCs w:val="18"/>
        </w:rPr>
        <w:t>a</w:t>
      </w:r>
      <w:r w:rsidRPr="00AE4171">
        <w:rPr>
          <w:szCs w:val="18"/>
        </w:rPr>
        <w:t xml:space="preserve"> </w:t>
      </w:r>
      <w:r>
        <w:rPr>
          <w:szCs w:val="18"/>
        </w:rPr>
        <w:t>r</w:t>
      </w:r>
      <w:r w:rsidRPr="00AE4171">
        <w:rPr>
          <w:szCs w:val="18"/>
        </w:rPr>
        <w:t xml:space="preserve">eview of </w:t>
      </w:r>
      <w:r>
        <w:rPr>
          <w:szCs w:val="18"/>
        </w:rPr>
        <w:t>e</w:t>
      </w:r>
      <w:r w:rsidRPr="00AE4171">
        <w:rPr>
          <w:szCs w:val="18"/>
        </w:rPr>
        <w:t xml:space="preserve">ffects, </w:t>
      </w:r>
      <w:r>
        <w:rPr>
          <w:szCs w:val="18"/>
        </w:rPr>
        <w:t>c</w:t>
      </w:r>
      <w:r w:rsidRPr="00AE4171">
        <w:rPr>
          <w:szCs w:val="18"/>
        </w:rPr>
        <w:t xml:space="preserve">oping and </w:t>
      </w:r>
      <w:r>
        <w:rPr>
          <w:szCs w:val="18"/>
        </w:rPr>
        <w:t>r</w:t>
      </w:r>
      <w:r w:rsidRPr="00AE4171">
        <w:rPr>
          <w:szCs w:val="18"/>
        </w:rPr>
        <w:t>esilience</w:t>
      </w:r>
      <w:r w:rsidR="006B49D7">
        <w:rPr>
          <w:szCs w:val="18"/>
        </w:rPr>
        <w:t>”</w:t>
      </w:r>
      <w:r w:rsidRPr="00AE4171">
        <w:rPr>
          <w:szCs w:val="18"/>
        </w:rPr>
        <w:t xml:space="preserve">, </w:t>
      </w:r>
      <w:r w:rsidRPr="00AE4171">
        <w:rPr>
          <w:i/>
          <w:szCs w:val="18"/>
        </w:rPr>
        <w:t>Journal of the Royal Society of Medicine</w:t>
      </w:r>
      <w:r>
        <w:rPr>
          <w:szCs w:val="18"/>
        </w:rPr>
        <w:t xml:space="preserve">, vol. 102, No. 1, </w:t>
      </w:r>
      <w:r w:rsidRPr="00AE4171">
        <w:rPr>
          <w:szCs w:val="18"/>
        </w:rPr>
        <w:t>2009</w:t>
      </w:r>
      <w:r>
        <w:rPr>
          <w:szCs w:val="18"/>
        </w:rPr>
        <w:t>, p.</w:t>
      </w:r>
      <w:r w:rsidR="006E71D0">
        <w:rPr>
          <w:szCs w:val="18"/>
        </w:rPr>
        <w:t> </w:t>
      </w:r>
      <w:r>
        <w:rPr>
          <w:szCs w:val="18"/>
        </w:rPr>
        <w:t>18.</w:t>
      </w:r>
    </w:p>
  </w:footnote>
  <w:footnote w:id="94">
    <w:p w14:paraId="4F932008" w14:textId="77777777" w:rsidR="0082031F" w:rsidRPr="00A54D3F" w:rsidRDefault="0082031F" w:rsidP="0082031F">
      <w:pPr>
        <w:pStyle w:val="FootnoteText"/>
        <w:rPr>
          <w:lang w:val="en-CA"/>
        </w:rPr>
      </w:pPr>
      <w:r>
        <w:tab/>
      </w:r>
      <w:r w:rsidRPr="00A81C62">
        <w:rPr>
          <w:rStyle w:val="FootnoteReference"/>
        </w:rPr>
        <w:footnoteRef/>
      </w:r>
      <w:r>
        <w:tab/>
        <w:t xml:space="preserve">Submission </w:t>
      </w:r>
      <w:r w:rsidRPr="008E5F0C">
        <w:t xml:space="preserve">of </w:t>
      </w:r>
      <w:r w:rsidRPr="008E5F0C">
        <w:rPr>
          <w:szCs w:val="18"/>
        </w:rPr>
        <w:t>Hostage Aid Israel.</w:t>
      </w:r>
    </w:p>
  </w:footnote>
  <w:footnote w:id="95">
    <w:p w14:paraId="5A40ACD2" w14:textId="77777777" w:rsidR="0082031F" w:rsidRDefault="0082031F" w:rsidP="0082031F">
      <w:pPr>
        <w:pStyle w:val="FootnoteText"/>
      </w:pPr>
      <w:r>
        <w:tab/>
      </w:r>
      <w:r w:rsidRPr="00A81C62">
        <w:rPr>
          <w:rStyle w:val="FootnoteReference"/>
        </w:rPr>
        <w:footnoteRef/>
      </w:r>
      <w:r>
        <w:tab/>
        <w:t>Ibid.</w:t>
      </w:r>
    </w:p>
  </w:footnote>
  <w:footnote w:id="96">
    <w:p w14:paraId="7E32CCED" w14:textId="5CBE372E" w:rsidR="0082031F" w:rsidRPr="00344F7A" w:rsidRDefault="0082031F" w:rsidP="0082031F">
      <w:pPr>
        <w:pStyle w:val="FootnoteText"/>
        <w:rPr>
          <w:b/>
          <w:bCs/>
        </w:rPr>
      </w:pPr>
      <w:r>
        <w:tab/>
      </w:r>
      <w:r w:rsidRPr="00A81C62">
        <w:rPr>
          <w:rStyle w:val="FootnoteReference"/>
        </w:rPr>
        <w:footnoteRef/>
      </w:r>
      <w:r>
        <w:tab/>
      </w:r>
      <w:r w:rsidRPr="00344F7A">
        <w:t xml:space="preserve">See </w:t>
      </w:r>
      <w:r>
        <w:t>Bernard Duhaime,</w:t>
      </w:r>
      <w:r w:rsidRPr="00344F7A">
        <w:rPr>
          <w:shd w:val="clear" w:color="auto" w:fill="FFFFFF"/>
        </w:rPr>
        <w:t xml:space="preserve"> </w:t>
      </w:r>
      <w:r>
        <w:rPr>
          <w:shd w:val="clear" w:color="auto" w:fill="FFFFFF"/>
        </w:rPr>
        <w:t xml:space="preserve">Juan E. </w:t>
      </w:r>
      <w:r w:rsidRPr="00344F7A">
        <w:rPr>
          <w:shd w:val="clear" w:color="auto" w:fill="FFFFFF"/>
        </w:rPr>
        <w:t>Méndez</w:t>
      </w:r>
      <w:r>
        <w:rPr>
          <w:shd w:val="clear" w:color="auto" w:fill="FFFFFF"/>
        </w:rPr>
        <w:t xml:space="preserve"> and Pau Perez-Sales</w:t>
      </w:r>
      <w:r w:rsidRPr="00344F7A">
        <w:rPr>
          <w:shd w:val="clear" w:color="auto" w:fill="FFFFFF"/>
        </w:rPr>
        <w:t xml:space="preserve">, </w:t>
      </w:r>
      <w:r w:rsidR="006B49D7">
        <w:rPr>
          <w:shd w:val="clear" w:color="auto" w:fill="FFFFFF"/>
        </w:rPr>
        <w:t>“</w:t>
      </w:r>
      <w:r w:rsidRPr="00344F7A">
        <w:rPr>
          <w:shd w:val="clear" w:color="auto" w:fill="FFFFFF"/>
        </w:rPr>
        <w:t>Current debates, developments and challenges regarding torture, enforced disappearances and human rights</w:t>
      </w:r>
      <w:r w:rsidR="006B49D7">
        <w:rPr>
          <w:shd w:val="clear" w:color="auto" w:fill="FFFFFF"/>
        </w:rPr>
        <w:t>”</w:t>
      </w:r>
      <w:r>
        <w:rPr>
          <w:shd w:val="clear" w:color="auto" w:fill="FFFFFF"/>
        </w:rPr>
        <w:t>,</w:t>
      </w:r>
      <w:r w:rsidR="00F218A2">
        <w:rPr>
          <w:shd w:val="clear" w:color="auto" w:fill="FFFFFF"/>
        </w:rPr>
        <w:t xml:space="preserve"> </w:t>
      </w:r>
      <w:r w:rsidRPr="00344F7A">
        <w:rPr>
          <w:i/>
          <w:iCs/>
        </w:rPr>
        <w:t>Torture Journal</w:t>
      </w:r>
      <w:r>
        <w:rPr>
          <w:i/>
          <w:iCs/>
        </w:rPr>
        <w:t>: Journal on Rehabilitation of Torture Victims and Prevention of Torture</w:t>
      </w:r>
      <w:r w:rsidRPr="00F454A8">
        <w:rPr>
          <w:shd w:val="clear" w:color="auto" w:fill="FFFFFF"/>
        </w:rPr>
        <w:t>,</w:t>
      </w:r>
      <w:r w:rsidR="00F218A2">
        <w:rPr>
          <w:shd w:val="clear" w:color="auto" w:fill="FFFFFF"/>
        </w:rPr>
        <w:t xml:space="preserve"> </w:t>
      </w:r>
      <w:r>
        <w:rPr>
          <w:shd w:val="clear" w:color="auto" w:fill="FFFFFF"/>
        </w:rPr>
        <w:t xml:space="preserve">vol. </w:t>
      </w:r>
      <w:r w:rsidRPr="008F4301">
        <w:t>31</w:t>
      </w:r>
      <w:r>
        <w:t xml:space="preserve">, No. </w:t>
      </w:r>
      <w:r w:rsidRPr="00344F7A">
        <w:rPr>
          <w:shd w:val="clear" w:color="auto" w:fill="FFFFFF"/>
        </w:rPr>
        <w:t>2</w:t>
      </w:r>
      <w:r>
        <w:rPr>
          <w:shd w:val="clear" w:color="auto" w:fill="FFFFFF"/>
        </w:rPr>
        <w:t xml:space="preserve"> (2021)</w:t>
      </w:r>
      <w:r w:rsidRPr="00344F7A">
        <w:rPr>
          <w:shd w:val="clear" w:color="auto" w:fill="FFFFFF"/>
        </w:rPr>
        <w:t>,</w:t>
      </w:r>
      <w:r>
        <w:rPr>
          <w:shd w:val="clear" w:color="auto" w:fill="FFFFFF"/>
        </w:rPr>
        <w:t xml:space="preserve"> pp.</w:t>
      </w:r>
      <w:r w:rsidRPr="00344F7A">
        <w:rPr>
          <w:shd w:val="clear" w:color="auto" w:fill="FFFFFF"/>
        </w:rPr>
        <w:t xml:space="preserve"> 3–13.</w:t>
      </w:r>
    </w:p>
  </w:footnote>
  <w:footnote w:id="97">
    <w:p w14:paraId="7DEC9BBA" w14:textId="155484F1" w:rsidR="0082031F" w:rsidRDefault="0082031F" w:rsidP="0082031F">
      <w:pPr>
        <w:pStyle w:val="FootnoteText"/>
      </w:pPr>
      <w:r>
        <w:tab/>
      </w:r>
      <w:r w:rsidRPr="00A81C62">
        <w:rPr>
          <w:rStyle w:val="FootnoteReference"/>
        </w:rPr>
        <w:footnoteRef/>
      </w:r>
      <w:r>
        <w:tab/>
        <w:t>See a</w:t>
      </w:r>
      <w:r w:rsidRPr="00DD5800">
        <w:t>rticles 9, 10, 18, 19</w:t>
      </w:r>
      <w:r>
        <w:t xml:space="preserve"> and</w:t>
      </w:r>
      <w:r w:rsidRPr="00DD5800">
        <w:t xml:space="preserve"> 37</w:t>
      </w:r>
      <w:r>
        <w:t>–</w:t>
      </w:r>
      <w:r w:rsidRPr="00DD5800">
        <w:t>39</w:t>
      </w:r>
      <w:r w:rsidRPr="007061EF">
        <w:t>.</w:t>
      </w:r>
    </w:p>
  </w:footnote>
  <w:footnote w:id="98">
    <w:p w14:paraId="791F23AE" w14:textId="5F11E783" w:rsidR="0082031F" w:rsidRDefault="0082031F" w:rsidP="0082031F">
      <w:pPr>
        <w:pStyle w:val="FootnoteText"/>
      </w:pPr>
      <w:r>
        <w:tab/>
      </w:r>
      <w:r w:rsidRPr="00A81C62">
        <w:rPr>
          <w:rStyle w:val="FootnoteReference"/>
        </w:rPr>
        <w:footnoteRef/>
      </w:r>
      <w:r>
        <w:tab/>
        <w:t>Submission of Hostages Aid Israel.</w:t>
      </w:r>
    </w:p>
  </w:footnote>
  <w:footnote w:id="99">
    <w:p w14:paraId="3AA8C6D1" w14:textId="77777777" w:rsidR="0082031F" w:rsidRPr="008E5F0C" w:rsidRDefault="0082031F" w:rsidP="0082031F">
      <w:pPr>
        <w:pStyle w:val="FootnoteText"/>
      </w:pPr>
      <w:r>
        <w:tab/>
      </w:r>
      <w:r w:rsidRPr="00A81C62">
        <w:rPr>
          <w:rStyle w:val="FootnoteReference"/>
        </w:rPr>
        <w:footnoteRef/>
      </w:r>
      <w:r>
        <w:tab/>
      </w:r>
      <w:r w:rsidRPr="002E6E62">
        <w:t>Submission of REDRESS.</w:t>
      </w:r>
    </w:p>
  </w:footnote>
  <w:footnote w:id="100">
    <w:p w14:paraId="77E01C76" w14:textId="77777777" w:rsidR="0082031F" w:rsidRPr="008F74AF" w:rsidRDefault="0082031F" w:rsidP="0082031F">
      <w:pPr>
        <w:pStyle w:val="FootnoteText"/>
      </w:pPr>
      <w:r>
        <w:tab/>
      </w:r>
      <w:r w:rsidRPr="00A81C62">
        <w:rPr>
          <w:rStyle w:val="FootnoteReference"/>
        </w:rPr>
        <w:footnoteRef/>
      </w:r>
      <w:r>
        <w:tab/>
        <w:t>Submission of the Soufan Centre.</w:t>
      </w:r>
    </w:p>
  </w:footnote>
  <w:footnote w:id="101">
    <w:p w14:paraId="6BB0C138" w14:textId="77777777" w:rsidR="0082031F" w:rsidRPr="003E2B08" w:rsidRDefault="0082031F" w:rsidP="0082031F">
      <w:pPr>
        <w:pStyle w:val="FootnoteText"/>
      </w:pPr>
      <w:r>
        <w:tab/>
      </w:r>
      <w:r w:rsidRPr="00A81C62">
        <w:rPr>
          <w:rStyle w:val="FootnoteReference"/>
        </w:rPr>
        <w:footnoteRef/>
      </w:r>
      <w:r>
        <w:tab/>
        <w:t>Committee against Torture, general comment No. 3 (2012), para. 22.</w:t>
      </w:r>
    </w:p>
  </w:footnote>
  <w:footnote w:id="102">
    <w:p w14:paraId="76F15FFA" w14:textId="2076D399" w:rsidR="0082031F" w:rsidRPr="005E20A0" w:rsidRDefault="0082031F" w:rsidP="0082031F">
      <w:pPr>
        <w:pStyle w:val="FootnoteText"/>
      </w:pPr>
      <w:r>
        <w:tab/>
      </w:r>
      <w:r w:rsidRPr="00A81C62">
        <w:rPr>
          <w:rStyle w:val="FootnoteReference"/>
        </w:rPr>
        <w:footnoteRef/>
      </w:r>
      <w:r>
        <w:tab/>
        <w:t xml:space="preserve">Convention against Torture Initiative and Organization for Security and Cooperation in Europe </w:t>
      </w:r>
      <w:r w:rsidRPr="005C3734">
        <w:t>Office for Democratic Institutions and Human Rights</w:t>
      </w:r>
      <w:r>
        <w:t xml:space="preserve">, </w:t>
      </w:r>
      <w:r w:rsidR="006B49D7">
        <w:t>“</w:t>
      </w:r>
      <w:r>
        <w:t>Providing rehabilitation to victims of torture and other ill-treatment</w:t>
      </w:r>
      <w:r w:rsidR="006B49D7">
        <w:t>”</w:t>
      </w:r>
      <w:r>
        <w:t xml:space="preserve">, </w:t>
      </w:r>
      <w:r w:rsidRPr="00A817F2">
        <w:t>UNCAT Implementation Tool 5/2018</w:t>
      </w:r>
      <w:r>
        <w:t xml:space="preserve"> (2018).</w:t>
      </w:r>
    </w:p>
  </w:footnote>
  <w:footnote w:id="103">
    <w:p w14:paraId="24FBE38C" w14:textId="77777777" w:rsidR="0082031F" w:rsidRPr="00D153C6" w:rsidRDefault="0082031F" w:rsidP="0082031F">
      <w:pPr>
        <w:pStyle w:val="FootnoteText"/>
      </w:pPr>
      <w:r>
        <w:tab/>
      </w:r>
      <w:r w:rsidRPr="00A81C62">
        <w:rPr>
          <w:rStyle w:val="FootnoteReference"/>
        </w:rPr>
        <w:footnoteRef/>
      </w:r>
      <w:r>
        <w:tab/>
        <w:t>Submission of Hostage International.</w:t>
      </w:r>
    </w:p>
  </w:footnote>
  <w:footnote w:id="104">
    <w:p w14:paraId="6E5530B9" w14:textId="66274781" w:rsidR="0082031F" w:rsidRPr="00D153C6" w:rsidRDefault="0082031F" w:rsidP="0082031F">
      <w:pPr>
        <w:pStyle w:val="FootnoteText"/>
      </w:pPr>
      <w:r>
        <w:tab/>
      </w:r>
      <w:r w:rsidRPr="00A81C62">
        <w:rPr>
          <w:rStyle w:val="FootnoteReference"/>
        </w:rPr>
        <w:footnoteRef/>
      </w:r>
      <w:r>
        <w:tab/>
        <w:t>Ibid.</w:t>
      </w:r>
    </w:p>
  </w:footnote>
  <w:footnote w:id="105">
    <w:p w14:paraId="553B1241" w14:textId="77777777" w:rsidR="0082031F" w:rsidRPr="0014597E" w:rsidRDefault="0082031F" w:rsidP="0082031F">
      <w:pPr>
        <w:pStyle w:val="FootnoteText"/>
      </w:pPr>
      <w:r>
        <w:tab/>
      </w:r>
      <w:r w:rsidRPr="00A81C62">
        <w:rPr>
          <w:rStyle w:val="FootnoteReference"/>
        </w:rPr>
        <w:footnoteRef/>
      </w:r>
      <w:r>
        <w:tab/>
        <w:t>Submission of Hostage US.</w:t>
      </w:r>
    </w:p>
  </w:footnote>
  <w:footnote w:id="106">
    <w:p w14:paraId="56383AED" w14:textId="77777777" w:rsidR="0082031F" w:rsidRPr="00FB52B6" w:rsidRDefault="0082031F" w:rsidP="0082031F">
      <w:pPr>
        <w:pStyle w:val="FootnoteText"/>
      </w:pPr>
      <w:r>
        <w:tab/>
      </w:r>
      <w:r w:rsidRPr="00A81C62">
        <w:rPr>
          <w:rStyle w:val="FootnoteReference"/>
        </w:rPr>
        <w:footnoteRef/>
      </w:r>
      <w:r>
        <w:tab/>
        <w:t xml:space="preserve">Submissions of Hostage International; Hostage US; Hostage and Missing Families Forum and the </w:t>
      </w:r>
      <w:r w:rsidRPr="001565DA">
        <w:t>International Association of Jewish Lawyers and Jurists</w:t>
      </w:r>
      <w:r>
        <w:t>; and October 7 Justice Without Borders.</w:t>
      </w:r>
    </w:p>
  </w:footnote>
  <w:footnote w:id="107">
    <w:p w14:paraId="463984D7" w14:textId="2B470A43" w:rsidR="0082031F" w:rsidRPr="00FE078F" w:rsidRDefault="0082031F" w:rsidP="0082031F">
      <w:pPr>
        <w:pStyle w:val="FootnoteText"/>
      </w:pPr>
      <w:r>
        <w:tab/>
      </w:r>
      <w:r w:rsidRPr="00A81C62">
        <w:rPr>
          <w:rStyle w:val="FootnoteReference"/>
        </w:rPr>
        <w:footnoteRef/>
      </w:r>
      <w:r>
        <w:tab/>
        <w:t>Submissions of</w:t>
      </w:r>
      <w:r w:rsidRPr="00FE078F">
        <w:t xml:space="preserve"> </w:t>
      </w:r>
      <w:r>
        <w:t>Hostage and Missing Families Forum and the International Association of Jewish Lawyers and Jurists; and Olivier Vandecasteele.</w:t>
      </w:r>
    </w:p>
  </w:footnote>
  <w:footnote w:id="108">
    <w:p w14:paraId="27AA17C7" w14:textId="77777777" w:rsidR="0082031F" w:rsidRPr="00FE078F" w:rsidRDefault="0082031F" w:rsidP="0082031F">
      <w:pPr>
        <w:pStyle w:val="FootnoteText"/>
      </w:pPr>
      <w:r>
        <w:tab/>
      </w:r>
      <w:r w:rsidRPr="00A81C62">
        <w:rPr>
          <w:rStyle w:val="FootnoteReference"/>
        </w:rPr>
        <w:footnoteRef/>
      </w:r>
      <w:r>
        <w:tab/>
        <w:t xml:space="preserve">Submission of </w:t>
      </w:r>
      <w:r w:rsidRPr="007061EF">
        <w:t>Adam Rose and Adam Wagner</w:t>
      </w:r>
      <w:r>
        <w:t>.</w:t>
      </w:r>
    </w:p>
  </w:footnote>
  <w:footnote w:id="109">
    <w:p w14:paraId="435F07CE" w14:textId="5F617CA9" w:rsidR="0082031F" w:rsidRPr="008F4301" w:rsidRDefault="0082031F" w:rsidP="0082031F">
      <w:pPr>
        <w:pStyle w:val="FootnoteText"/>
        <w:rPr>
          <w:lang w:val="es-ES"/>
        </w:rPr>
      </w:pPr>
      <w:r>
        <w:tab/>
      </w:r>
      <w:r w:rsidRPr="00A81C62">
        <w:rPr>
          <w:rStyle w:val="FootnoteReference"/>
        </w:rPr>
        <w:footnoteRef/>
      </w:r>
      <w:r w:rsidRPr="008F4301">
        <w:rPr>
          <w:lang w:val="es-ES"/>
        </w:rPr>
        <w:tab/>
        <w:t>Ibid.</w:t>
      </w:r>
    </w:p>
  </w:footnote>
  <w:footnote w:id="110">
    <w:p w14:paraId="2FBB53DC" w14:textId="77777777" w:rsidR="0082031F" w:rsidRPr="008F4301" w:rsidRDefault="0082031F" w:rsidP="0082031F">
      <w:pPr>
        <w:pStyle w:val="FootnoteText"/>
        <w:rPr>
          <w:lang w:val="es-ES"/>
        </w:rPr>
      </w:pPr>
      <w:r w:rsidRPr="008F4301">
        <w:rPr>
          <w:lang w:val="es-ES"/>
        </w:rPr>
        <w:tab/>
      </w:r>
      <w:r w:rsidRPr="00A81C62">
        <w:rPr>
          <w:rStyle w:val="FootnoteReference"/>
        </w:rPr>
        <w:footnoteRef/>
      </w:r>
      <w:r w:rsidRPr="008F4301">
        <w:rPr>
          <w:lang w:val="es-ES"/>
        </w:rPr>
        <w:tab/>
        <w:t>Ibid.</w:t>
      </w:r>
    </w:p>
  </w:footnote>
  <w:footnote w:id="111">
    <w:p w14:paraId="408CF996" w14:textId="39F854CF" w:rsidR="0082031F" w:rsidRPr="00A1394F" w:rsidRDefault="0082031F" w:rsidP="0082031F">
      <w:pPr>
        <w:pStyle w:val="FootnoteText"/>
      </w:pPr>
      <w:r w:rsidRPr="008F4301">
        <w:rPr>
          <w:lang w:val="es-ES"/>
        </w:rPr>
        <w:tab/>
      </w:r>
      <w:r w:rsidRPr="00A81C62">
        <w:rPr>
          <w:rStyle w:val="FootnoteReference"/>
        </w:rPr>
        <w:footnoteRef/>
      </w:r>
      <w:r w:rsidRPr="008F4301">
        <w:rPr>
          <w:lang w:val="es-ES"/>
        </w:rPr>
        <w:tab/>
      </w:r>
      <w:hyperlink r:id="rId26" w:history="1">
        <w:r w:rsidRPr="0084264A">
          <w:rPr>
            <w:rStyle w:val="Hyperlink"/>
            <w:lang w:val="es-ES"/>
          </w:rPr>
          <w:t>A/HRC/56/56</w:t>
        </w:r>
      </w:hyperlink>
      <w:r w:rsidRPr="008F4301">
        <w:rPr>
          <w:lang w:val="es-ES"/>
        </w:rPr>
        <w:t xml:space="preserve">, para. </w:t>
      </w:r>
      <w:r>
        <w:t>61.</w:t>
      </w:r>
    </w:p>
  </w:footnote>
  <w:footnote w:id="112">
    <w:p w14:paraId="7B4FC116" w14:textId="06DA54E1" w:rsidR="0082031F" w:rsidRPr="00894161" w:rsidRDefault="0082031F" w:rsidP="0082031F">
      <w:pPr>
        <w:pStyle w:val="FootnoteText"/>
      </w:pPr>
      <w:r>
        <w:tab/>
      </w:r>
      <w:r w:rsidRPr="00A81C62">
        <w:rPr>
          <w:rStyle w:val="FootnoteReference"/>
        </w:rPr>
        <w:footnoteRef/>
      </w:r>
      <w:r>
        <w:tab/>
        <w:t>Submission of the Soufan Center.</w:t>
      </w:r>
    </w:p>
  </w:footnote>
  <w:footnote w:id="113">
    <w:p w14:paraId="3DAF61C7" w14:textId="77777777" w:rsidR="0082031F" w:rsidRPr="002E6E62" w:rsidRDefault="0082031F" w:rsidP="0082031F">
      <w:pPr>
        <w:pStyle w:val="FootnoteText"/>
      </w:pPr>
      <w:r w:rsidRPr="002E6E62">
        <w:tab/>
      </w:r>
      <w:r w:rsidRPr="00A81C62">
        <w:rPr>
          <w:rStyle w:val="FootnoteReference"/>
        </w:rPr>
        <w:footnoteRef/>
      </w:r>
      <w:r w:rsidRPr="002E6E62">
        <w:tab/>
        <w:t>Submission of Canada.</w:t>
      </w:r>
    </w:p>
  </w:footnote>
  <w:footnote w:id="114">
    <w:p w14:paraId="0C46E1A5" w14:textId="00F700C0" w:rsidR="0082031F" w:rsidRPr="005B6951" w:rsidRDefault="0082031F" w:rsidP="0082031F">
      <w:pPr>
        <w:pStyle w:val="FootnoteText"/>
      </w:pPr>
      <w:r w:rsidRPr="002E6E62">
        <w:tab/>
      </w:r>
      <w:r w:rsidRPr="00A81C62">
        <w:rPr>
          <w:rStyle w:val="FootnoteReference"/>
        </w:rPr>
        <w:footnoteRef/>
      </w:r>
      <w:r w:rsidRPr="002E6E62">
        <w:tab/>
      </w:r>
      <w:r>
        <w:t xml:space="preserve">Parliament of </w:t>
      </w:r>
      <w:r w:rsidRPr="002E6E62">
        <w:t>Australia</w:t>
      </w:r>
      <w:r>
        <w:t>,</w:t>
      </w:r>
      <w:r w:rsidRPr="002E6E62">
        <w:t xml:space="preserve"> Senate Foreign Affairs, Defence</w:t>
      </w:r>
      <w:r>
        <w:t xml:space="preserve"> and Trade References Committee, </w:t>
      </w:r>
      <w:r w:rsidRPr="008F4301">
        <w:rPr>
          <w:i/>
          <w:iCs/>
        </w:rPr>
        <w:t>Wrongful Detention of Australian Citizens Overseas</w:t>
      </w:r>
      <w:r>
        <w:t xml:space="preserve"> (Canberra, 2024).</w:t>
      </w:r>
    </w:p>
  </w:footnote>
  <w:footnote w:id="115">
    <w:p w14:paraId="164B1BF5" w14:textId="77777777" w:rsidR="0082031F" w:rsidRPr="00056404" w:rsidRDefault="0082031F" w:rsidP="0082031F">
      <w:pPr>
        <w:pStyle w:val="FootnoteText"/>
      </w:pPr>
      <w:r>
        <w:tab/>
      </w:r>
      <w:r w:rsidRPr="00A81C62">
        <w:rPr>
          <w:rStyle w:val="FootnoteReference"/>
        </w:rPr>
        <w:footnoteRef/>
      </w:r>
      <w:r>
        <w:tab/>
        <w:t>Submission of Hostage US.</w:t>
      </w:r>
    </w:p>
  </w:footnote>
  <w:footnote w:id="116">
    <w:p w14:paraId="5A7C5580" w14:textId="77777777" w:rsidR="0082031F" w:rsidRPr="00056404" w:rsidRDefault="0082031F" w:rsidP="0082031F">
      <w:pPr>
        <w:pStyle w:val="FootnoteText"/>
      </w:pPr>
      <w:r>
        <w:tab/>
      </w:r>
      <w:r w:rsidRPr="00A81C62">
        <w:rPr>
          <w:rStyle w:val="FootnoteReference"/>
        </w:rPr>
        <w:footnoteRef/>
      </w:r>
      <w:r>
        <w:tab/>
        <w:t>Ibid.</w:t>
      </w:r>
    </w:p>
  </w:footnote>
  <w:footnote w:id="117">
    <w:p w14:paraId="6EE904FC" w14:textId="77777777" w:rsidR="0082031F" w:rsidRPr="00175E28" w:rsidRDefault="0082031F" w:rsidP="0082031F">
      <w:pPr>
        <w:pStyle w:val="FootnoteText"/>
      </w:pPr>
      <w:r>
        <w:tab/>
      </w:r>
      <w:r w:rsidRPr="00A81C62">
        <w:rPr>
          <w:rStyle w:val="FootnoteReference"/>
        </w:rPr>
        <w:footnoteRef/>
      </w:r>
      <w:r>
        <w:tab/>
        <w:t>Submission of Olivier Vandecasteele.</w:t>
      </w:r>
    </w:p>
  </w:footnote>
  <w:footnote w:id="118">
    <w:p w14:paraId="7C71308D" w14:textId="77777777" w:rsidR="0082031F" w:rsidRPr="0094779C" w:rsidRDefault="0082031F" w:rsidP="0082031F">
      <w:pPr>
        <w:pStyle w:val="FootnoteText"/>
      </w:pPr>
      <w:r>
        <w:tab/>
      </w:r>
      <w:r w:rsidRPr="00A81C62">
        <w:rPr>
          <w:rStyle w:val="FootnoteReference"/>
        </w:rPr>
        <w:footnoteRef/>
      </w:r>
      <w:r>
        <w:tab/>
        <w:t>Submission of Adam Rose and Adam Wagner.</w:t>
      </w:r>
    </w:p>
  </w:footnote>
  <w:footnote w:id="119">
    <w:p w14:paraId="1D609EEA" w14:textId="77777777" w:rsidR="0082031F" w:rsidRPr="006F6BFD" w:rsidRDefault="0082031F" w:rsidP="0082031F">
      <w:pPr>
        <w:pStyle w:val="FootnoteText"/>
      </w:pPr>
      <w:r>
        <w:tab/>
      </w:r>
      <w:r w:rsidRPr="00A81C62">
        <w:rPr>
          <w:rStyle w:val="FootnoteReference"/>
        </w:rPr>
        <w:footnoteRef/>
      </w:r>
      <w:r>
        <w:tab/>
        <w:t>Submission of Olivier Vandecasteele.</w:t>
      </w:r>
    </w:p>
  </w:footnote>
  <w:footnote w:id="120">
    <w:p w14:paraId="1EBD3D11" w14:textId="77777777" w:rsidR="0082031F" w:rsidRPr="00F66008" w:rsidRDefault="0082031F" w:rsidP="0082031F">
      <w:pPr>
        <w:pStyle w:val="FootnoteText"/>
      </w:pPr>
      <w:r>
        <w:tab/>
      </w:r>
      <w:r w:rsidRPr="00A81C62">
        <w:rPr>
          <w:rStyle w:val="FootnoteReference"/>
        </w:rPr>
        <w:footnoteRef/>
      </w:r>
      <w:r>
        <w:tab/>
        <w:t>Submission of Hostage Aid Israel.</w:t>
      </w:r>
    </w:p>
  </w:footnote>
  <w:footnote w:id="121">
    <w:p w14:paraId="5CDC88A5" w14:textId="77777777" w:rsidR="0082031F" w:rsidRPr="002E6E62" w:rsidRDefault="0082031F" w:rsidP="0082031F">
      <w:pPr>
        <w:pStyle w:val="FootnoteText"/>
      </w:pPr>
      <w:r>
        <w:tab/>
      </w:r>
      <w:r w:rsidRPr="00A81C62">
        <w:rPr>
          <w:rStyle w:val="FootnoteReference"/>
        </w:rPr>
        <w:footnoteRef/>
      </w:r>
      <w:r>
        <w:tab/>
      </w:r>
      <w:r w:rsidRPr="002E6E62">
        <w:t>Submission of Spain.</w:t>
      </w:r>
    </w:p>
  </w:footnote>
  <w:footnote w:id="122">
    <w:p w14:paraId="1373091F" w14:textId="644BD4BB" w:rsidR="0082031F" w:rsidRPr="006F6BFD" w:rsidRDefault="0082031F" w:rsidP="0082031F">
      <w:pPr>
        <w:pStyle w:val="FootnoteText"/>
      </w:pPr>
      <w:r w:rsidRPr="002E6E62">
        <w:tab/>
      </w:r>
      <w:r w:rsidRPr="00A81C62">
        <w:rPr>
          <w:rStyle w:val="FootnoteReference"/>
        </w:rPr>
        <w:footnoteRef/>
      </w:r>
      <w:r w:rsidRPr="002E6E62">
        <w:tab/>
        <w:t>Submission of</w:t>
      </w:r>
      <w:r>
        <w:t xml:space="preserve"> Hostage International.</w:t>
      </w:r>
    </w:p>
  </w:footnote>
  <w:footnote w:id="123">
    <w:p w14:paraId="3F31A24F" w14:textId="77777777" w:rsidR="0082031F" w:rsidRPr="008F74AF" w:rsidRDefault="0082031F" w:rsidP="0082031F">
      <w:pPr>
        <w:pStyle w:val="FootnoteText"/>
      </w:pPr>
      <w:r>
        <w:tab/>
      </w:r>
      <w:r w:rsidRPr="00A81C62">
        <w:rPr>
          <w:rStyle w:val="FootnoteReference"/>
        </w:rPr>
        <w:footnoteRef/>
      </w:r>
      <w:r>
        <w:tab/>
        <w:t>Submission of the Soufan Centre.</w:t>
      </w:r>
    </w:p>
  </w:footnote>
  <w:footnote w:id="124">
    <w:p w14:paraId="6E2C8571" w14:textId="77777777" w:rsidR="0082031F" w:rsidRPr="007032AD" w:rsidRDefault="0082031F" w:rsidP="0082031F">
      <w:pPr>
        <w:pStyle w:val="FootnoteText"/>
      </w:pPr>
      <w:r>
        <w:tab/>
      </w:r>
      <w:r w:rsidRPr="00A81C62">
        <w:rPr>
          <w:rStyle w:val="FootnoteReference"/>
        </w:rPr>
        <w:footnoteRef/>
      </w:r>
      <w:r>
        <w:tab/>
        <w:t>Submission of Hostage Aide Worldwide.</w:t>
      </w:r>
    </w:p>
  </w:footnote>
  <w:footnote w:id="125">
    <w:p w14:paraId="3D082A99" w14:textId="4C2D015E" w:rsidR="0082031F" w:rsidRPr="007032AD" w:rsidRDefault="0082031F" w:rsidP="0082031F">
      <w:pPr>
        <w:pStyle w:val="FootnoteText"/>
      </w:pPr>
      <w:r>
        <w:tab/>
      </w:r>
      <w:r w:rsidRPr="00A81C62">
        <w:rPr>
          <w:rStyle w:val="FootnoteReference"/>
        </w:rPr>
        <w:footnoteRef/>
      </w:r>
      <w:r>
        <w:tab/>
        <w:t>Submission of the Soufan Centre.</w:t>
      </w:r>
    </w:p>
  </w:footnote>
  <w:footnote w:id="126">
    <w:p w14:paraId="7D5714CF" w14:textId="77777777" w:rsidR="0082031F" w:rsidRPr="00DF10AE" w:rsidRDefault="0082031F" w:rsidP="0082031F">
      <w:pPr>
        <w:pStyle w:val="FootnoteText"/>
      </w:pPr>
      <w:r>
        <w:tab/>
      </w:r>
      <w:r w:rsidRPr="00A81C62">
        <w:rPr>
          <w:rStyle w:val="FootnoteReference"/>
        </w:rPr>
        <w:footnoteRef/>
      </w:r>
      <w:r>
        <w:tab/>
        <w:t>Submission of Hostage US</w:t>
      </w:r>
    </w:p>
  </w:footnote>
  <w:footnote w:id="127">
    <w:p w14:paraId="10C63240" w14:textId="759A6184" w:rsidR="0082031F" w:rsidRPr="007032AD" w:rsidRDefault="0082031F" w:rsidP="0082031F">
      <w:pPr>
        <w:pStyle w:val="FootnoteText"/>
      </w:pPr>
      <w:r>
        <w:tab/>
      </w:r>
      <w:r w:rsidRPr="00A81C62">
        <w:rPr>
          <w:rStyle w:val="FootnoteReference"/>
        </w:rPr>
        <w:footnoteRef/>
      </w:r>
      <w:r>
        <w:tab/>
        <w:t>Submission of the Soufan Centre.</w:t>
      </w:r>
    </w:p>
  </w:footnote>
  <w:footnote w:id="128">
    <w:p w14:paraId="1E828E34" w14:textId="15A14FC0" w:rsidR="0082031F" w:rsidRDefault="0082031F" w:rsidP="0082031F">
      <w:pPr>
        <w:pStyle w:val="FootnoteText"/>
      </w:pPr>
      <w:r>
        <w:tab/>
      </w:r>
      <w:r w:rsidRPr="00A81C62">
        <w:rPr>
          <w:rStyle w:val="FootnoteReference"/>
        </w:rPr>
        <w:footnoteRef/>
      </w:r>
      <w:r>
        <w:tab/>
        <w:t xml:space="preserve">Convention against Torture Initiative and True Heroes Films, </w:t>
      </w:r>
      <w:r w:rsidR="006B49D7">
        <w:t>“</w:t>
      </w:r>
      <w:r>
        <w:t>Rehabilitation for victims of torture: restoring their humanity</w:t>
      </w:r>
      <w:r w:rsidR="006B49D7">
        <w:t>”</w:t>
      </w:r>
      <w:r>
        <w:t>, video featuring Vincent Cochetel, who was detained by Chechens for 317</w:t>
      </w:r>
      <w:r w:rsidR="0039203E">
        <w:t> </w:t>
      </w:r>
      <w:r>
        <w:t xml:space="preserve">days and held in near total darkness, while working for the </w:t>
      </w:r>
      <w:r w:rsidRPr="008A69B5">
        <w:t>Office of the United Nations High Commissioner for Refugees</w:t>
      </w:r>
      <w:r>
        <w:t xml:space="preserve">, available at </w:t>
      </w:r>
      <w:r w:rsidRPr="00122675">
        <w:t>https://cti2024.org/resources-for-states/cti-videos-and-short-films/</w:t>
      </w:r>
      <w:r>
        <w:t>.</w:t>
      </w:r>
    </w:p>
  </w:footnote>
  <w:footnote w:id="129">
    <w:p w14:paraId="11962946" w14:textId="3C758201" w:rsidR="0082031F" w:rsidRPr="00056404" w:rsidRDefault="0082031F" w:rsidP="0082031F">
      <w:pPr>
        <w:pStyle w:val="FootnoteText"/>
      </w:pPr>
      <w:r>
        <w:tab/>
      </w:r>
      <w:r w:rsidRPr="00A81C62">
        <w:rPr>
          <w:rStyle w:val="FootnoteReference"/>
        </w:rPr>
        <w:footnoteRef/>
      </w:r>
      <w:r>
        <w:tab/>
        <w:t>Submission of Hostage US.</w:t>
      </w:r>
    </w:p>
  </w:footnote>
  <w:footnote w:id="130">
    <w:p w14:paraId="48BA27BD" w14:textId="0309223B" w:rsidR="0082031F" w:rsidRPr="00C8011B" w:rsidRDefault="0082031F" w:rsidP="0082031F">
      <w:pPr>
        <w:pStyle w:val="FootnoteText"/>
      </w:pPr>
      <w:r>
        <w:tab/>
      </w:r>
      <w:r w:rsidRPr="00A81C62">
        <w:rPr>
          <w:rStyle w:val="FootnoteReference"/>
        </w:rPr>
        <w:footnoteRef/>
      </w:r>
      <w:r>
        <w:tab/>
        <w:t>Ibid.</w:t>
      </w:r>
    </w:p>
  </w:footnote>
  <w:footnote w:id="131">
    <w:p w14:paraId="2893582D" w14:textId="1072D7F3" w:rsidR="0082031F" w:rsidRPr="00895717" w:rsidRDefault="0082031F" w:rsidP="0082031F">
      <w:pPr>
        <w:pStyle w:val="FootnoteText"/>
      </w:pPr>
      <w:r>
        <w:tab/>
      </w:r>
      <w:r w:rsidRPr="00A81C62">
        <w:rPr>
          <w:rStyle w:val="FootnoteReference"/>
        </w:rPr>
        <w:footnoteRef/>
      </w:r>
      <w:r>
        <w:tab/>
        <w:t>Submission of Morocco.</w:t>
      </w:r>
    </w:p>
  </w:footnote>
  <w:footnote w:id="132">
    <w:p w14:paraId="37AA7A02" w14:textId="77777777" w:rsidR="0082031F" w:rsidRPr="003C1794" w:rsidRDefault="0082031F" w:rsidP="0082031F">
      <w:pPr>
        <w:pStyle w:val="FootnoteText"/>
      </w:pPr>
      <w:r>
        <w:tab/>
      </w:r>
      <w:r w:rsidRPr="00A81C62">
        <w:rPr>
          <w:rStyle w:val="FootnoteReference"/>
        </w:rPr>
        <w:footnoteRef/>
      </w:r>
      <w:r>
        <w:tab/>
        <w:t xml:space="preserve">Law No. </w:t>
      </w:r>
      <w:r w:rsidRPr="003C1794">
        <w:rPr>
          <w:lang w:val="uk-UA"/>
        </w:rPr>
        <w:t>2010-IX</w:t>
      </w:r>
      <w:r>
        <w:t xml:space="preserve"> of 26 January 2022 o</w:t>
      </w:r>
      <w:r w:rsidRPr="003C1794">
        <w:t xml:space="preserve">n </w:t>
      </w:r>
      <w:r>
        <w:t>s</w:t>
      </w:r>
      <w:r w:rsidRPr="003C1794">
        <w:t xml:space="preserve">ocial and </w:t>
      </w:r>
      <w:r>
        <w:t>l</w:t>
      </w:r>
      <w:r w:rsidRPr="003C1794">
        <w:t xml:space="preserve">egal </w:t>
      </w:r>
      <w:r>
        <w:t>p</w:t>
      </w:r>
      <w:r w:rsidRPr="003C1794">
        <w:t xml:space="preserve">rotection of </w:t>
      </w:r>
      <w:r>
        <w:t>i</w:t>
      </w:r>
      <w:r w:rsidRPr="003C1794">
        <w:t xml:space="preserve">ndividuals </w:t>
      </w:r>
      <w:r>
        <w:t>d</w:t>
      </w:r>
      <w:r w:rsidRPr="003C1794">
        <w:t xml:space="preserve">eprived of </w:t>
      </w:r>
      <w:r>
        <w:t>p</w:t>
      </w:r>
      <w:r w:rsidRPr="003C1794">
        <w:t xml:space="preserve">ersonal </w:t>
      </w:r>
      <w:r>
        <w:t>f</w:t>
      </w:r>
      <w:r w:rsidRPr="003C1794">
        <w:t xml:space="preserve">reedom </w:t>
      </w:r>
      <w:proofErr w:type="gramStart"/>
      <w:r w:rsidRPr="003C1794">
        <w:t xml:space="preserve">as a </w:t>
      </w:r>
      <w:r>
        <w:t>r</w:t>
      </w:r>
      <w:r w:rsidRPr="003C1794">
        <w:t>esult of</w:t>
      </w:r>
      <w:proofErr w:type="gramEnd"/>
      <w:r>
        <w:t xml:space="preserve"> a</w:t>
      </w:r>
      <w:r w:rsidRPr="003C1794">
        <w:t xml:space="preserve">rmed </w:t>
      </w:r>
      <w:r>
        <w:t>a</w:t>
      </w:r>
      <w:r w:rsidRPr="003C1794">
        <w:t xml:space="preserve">ggression against Ukraine and </w:t>
      </w:r>
      <w:r>
        <w:t>t</w:t>
      </w:r>
      <w:r w:rsidRPr="003C1794">
        <w:t xml:space="preserve">heir </w:t>
      </w:r>
      <w:r>
        <w:t>f</w:t>
      </w:r>
      <w:r w:rsidRPr="003C1794">
        <w:t xml:space="preserve">amily </w:t>
      </w:r>
      <w:r>
        <w:t>m</w:t>
      </w:r>
      <w:r w:rsidRPr="003C1794">
        <w:t>embers</w:t>
      </w:r>
      <w:r>
        <w:t>.</w:t>
      </w:r>
    </w:p>
  </w:footnote>
  <w:footnote w:id="133">
    <w:p w14:paraId="22177964" w14:textId="77777777" w:rsidR="0082031F" w:rsidRPr="00D32BC0" w:rsidRDefault="0082031F" w:rsidP="0082031F">
      <w:pPr>
        <w:pStyle w:val="FootnoteText"/>
      </w:pPr>
      <w:r>
        <w:tab/>
      </w:r>
      <w:r w:rsidRPr="00A81C62">
        <w:rPr>
          <w:rStyle w:val="FootnoteReference"/>
        </w:rPr>
        <w:footnoteRef/>
      </w:r>
      <w:r>
        <w:tab/>
        <w:t>Submission of Ukraine.</w:t>
      </w:r>
    </w:p>
  </w:footnote>
  <w:footnote w:id="134">
    <w:p w14:paraId="7998C2EC" w14:textId="20D346B2" w:rsidR="0082031F" w:rsidRPr="000951C4" w:rsidRDefault="0082031F" w:rsidP="0082031F">
      <w:pPr>
        <w:pStyle w:val="FootnoteText"/>
      </w:pPr>
      <w:r>
        <w:tab/>
      </w:r>
      <w:r w:rsidRPr="00A81C62">
        <w:rPr>
          <w:rStyle w:val="FootnoteReference"/>
        </w:rPr>
        <w:footnoteRef/>
      </w:r>
      <w:r>
        <w:tab/>
        <w:t>Submission of Israel</w:t>
      </w:r>
      <w:r w:rsidRPr="00484931">
        <w:t>.</w:t>
      </w:r>
    </w:p>
  </w:footnote>
  <w:footnote w:id="135">
    <w:p w14:paraId="747AD084" w14:textId="24DDA680" w:rsidR="0082031F" w:rsidRPr="00895717" w:rsidRDefault="0082031F" w:rsidP="0082031F">
      <w:pPr>
        <w:pStyle w:val="FootnoteText"/>
        <w:rPr>
          <w:i/>
          <w:iCs/>
        </w:rPr>
      </w:pPr>
      <w:r>
        <w:tab/>
      </w:r>
      <w:r w:rsidRPr="00A81C62">
        <w:rPr>
          <w:rStyle w:val="FootnoteReference"/>
        </w:rPr>
        <w:footnoteRef/>
      </w:r>
      <w:r>
        <w:tab/>
        <w:t xml:space="preserve">Israel, </w:t>
      </w:r>
      <w:r w:rsidRPr="008F4301">
        <w:t>Compensation Law for Family Members of Missing or Abducted in Hostilities or War</w:t>
      </w:r>
      <w:r>
        <w:t>,</w:t>
      </w:r>
      <w:r w:rsidRPr="004F6A66">
        <w:t xml:space="preserve"> </w:t>
      </w:r>
      <w:r w:rsidRPr="00895717">
        <w:t>5774</w:t>
      </w:r>
      <w:r w:rsidR="00AD54FE">
        <w:noBreakHyphen/>
      </w:r>
      <w:r w:rsidRPr="00895717">
        <w:t>2023</w:t>
      </w:r>
      <w:r>
        <w:t xml:space="preserve">; </w:t>
      </w:r>
      <w:r w:rsidRPr="008F4301">
        <w:t>Payments to Rescued Hostages Law</w:t>
      </w:r>
      <w:r>
        <w:t>,</w:t>
      </w:r>
      <w:r w:rsidRPr="004F6A66">
        <w:t xml:space="preserve"> </w:t>
      </w:r>
      <w:r w:rsidRPr="00895717">
        <w:t>5765-2005</w:t>
      </w:r>
      <w:r>
        <w:t xml:space="preserve">; </w:t>
      </w:r>
      <w:r w:rsidRPr="008F4301">
        <w:t>National Insurance Law</w:t>
      </w:r>
      <w:r>
        <w:t xml:space="preserve"> (consolidated version)</w:t>
      </w:r>
      <w:r w:rsidRPr="00895717">
        <w:t>, 5755</w:t>
      </w:r>
      <w:r>
        <w:t>-</w:t>
      </w:r>
      <w:r w:rsidRPr="00895717">
        <w:t>1995</w:t>
      </w:r>
      <w:r>
        <w:t>; and g</w:t>
      </w:r>
      <w:r w:rsidRPr="00895717">
        <w:t xml:space="preserve">overnment </w:t>
      </w:r>
      <w:r>
        <w:t>r</w:t>
      </w:r>
      <w:r w:rsidRPr="00895717">
        <w:t>esolution No. 2185</w:t>
      </w:r>
      <w:r>
        <w:t xml:space="preserve"> (5 September 2024).</w:t>
      </w:r>
    </w:p>
  </w:footnote>
  <w:footnote w:id="136">
    <w:p w14:paraId="269E50AA" w14:textId="60F8C23A" w:rsidR="0082031F" w:rsidRPr="00FF3BEC" w:rsidRDefault="0082031F" w:rsidP="0082031F">
      <w:pPr>
        <w:pStyle w:val="FootnoteText"/>
      </w:pPr>
      <w:r>
        <w:tab/>
      </w:r>
      <w:r w:rsidRPr="00A81C62">
        <w:rPr>
          <w:rStyle w:val="FootnoteReference"/>
        </w:rPr>
        <w:footnoteRef/>
      </w:r>
      <w:r>
        <w:tab/>
      </w:r>
      <w:hyperlink r:id="rId27" w:history="1">
        <w:r w:rsidRPr="0084264A">
          <w:rPr>
            <w:rStyle w:val="Hyperlink"/>
            <w:lang w:val="en"/>
          </w:rPr>
          <w:t>A/74/318</w:t>
        </w:r>
      </w:hyperlink>
      <w:r w:rsidRPr="00FF3BEC">
        <w:rPr>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158F" w14:textId="146D34D2" w:rsidR="0090338D" w:rsidRDefault="000E30C3" w:rsidP="0090338D">
    <w:pPr>
      <w:pStyle w:val="Header"/>
    </w:pPr>
    <w:r>
      <w:rPr>
        <w:noProof/>
      </w:rPr>
      <w:pict w14:anchorId="2484C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1079" o:spid="_x0000_s1026" type="#_x0000_t136" style="position:absolute;margin-left:0;margin-top:0;width:680pt;height:82pt;rotation:315;z-index:-251655168;mso-position-horizontal:center;mso-position-horizontal-relative:margin;mso-position-vertical:center;mso-position-vertical-relative:margin" o:allowincell="f" fillcolor="silver" stroked="f">
          <v:fill opacity=".5"/>
          <v:textpath style="font-family:&quot;Times New Roman&quot;;font-size:1in" string="Advance edited version"/>
          <w10:wrap anchorx="margin" anchory="margin"/>
        </v:shape>
      </w:pict>
    </w:r>
    <w:r w:rsidR="0090338D">
      <w:t>A/HRC/58/55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E5C7" w14:textId="395041A2" w:rsidR="0090338D" w:rsidRDefault="000E30C3" w:rsidP="0090338D">
    <w:pPr>
      <w:pStyle w:val="Header"/>
      <w:jc w:val="right"/>
    </w:pPr>
    <w:r>
      <w:rPr>
        <w:noProof/>
      </w:rPr>
      <w:pict w14:anchorId="08AB9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1080" o:spid="_x0000_s1027" type="#_x0000_t136" style="position:absolute;left:0;text-align:left;margin-left:0;margin-top:0;width:680pt;height:82pt;rotation:315;z-index:-251653120;mso-position-horizontal:center;mso-position-horizontal-relative:margin;mso-position-vertical:center;mso-position-vertical-relative:margin" o:allowincell="f" fillcolor="silver" stroked="f">
          <v:fill opacity=".5"/>
          <v:textpath style="font-family:&quot;Times New Roman&quot;;font-size:1in" string="Advance edited version"/>
          <w10:wrap anchorx="margin" anchory="margin"/>
        </v:shape>
      </w:pict>
    </w:r>
    <w:r w:rsidR="0090338D">
      <w:t>A/HRC/58/55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41E8" w14:textId="0DBAA9C2" w:rsidR="004D769B" w:rsidRDefault="000E30C3">
    <w:pPr>
      <w:pStyle w:val="Header"/>
    </w:pPr>
    <w:r>
      <w:rPr>
        <w:noProof/>
      </w:rPr>
      <w:pict w14:anchorId="72B46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1078" o:spid="_x0000_s1025" type="#_x0000_t136" style="position:absolute;margin-left:0;margin-top:0;width:680pt;height:82pt;rotation:315;z-index:-251657216;mso-position-horizontal:center;mso-position-horizontal-relative:margin;mso-position-vertical:center;mso-position-vertical-relative:margin" o:allowincell="f" fillcolor="silver" stroked="f">
          <v:fill opacity=".5"/>
          <v:textpath style="font-family:&quot;Times New Roman&quot;;font-size:1in" string="Advance edi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E05CC"/>
    <w:multiLevelType w:val="hybridMultilevel"/>
    <w:tmpl w:val="BF000E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7A06"/>
    <w:multiLevelType w:val="hybridMultilevel"/>
    <w:tmpl w:val="25F0D6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B7D78"/>
    <w:multiLevelType w:val="hybridMultilevel"/>
    <w:tmpl w:val="FACAE548"/>
    <w:lvl w:ilvl="0" w:tplc="9E6864DA">
      <w:start w:val="1"/>
      <w:numFmt w:val="lowerLetter"/>
      <w:lvlText w:val="(%1)"/>
      <w:lvlJc w:val="left"/>
      <w:pPr>
        <w:ind w:left="2349" w:hanging="855"/>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1524303A"/>
    <w:multiLevelType w:val="hybridMultilevel"/>
    <w:tmpl w:val="19BC84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0F751B"/>
    <w:multiLevelType w:val="hybridMultilevel"/>
    <w:tmpl w:val="DA7A1FE2"/>
    <w:lvl w:ilvl="0" w:tplc="9E686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072D2"/>
    <w:multiLevelType w:val="hybridMultilevel"/>
    <w:tmpl w:val="0102EED6"/>
    <w:lvl w:ilvl="0" w:tplc="FFFFFFFF">
      <w:start w:val="1"/>
      <w:numFmt w:val="lowerLetter"/>
      <w:lvlText w:val="(%1)"/>
      <w:lvlJc w:val="left"/>
      <w:pPr>
        <w:ind w:left="2349" w:hanging="855"/>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2174215F"/>
    <w:multiLevelType w:val="hybridMultilevel"/>
    <w:tmpl w:val="F802FBE0"/>
    <w:lvl w:ilvl="0" w:tplc="04090019">
      <w:start w:val="1"/>
      <w:numFmt w:val="lowerLetter"/>
      <w:lvlText w:val="%1."/>
      <w:lvlJc w:val="left"/>
      <w:pPr>
        <w:ind w:left="1800" w:hanging="360"/>
      </w:pPr>
      <w:rPr>
        <w:rFonts w:hint="default"/>
        <w: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C365169"/>
    <w:multiLevelType w:val="hybridMultilevel"/>
    <w:tmpl w:val="7A14CFBC"/>
    <w:lvl w:ilvl="0" w:tplc="C7188C78">
      <w:start w:val="1"/>
      <w:numFmt w:val="upperRoman"/>
      <w:lvlText w:val="%1."/>
      <w:lvlJc w:val="left"/>
      <w:pPr>
        <w:ind w:left="1215" w:hanging="85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873DBC"/>
    <w:multiLevelType w:val="hybridMultilevel"/>
    <w:tmpl w:val="F962D576"/>
    <w:lvl w:ilvl="0" w:tplc="CD26C4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659B9"/>
    <w:multiLevelType w:val="hybridMultilevel"/>
    <w:tmpl w:val="DC82E3CE"/>
    <w:lvl w:ilvl="0" w:tplc="942E0EEC">
      <w:start w:val="1"/>
      <w:numFmt w:val="lowerLetter"/>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7270622"/>
    <w:multiLevelType w:val="hybridMultilevel"/>
    <w:tmpl w:val="9FAAD3A4"/>
    <w:lvl w:ilvl="0" w:tplc="12688E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50EA9"/>
    <w:multiLevelType w:val="hybridMultilevel"/>
    <w:tmpl w:val="17AA5B4C"/>
    <w:lvl w:ilvl="0" w:tplc="B520000C">
      <w:start w:val="1"/>
      <w:numFmt w:val="upperLetter"/>
      <w:lvlText w:val="%1."/>
      <w:lvlJc w:val="left"/>
      <w:pPr>
        <w:ind w:left="1215" w:hanging="85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7C93753"/>
    <w:multiLevelType w:val="hybridMultilevel"/>
    <w:tmpl w:val="630E66F2"/>
    <w:lvl w:ilvl="0" w:tplc="2000000F">
      <w:start w:val="1"/>
      <w:numFmt w:val="decimal"/>
      <w:lvlText w:val="%1."/>
      <w:lvlJc w:val="left"/>
      <w:pPr>
        <w:ind w:left="2349" w:hanging="855"/>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8" w15:restartNumberingAfterBreak="0">
    <w:nsid w:val="4AF43898"/>
    <w:multiLevelType w:val="hybridMultilevel"/>
    <w:tmpl w:val="65C6B280"/>
    <w:lvl w:ilvl="0" w:tplc="465EEDF8">
      <w:start w:val="1"/>
      <w:numFmt w:val="decimal"/>
      <w:lvlText w:val="%1."/>
      <w:lvlJc w:val="left"/>
      <w:pPr>
        <w:ind w:left="2025" w:hanging="855"/>
      </w:pPr>
      <w:rPr>
        <w:rFonts w:hint="default"/>
        <w:b w:val="0"/>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 w15:restartNumberingAfterBreak="0">
    <w:nsid w:val="4B331B9B"/>
    <w:multiLevelType w:val="hybridMultilevel"/>
    <w:tmpl w:val="314CC020"/>
    <w:lvl w:ilvl="0" w:tplc="07DE53E4">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EC5C31"/>
    <w:multiLevelType w:val="hybridMultilevel"/>
    <w:tmpl w:val="19BC84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E000DB"/>
    <w:multiLevelType w:val="hybridMultilevel"/>
    <w:tmpl w:val="E00CEA0E"/>
    <w:lvl w:ilvl="0" w:tplc="0D9A1D96">
      <w:start w:val="1"/>
      <w:numFmt w:val="decimal"/>
      <w:lvlText w:val="%1."/>
      <w:lvlJc w:val="left"/>
      <w:pPr>
        <w:ind w:left="907" w:hanging="54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C6CBC"/>
    <w:multiLevelType w:val="hybridMultilevel"/>
    <w:tmpl w:val="8F8C98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87F29CE"/>
    <w:multiLevelType w:val="hybridMultilevel"/>
    <w:tmpl w:val="F054700A"/>
    <w:lvl w:ilvl="0" w:tplc="A09C1B2A">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34300"/>
    <w:multiLevelType w:val="hybridMultilevel"/>
    <w:tmpl w:val="825A2F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F9283B"/>
    <w:multiLevelType w:val="hybridMultilevel"/>
    <w:tmpl w:val="266A0F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777AC1"/>
    <w:multiLevelType w:val="hybridMultilevel"/>
    <w:tmpl w:val="A6C2CD8E"/>
    <w:lvl w:ilvl="0" w:tplc="9E6864D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83526309">
    <w:abstractNumId w:val="13"/>
  </w:num>
  <w:num w:numId="2" w16cid:durableId="1487238028">
    <w:abstractNumId w:val="8"/>
  </w:num>
  <w:num w:numId="3" w16cid:durableId="1233388315">
    <w:abstractNumId w:val="0"/>
  </w:num>
  <w:num w:numId="4" w16cid:durableId="1379010361">
    <w:abstractNumId w:val="23"/>
  </w:num>
  <w:num w:numId="5" w16cid:durableId="609237389">
    <w:abstractNumId w:val="24"/>
  </w:num>
  <w:num w:numId="6" w16cid:durableId="329138491">
    <w:abstractNumId w:val="29"/>
  </w:num>
  <w:num w:numId="7" w16cid:durableId="1602444718">
    <w:abstractNumId w:val="6"/>
  </w:num>
  <w:num w:numId="8" w16cid:durableId="1022170910">
    <w:abstractNumId w:val="1"/>
  </w:num>
  <w:num w:numId="9" w16cid:durableId="2127767793">
    <w:abstractNumId w:val="26"/>
  </w:num>
  <w:num w:numId="10" w16cid:durableId="912272819">
    <w:abstractNumId w:val="1"/>
  </w:num>
  <w:num w:numId="11" w16cid:durableId="826826665">
    <w:abstractNumId w:val="26"/>
  </w:num>
  <w:num w:numId="12" w16cid:durableId="82797541">
    <w:abstractNumId w:val="28"/>
  </w:num>
  <w:num w:numId="13" w16cid:durableId="1340235230">
    <w:abstractNumId w:val="2"/>
  </w:num>
  <w:num w:numId="14" w16cid:durableId="1206915432">
    <w:abstractNumId w:val="12"/>
  </w:num>
  <w:num w:numId="15" w16cid:durableId="1541742108">
    <w:abstractNumId w:val="27"/>
  </w:num>
  <w:num w:numId="16" w16cid:durableId="1215580842">
    <w:abstractNumId w:val="21"/>
  </w:num>
  <w:num w:numId="17" w16cid:durableId="557057916">
    <w:abstractNumId w:val="14"/>
  </w:num>
  <w:num w:numId="18" w16cid:durableId="1100293409">
    <w:abstractNumId w:val="3"/>
  </w:num>
  <w:num w:numId="19" w16cid:durableId="104006504">
    <w:abstractNumId w:val="20"/>
  </w:num>
  <w:num w:numId="20" w16cid:durableId="1774594266">
    <w:abstractNumId w:val="5"/>
  </w:num>
  <w:num w:numId="21" w16cid:durableId="1676571235">
    <w:abstractNumId w:val="15"/>
  </w:num>
  <w:num w:numId="22" w16cid:durableId="1733113802">
    <w:abstractNumId w:val="10"/>
  </w:num>
  <w:num w:numId="23" w16cid:durableId="604508211">
    <w:abstractNumId w:val="7"/>
  </w:num>
  <w:num w:numId="24" w16cid:durableId="554122943">
    <w:abstractNumId w:val="11"/>
  </w:num>
  <w:num w:numId="25" w16cid:durableId="1021126152">
    <w:abstractNumId w:val="17"/>
  </w:num>
  <w:num w:numId="26" w16cid:durableId="1276328291">
    <w:abstractNumId w:val="18"/>
  </w:num>
  <w:num w:numId="27" w16cid:durableId="544759780">
    <w:abstractNumId w:val="30"/>
  </w:num>
  <w:num w:numId="28" w16cid:durableId="820973272">
    <w:abstractNumId w:val="4"/>
  </w:num>
  <w:num w:numId="29" w16cid:durableId="661590132">
    <w:abstractNumId w:val="16"/>
  </w:num>
  <w:num w:numId="30" w16cid:durableId="1094479641">
    <w:abstractNumId w:val="9"/>
  </w:num>
  <w:num w:numId="31" w16cid:durableId="28385150">
    <w:abstractNumId w:val="19"/>
  </w:num>
  <w:num w:numId="32" w16cid:durableId="133724361">
    <w:abstractNumId w:val="25"/>
  </w:num>
  <w:num w:numId="33" w16cid:durableId="11613118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2833A9"/>
    <w:rsid w:val="0000262E"/>
    <w:rsid w:val="00046E92"/>
    <w:rsid w:val="00063C90"/>
    <w:rsid w:val="00072607"/>
    <w:rsid w:val="00095AE9"/>
    <w:rsid w:val="000B629E"/>
    <w:rsid w:val="000F688D"/>
    <w:rsid w:val="00101B98"/>
    <w:rsid w:val="001330CC"/>
    <w:rsid w:val="0017772C"/>
    <w:rsid w:val="00200323"/>
    <w:rsid w:val="00227F79"/>
    <w:rsid w:val="00247E2C"/>
    <w:rsid w:val="00251841"/>
    <w:rsid w:val="002548D6"/>
    <w:rsid w:val="00282026"/>
    <w:rsid w:val="002833A9"/>
    <w:rsid w:val="002969C1"/>
    <w:rsid w:val="002A32CB"/>
    <w:rsid w:val="002B319E"/>
    <w:rsid w:val="002D6C53"/>
    <w:rsid w:val="002F5595"/>
    <w:rsid w:val="00326128"/>
    <w:rsid w:val="00334F6A"/>
    <w:rsid w:val="00342AC8"/>
    <w:rsid w:val="003531EE"/>
    <w:rsid w:val="0038056B"/>
    <w:rsid w:val="003873C3"/>
    <w:rsid w:val="0039203E"/>
    <w:rsid w:val="003B4550"/>
    <w:rsid w:val="0040017C"/>
    <w:rsid w:val="00427AAF"/>
    <w:rsid w:val="00461253"/>
    <w:rsid w:val="0048271D"/>
    <w:rsid w:val="00486E21"/>
    <w:rsid w:val="004974B5"/>
    <w:rsid w:val="004A2814"/>
    <w:rsid w:val="004B69D7"/>
    <w:rsid w:val="004C0622"/>
    <w:rsid w:val="004C785B"/>
    <w:rsid w:val="004D10F9"/>
    <w:rsid w:val="004D3A8E"/>
    <w:rsid w:val="004D769B"/>
    <w:rsid w:val="005042C2"/>
    <w:rsid w:val="00520CEE"/>
    <w:rsid w:val="00531B33"/>
    <w:rsid w:val="0057233E"/>
    <w:rsid w:val="00573CB6"/>
    <w:rsid w:val="00582E0A"/>
    <w:rsid w:val="00582FAE"/>
    <w:rsid w:val="00591A8C"/>
    <w:rsid w:val="005C45C3"/>
    <w:rsid w:val="005C4F37"/>
    <w:rsid w:val="005C77BE"/>
    <w:rsid w:val="005D78F9"/>
    <w:rsid w:val="005E716E"/>
    <w:rsid w:val="00650C92"/>
    <w:rsid w:val="00661076"/>
    <w:rsid w:val="0066559D"/>
    <w:rsid w:val="00671529"/>
    <w:rsid w:val="00694F74"/>
    <w:rsid w:val="006A1645"/>
    <w:rsid w:val="006B49D7"/>
    <w:rsid w:val="006E71D0"/>
    <w:rsid w:val="0070489D"/>
    <w:rsid w:val="0072285C"/>
    <w:rsid w:val="007268F9"/>
    <w:rsid w:val="00754E7C"/>
    <w:rsid w:val="007C52B0"/>
    <w:rsid w:val="0082031F"/>
    <w:rsid w:val="00842423"/>
    <w:rsid w:val="0084264A"/>
    <w:rsid w:val="00855602"/>
    <w:rsid w:val="00861B4E"/>
    <w:rsid w:val="00882DAA"/>
    <w:rsid w:val="008F7B75"/>
    <w:rsid w:val="0090338D"/>
    <w:rsid w:val="009411B4"/>
    <w:rsid w:val="00962A56"/>
    <w:rsid w:val="00971C57"/>
    <w:rsid w:val="009D0139"/>
    <w:rsid w:val="009D717D"/>
    <w:rsid w:val="009E1042"/>
    <w:rsid w:val="009F5CDC"/>
    <w:rsid w:val="00A57E39"/>
    <w:rsid w:val="00A71A4C"/>
    <w:rsid w:val="00A775CF"/>
    <w:rsid w:val="00A81C62"/>
    <w:rsid w:val="00AC56EC"/>
    <w:rsid w:val="00AC7E86"/>
    <w:rsid w:val="00AD54FE"/>
    <w:rsid w:val="00B06045"/>
    <w:rsid w:val="00B14655"/>
    <w:rsid w:val="00B40645"/>
    <w:rsid w:val="00B52EF4"/>
    <w:rsid w:val="00B84A54"/>
    <w:rsid w:val="00BA1C1E"/>
    <w:rsid w:val="00BA4645"/>
    <w:rsid w:val="00C03015"/>
    <w:rsid w:val="00C0358D"/>
    <w:rsid w:val="00C10819"/>
    <w:rsid w:val="00C3283E"/>
    <w:rsid w:val="00C35A27"/>
    <w:rsid w:val="00C42E4F"/>
    <w:rsid w:val="00C47B2E"/>
    <w:rsid w:val="00C56002"/>
    <w:rsid w:val="00C745B1"/>
    <w:rsid w:val="00C81D59"/>
    <w:rsid w:val="00C95F7B"/>
    <w:rsid w:val="00CA1B04"/>
    <w:rsid w:val="00CC69B8"/>
    <w:rsid w:val="00D11C2C"/>
    <w:rsid w:val="00D2629B"/>
    <w:rsid w:val="00D47BBA"/>
    <w:rsid w:val="00D51364"/>
    <w:rsid w:val="00DB7ED7"/>
    <w:rsid w:val="00E02C2B"/>
    <w:rsid w:val="00E064BB"/>
    <w:rsid w:val="00E427A5"/>
    <w:rsid w:val="00E52109"/>
    <w:rsid w:val="00E75317"/>
    <w:rsid w:val="00E80DAB"/>
    <w:rsid w:val="00E9019C"/>
    <w:rsid w:val="00E96400"/>
    <w:rsid w:val="00EA39BA"/>
    <w:rsid w:val="00EA39CE"/>
    <w:rsid w:val="00EA70F0"/>
    <w:rsid w:val="00EC0395"/>
    <w:rsid w:val="00EC2011"/>
    <w:rsid w:val="00EC325F"/>
    <w:rsid w:val="00ED6C48"/>
    <w:rsid w:val="00F218A2"/>
    <w:rsid w:val="00F65F5D"/>
    <w:rsid w:val="00F86A3A"/>
    <w:rsid w:val="00F87507"/>
    <w:rsid w:val="00F9316B"/>
    <w:rsid w:val="00FC187C"/>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4DA0"/>
  <w15:docId w15:val="{15381A67-55E1-42AF-8D9C-A6523CE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7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semiHidden/>
    <w:qFormat/>
    <w:rsid w:val="004A2814"/>
    <w:pPr>
      <w:spacing w:after="0" w:line="240" w:lineRule="auto"/>
      <w:ind w:right="0"/>
      <w:jc w:val="left"/>
      <w:outlineLvl w:val="0"/>
    </w:pPr>
  </w:style>
  <w:style w:type="paragraph" w:styleId="Heading2">
    <w:name w:val="heading 2"/>
    <w:basedOn w:val="Normal"/>
    <w:next w:val="Normal"/>
    <w:link w:val="Heading2Char"/>
    <w:uiPriority w:val="9"/>
    <w:semiHidden/>
    <w:qFormat/>
    <w:rsid w:val="004A2814"/>
    <w:pPr>
      <w:spacing w:line="240" w:lineRule="auto"/>
      <w:outlineLvl w:val="1"/>
    </w:pPr>
  </w:style>
  <w:style w:type="paragraph" w:styleId="Heading3">
    <w:name w:val="heading 3"/>
    <w:basedOn w:val="Normal"/>
    <w:next w:val="Normal"/>
    <w:link w:val="Heading3Char"/>
    <w:uiPriority w:val="9"/>
    <w:semiHidden/>
    <w:qFormat/>
    <w:rsid w:val="004A2814"/>
    <w:pPr>
      <w:spacing w:line="240" w:lineRule="auto"/>
      <w:outlineLvl w:val="2"/>
    </w:pPr>
  </w:style>
  <w:style w:type="paragraph" w:styleId="Heading4">
    <w:name w:val="heading 4"/>
    <w:basedOn w:val="Normal"/>
    <w:next w:val="Normal"/>
    <w:link w:val="Heading4Char"/>
    <w:uiPriority w:val="9"/>
    <w:semiHidden/>
    <w:qFormat/>
    <w:rsid w:val="004A2814"/>
    <w:pPr>
      <w:spacing w:line="240" w:lineRule="auto"/>
      <w:outlineLvl w:val="3"/>
    </w:pPr>
  </w:style>
  <w:style w:type="paragraph" w:styleId="Heading5">
    <w:name w:val="heading 5"/>
    <w:basedOn w:val="Normal"/>
    <w:next w:val="Normal"/>
    <w:link w:val="Heading5Char"/>
    <w:uiPriority w:val="9"/>
    <w:semiHidden/>
    <w:qFormat/>
    <w:rsid w:val="004A2814"/>
    <w:pPr>
      <w:spacing w:line="240" w:lineRule="auto"/>
      <w:outlineLvl w:val="4"/>
    </w:pPr>
  </w:style>
  <w:style w:type="paragraph" w:styleId="Heading6">
    <w:name w:val="heading 6"/>
    <w:basedOn w:val="Normal"/>
    <w:next w:val="Normal"/>
    <w:link w:val="Heading6Char"/>
    <w:uiPriority w:val="9"/>
    <w:semiHidden/>
    <w:qFormat/>
    <w:rsid w:val="004A2814"/>
    <w:pPr>
      <w:spacing w:line="240" w:lineRule="auto"/>
      <w:outlineLvl w:val="5"/>
    </w:pPr>
  </w:style>
  <w:style w:type="paragraph" w:styleId="Heading7">
    <w:name w:val="heading 7"/>
    <w:basedOn w:val="Normal"/>
    <w:next w:val="Normal"/>
    <w:link w:val="Heading7Char"/>
    <w:uiPriority w:val="9"/>
    <w:semiHidden/>
    <w:qFormat/>
    <w:rsid w:val="004A2814"/>
    <w:pPr>
      <w:spacing w:line="240" w:lineRule="auto"/>
      <w:outlineLvl w:val="6"/>
    </w:pPr>
  </w:style>
  <w:style w:type="paragraph" w:styleId="Heading8">
    <w:name w:val="heading 8"/>
    <w:basedOn w:val="Normal"/>
    <w:next w:val="Normal"/>
    <w:link w:val="Heading8Char"/>
    <w:uiPriority w:val="9"/>
    <w:semiHidden/>
    <w:qFormat/>
    <w:rsid w:val="004A2814"/>
    <w:pPr>
      <w:spacing w:line="240" w:lineRule="auto"/>
      <w:outlineLvl w:val="7"/>
    </w:pPr>
  </w:style>
  <w:style w:type="paragraph" w:styleId="Heading9">
    <w:name w:val="heading 9"/>
    <w:basedOn w:val="Normal"/>
    <w:next w:val="Normal"/>
    <w:link w:val="Heading9Char"/>
    <w:uiPriority w:val="9"/>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semiHidden/>
    <w:rsid w:val="00694F74"/>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uiPriority w:val="9"/>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uiPriority w:val="9"/>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uiPriority w:val="9"/>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uiPriority w:val="9"/>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uiPriority w:val="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semiHidden/>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semiHidden/>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82031F"/>
    <w:pPr>
      <w:spacing w:after="0" w:line="240" w:lineRule="auto"/>
    </w:pPr>
    <w:rPr>
      <w:rFonts w:ascii="Times New Roman" w:eastAsiaTheme="minorHAnsi" w:hAnsi="Times New Roman" w:cs="Times New Roman (Body CS)"/>
      <w:kern w:val="2"/>
      <w:sz w:val="24"/>
      <w:szCs w:val="24"/>
      <w:lang w:eastAsia="en-US"/>
      <w14:ligatures w14:val="standardContextual"/>
    </w:rPr>
  </w:style>
  <w:style w:type="character" w:customStyle="1" w:styleId="SingleTxtGChar">
    <w:name w:val="_ Single Txt_G Char"/>
    <w:link w:val="SingleTxtG"/>
    <w:rsid w:val="0082031F"/>
    <w:rPr>
      <w:rFonts w:ascii="Times New Roman" w:eastAsiaTheme="minorHAnsi" w:hAnsi="Times New Roman" w:cs="Times New Roman"/>
      <w:sz w:val="20"/>
      <w:szCs w:val="20"/>
      <w:lang w:eastAsia="en-US"/>
    </w:rPr>
  </w:style>
  <w:style w:type="character" w:styleId="UnresolvedMention">
    <w:name w:val="Unresolved Mention"/>
    <w:basedOn w:val="DefaultParagraphFont"/>
    <w:uiPriority w:val="99"/>
    <w:semiHidden/>
    <w:unhideWhenUsed/>
    <w:rsid w:val="0084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CAT/C/YEM/CO/2/Rev.1" TargetMode="External"/><Relationship Id="rId13" Type="http://schemas.openxmlformats.org/officeDocument/2006/relationships/hyperlink" Target="https://www.ohchr.org/en/press-releases/2024/08/special-rapporteur-torture-appalled-allegation-sexual-torture-israeli" TargetMode="External"/><Relationship Id="rId18" Type="http://schemas.openxmlformats.org/officeDocument/2006/relationships/hyperlink" Target="http://undocs.org/en/A/HRC/WGAD/2021/85" TargetMode="External"/><Relationship Id="rId26" Type="http://schemas.openxmlformats.org/officeDocument/2006/relationships/hyperlink" Target="http://undocs.org/en/A/HRC/56/56" TargetMode="External"/><Relationship Id="rId3" Type="http://schemas.openxmlformats.org/officeDocument/2006/relationships/hyperlink" Target="http://undocs.org/en/A/HRC/55/52" TargetMode="External"/><Relationship Id="rId21" Type="http://schemas.openxmlformats.org/officeDocument/2006/relationships/hyperlink" Target="http://undocs.org/en/A/61/10" TargetMode="External"/><Relationship Id="rId7" Type="http://schemas.openxmlformats.org/officeDocument/2006/relationships/hyperlink" Target="http://undocs.org/en/A/79/181" TargetMode="External"/><Relationship Id="rId12" Type="http://schemas.openxmlformats.org/officeDocument/2006/relationships/hyperlink" Target="https://www.ohchr.org/en/press-releases/2024/03/un-experts-urge-international-community-step-pressure-end-crimes-uphold" TargetMode="External"/><Relationship Id="rId17" Type="http://schemas.openxmlformats.org/officeDocument/2006/relationships/hyperlink" Target="http://undocs.org/en/A/HRC/WGAD/2016/28" TargetMode="External"/><Relationship Id="rId25" Type="http://schemas.openxmlformats.org/officeDocument/2006/relationships/hyperlink" Target="http://undocs.org/en/A/HRC/24/47" TargetMode="External"/><Relationship Id="rId2" Type="http://schemas.openxmlformats.org/officeDocument/2006/relationships/hyperlink" Target="https://spcommreports.ohchr.org" TargetMode="External"/><Relationship Id="rId16" Type="http://schemas.openxmlformats.org/officeDocument/2006/relationships/hyperlink" Target="http://undocs.org/en/A/79/232" TargetMode="External"/><Relationship Id="rId20" Type="http://schemas.openxmlformats.org/officeDocument/2006/relationships/hyperlink" Target="http://undocs.org/en/A/79/232" TargetMode="External"/><Relationship Id="rId1" Type="http://schemas.openxmlformats.org/officeDocument/2006/relationships/hyperlink" Target="https://www.ohchr.org/en/special-procedures/sr-torture" TargetMode="External"/><Relationship Id="rId6" Type="http://schemas.openxmlformats.org/officeDocument/2006/relationships/hyperlink" Target="http://undocs.org/en/A/31/242" TargetMode="External"/><Relationship Id="rId11" Type="http://schemas.openxmlformats.org/officeDocument/2006/relationships/hyperlink" Target="https://www.ohchr.org/en/press-releases/2024/05/israel-un-expert-calls-probe-allegations-torture-and-mistreatment-against" TargetMode="External"/><Relationship Id="rId24" Type="http://schemas.openxmlformats.org/officeDocument/2006/relationships/hyperlink" Target="http://undocs.org/en/A/77/502" TargetMode="External"/><Relationship Id="rId5" Type="http://schemas.openxmlformats.org/officeDocument/2006/relationships/hyperlink" Target="https://irct.org/wp-content/uploads/2024/10/ENG-Nairobi-Delca-design-2.pdf" TargetMode="External"/><Relationship Id="rId15" Type="http://schemas.openxmlformats.org/officeDocument/2006/relationships/hyperlink" Target="https://www.ohchr.org/en/press-releases/2023/10/israeloccupied-palestinian-territory-un-experts-deplore-attacks-civilians" TargetMode="External"/><Relationship Id="rId23" Type="http://schemas.openxmlformats.org/officeDocument/2006/relationships/hyperlink" Target="http://undocs.org/en/E/CN.4/2005/6" TargetMode="External"/><Relationship Id="rId10" Type="http://schemas.openxmlformats.org/officeDocument/2006/relationships/hyperlink" Target="https://www.ohchr.org/en/press-releases/2024/01/un-experts-demand-accountability-victims-sexual-torture-and-unlawful" TargetMode="External"/><Relationship Id="rId19" Type="http://schemas.openxmlformats.org/officeDocument/2006/relationships/hyperlink" Target="http://undocs.org/en/A/HRC/WGAD/2023/37" TargetMode="External"/><Relationship Id="rId4" Type="http://schemas.openxmlformats.org/officeDocument/2006/relationships/hyperlink" Target="http://undocs.org/en/A/79/181" TargetMode="External"/><Relationship Id="rId9" Type="http://schemas.openxmlformats.org/officeDocument/2006/relationships/hyperlink" Target="https://www.ohchr.org/en/press-releases/2024/09/un-torture-expert-calls-immediate-release-israeli-hostages-after-meeting" TargetMode="External"/><Relationship Id="rId14" Type="http://schemas.openxmlformats.org/officeDocument/2006/relationships/hyperlink" Target="https://www.ohchr.org/en/press-releases/2023/11/un-experts-call-full-and-independent-investigations-all-crimes-committed" TargetMode="External"/><Relationship Id="rId22" Type="http://schemas.openxmlformats.org/officeDocument/2006/relationships/hyperlink" Target="http://undocs.org/en/A/HRC/WGEID/1" TargetMode="External"/><Relationship Id="rId27" Type="http://schemas.openxmlformats.org/officeDocument/2006/relationships/hyperlink" Target="http://undocs.org/en/A/74/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57166D5221D45AC4BE86DE2E261D0" ma:contentTypeVersion="15" ma:contentTypeDescription="Create a new document." ma:contentTypeScope="" ma:versionID="3d10e5fc8437e4c24caab8aa04d1bd19">
  <xsd:schema xmlns:xsd="http://www.w3.org/2001/XMLSchema" xmlns:xs="http://www.w3.org/2001/XMLSchema" xmlns:p="http://schemas.microsoft.com/office/2006/metadata/properties" xmlns:ns2="66797b77-c200-4d7e-b06b-42fe1f777de1" xmlns:ns3="e8c630da-1593-4b40-8ff7-bd949da10589" targetNamespace="http://schemas.microsoft.com/office/2006/metadata/properties" ma:root="true" ma:fieldsID="366ef3468e65104171cf173b716f5c1b" ns2:_="" ns3:_="">
    <xsd:import namespace="66797b77-c200-4d7e-b06b-42fe1f777de1"/>
    <xsd:import namespace="e8c630da-1593-4b40-8ff7-bd949da105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contributortype" minOccurs="0"/>
                <xsd:element ref="ns2:language" minOccurs="0"/>
                <xsd:element ref="ns2:additionalsubmission"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7b77-c200-4d7e-b06b-42fe1f77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contributortype" ma:index="16" nillable="true" ma:displayName="contributor type" ma:format="Dropdown" ma:internalName="contributortype">
      <xsd:simpleType>
        <xsd:union memberTypes="dms:Text">
          <xsd:simpleType>
            <xsd:restriction base="dms:Choice">
              <xsd:enumeration value="State"/>
              <xsd:enumeration value="CSO"/>
              <xsd:enumeration value="NHRI"/>
              <xsd:enumeration value="Academia"/>
              <xsd:enumeration value="UN entity"/>
              <xsd:enumeration value="Other"/>
            </xsd:restriction>
          </xsd:simpleType>
        </xsd:union>
      </xsd:simpleType>
    </xsd:element>
    <xsd:element name="language" ma:index="17" nillable="true" ma:displayName="language" ma:default="En" ma:format="Dropdown" ma:internalName="language">
      <xsd:simpleType>
        <xsd:restriction base="dms:Choice">
          <xsd:enumeration value="En"/>
          <xsd:enumeration value="Fr"/>
          <xsd:enumeration value="Es"/>
          <xsd:enumeration value="Ar"/>
          <xsd:enumeration value="Ru"/>
          <xsd:enumeration value="Zh"/>
        </xsd:restriction>
      </xsd:simpleType>
    </xsd:element>
    <xsd:element name="additionalsubmission" ma:index="18" nillable="true" ma:displayName="additional submission" ma:format="Dropdown" ma:internalName="additionalsubmission">
      <xsd:simpleType>
        <xsd:union memberTypes="dms:Text">
          <xsd:simpleType>
            <xsd:restriction base="dms:Choice">
              <xsd:enumeration value="1"/>
              <xsd:enumeration value="2"/>
              <xsd:enumeration value="3"/>
              <xsd:enumeration value="4"/>
              <xsd:enumeration value="5"/>
              <xsd:enumeration value="Choice 7"/>
            </xsd:restriction>
          </xsd:simpleType>
        </xsd:un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630da-1593-4b40-8ff7-bd949da105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4b8af6-8dd4-4520-8346-63c43fb665d6}" ma:internalName="TaxCatchAll" ma:showField="CatchAllData" ma:web="e8c630da-1593-4b40-8ff7-bd949da10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type xmlns="66797b77-c200-4d7e-b06b-42fe1f777de1" xsi:nil="true"/>
    <additionalsubmission xmlns="66797b77-c200-4d7e-b06b-42fe1f777de1" xsi:nil="true"/>
    <lcf76f155ced4ddcb4097134ff3c332f xmlns="66797b77-c200-4d7e-b06b-42fe1f777de1">
      <Terms xmlns="http://schemas.microsoft.com/office/infopath/2007/PartnerControls"/>
    </lcf76f155ced4ddcb4097134ff3c332f>
    <TaxCatchAll xmlns="e8c630da-1593-4b40-8ff7-bd949da10589" xsi:nil="true"/>
    <language xmlns="66797b77-c200-4d7e-b06b-42fe1f777de1">En</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561A-EA16-4276-AD9E-87547979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7b77-c200-4d7e-b06b-42fe1f777de1"/>
    <ds:schemaRef ds:uri="e8c630da-1593-4b40-8ff7-bd949da10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76383-4D52-4F35-8C13-B75A9EB2186A}">
  <ds:schemaRefs>
    <ds:schemaRef ds:uri="http://schemas.microsoft.com/sharepoint/v3/contenttype/forms"/>
  </ds:schemaRefs>
</ds:datastoreItem>
</file>

<file path=customXml/itemProps3.xml><?xml version="1.0" encoding="utf-8"?>
<ds:datastoreItem xmlns:ds="http://schemas.openxmlformats.org/officeDocument/2006/customXml" ds:itemID="{FC11F361-3E70-4AA4-A1CB-A3E775687C2E}">
  <ds:schemaRefs>
    <ds:schemaRef ds:uri="http://schemas.microsoft.com/office/2006/metadata/properties"/>
    <ds:schemaRef ds:uri="http://schemas.microsoft.com/office/infopath/2007/PartnerControls"/>
    <ds:schemaRef ds:uri="66797b77-c200-4d7e-b06b-42fe1f777de1"/>
    <ds:schemaRef ds:uri="e8c630da-1593-4b40-8ff7-bd949da10589"/>
  </ds:schemaRefs>
</ds:datastoreItem>
</file>

<file path=customXml/itemProps4.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8840</Words>
  <Characters>50389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A/HRC/58/55</vt:lpstr>
    </vt:vector>
  </TitlesOfParts>
  <Company>DCM</Company>
  <LinksUpToDate>false</LinksUpToDate>
  <CharactersWithSpaces>59111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A/HRC/58/55</dc:title>
  <dc:subject>2500901</dc:subject>
  <dc:creator>cg</dc:creator>
  <cp:keywords/>
  <dc:description/>
  <cp:lastModifiedBy>Hila</cp:lastModifiedBy>
  <cp:revision>2</cp:revision>
  <dcterms:created xsi:type="dcterms:W3CDTF">2025-02-24T15:40:00Z</dcterms:created>
  <dcterms:modified xsi:type="dcterms:W3CDTF">2025-02-24T15:40:00Z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daf3ed047ef4291b35c5307653602ddd07278c707e50803fd4ba98e5e2b2182d</vt:lpwstr>
  </property>
  <property fmtid="{D5CDD505-2E9C-101B-9397-08002B2CF9AE}" pid="3" name="ContentTypeId">
    <vt:lpwstr>0x010100D3257166D5221D45AC4BE86DE2E261D0</vt:lpwstr>
  </property>
</Properties>
</file>