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0" w:before="0" w:line="360" w:lineRule="auto"/>
        <w:rPr/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u w:val="single"/>
          <w:rtl w:val="1"/>
        </w:rPr>
        <w:t xml:space="preserve">הישראלים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סעיף</w:t>
      </w:r>
      <w:r w:rsidDel="00000000" w:rsidR="00000000" w:rsidRPr="00000000">
        <w:rPr>
          <w:sz w:val="24"/>
          <w:szCs w:val="24"/>
          <w:rtl w:val="1"/>
        </w:rPr>
        <w:t xml:space="preserve"> 8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התשס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-2001, </w:t>
      </w:r>
      <w:r w:rsidDel="00000000" w:rsidR="00000000" w:rsidRPr="00000000">
        <w:rPr>
          <w:sz w:val="24"/>
          <w:szCs w:val="24"/>
          <w:rtl w:val="1"/>
        </w:rPr>
        <w:t xml:space="preserve">לקבוע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כדלקמן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78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d7zwon32h9su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לאומי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שגובשה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שהתקבלו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עמדות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והמדיניים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הוצגה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ומצורפת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תנאים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מסווג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ועצורים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הסוהר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נעצרו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ורשימת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'),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שעיקריו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מונח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במזכירות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778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ta82jpp8tfjv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וכנגד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צבא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המצורפות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הפסקת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שתחילתה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ייערך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במפה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המצורפת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למנוע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חיכוך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האוכלוסייה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היערכות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בחזרה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- 28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כוחות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מאשרת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800" w:right="0" w:hanging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וביטחונה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המחייבים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רשימת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ועצורים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250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ועצורים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ולשחרר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1,700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ושנעצרו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קטינים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לגיל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ושנעצרו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7.10.2023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__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- __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מנחה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הרמטכ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קצין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בדרגת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שהרמטכ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הסמיך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לסמכותו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ולהורות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ביטול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הימנעות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מהוצאת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כליאה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לאותם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__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שמוחזקים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במשמורת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800" w:right="0" w:hanging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עזתיים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800" w:right="0" w:hanging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2.3.1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- 2.3.2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שבכפוף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וקודם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והעברת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בחזרה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- 28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800" w:right="0" w:hanging="7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ויועברו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השלמת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5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fz9gf4ownnx9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בייצור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ששימש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שילח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מפגע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לפיגוע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הרוגים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בתנאי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יועבר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לחו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ובתנאי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לשטחי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לצמיתות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תושב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5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להסמיך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ביחד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כדלקמן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52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52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להחליט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5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5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אסירים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ביטחוניים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ותושבי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באירועי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ישוחררו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והחלטת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וגופות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מחבלים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הועברו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מועד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המתווה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לשחרור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החטופים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יועברו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וההחלטה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בעניינם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בטלה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  <w:tab/>
        <w:br w:type="textWrapping"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52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הומניטרי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יוכנס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לרצועת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ind w:left="1076" w:hanging="28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7.1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7.10; </w:t>
      </w:r>
      <w:r w:rsidDel="00000000" w:rsidR="00000000" w:rsidRPr="00000000">
        <w:rPr>
          <w:sz w:val="24"/>
          <w:szCs w:val="24"/>
          <w:rtl w:val="1"/>
        </w:rPr>
        <w:t xml:space="preserve">ולמעט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270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– </w:t>
      </w:r>
      <w:r w:rsidDel="00000000" w:rsidR="00000000" w:rsidRPr="00000000">
        <w:rPr>
          <w:sz w:val="24"/>
          <w:szCs w:val="24"/>
          <w:rtl w:val="1"/>
        </w:rPr>
        <w:t xml:space="preserve">לגביהם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יצוינו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ברשימה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הניתן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המשטרתי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תפורסם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76" w:right="0" w:hanging="283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xw2nklobs7q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7.2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האינטרנט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אפשרות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לרשימה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שתפורסם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429.0000000000000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429.0000000000000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65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הסבר</w:t>
      </w:r>
    </w:p>
    <w:p w:rsidR="00000000" w:rsidDel="00000000" w:rsidP="00000000" w:rsidRDefault="00000000" w:rsidRPr="00000000" w14:paraId="00000022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רקע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כללי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07.10.2023 </w:t>
      </w:r>
      <w:r w:rsidDel="00000000" w:rsidR="00000000" w:rsidRPr="00000000">
        <w:rPr>
          <w:sz w:val="24"/>
          <w:szCs w:val="24"/>
          <w:rtl w:val="1"/>
        </w:rPr>
        <w:t xml:space="preserve">החליטה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לענייני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צבאיות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משמעותיות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שניתנה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בסעיפים</w:t>
      </w:r>
      <w:r w:rsidDel="00000000" w:rsidR="00000000" w:rsidRPr="00000000">
        <w:rPr>
          <w:sz w:val="24"/>
          <w:szCs w:val="24"/>
          <w:rtl w:val="1"/>
        </w:rPr>
        <w:t xml:space="preserve"> 40(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-40(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1)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יסוד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בעקבות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שנכפתה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מתקפת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רצחנית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ביום</w:t>
      </w:r>
      <w:r w:rsidDel="00000000" w:rsidR="00000000" w:rsidRPr="00000000">
        <w:rPr>
          <w:sz w:val="24"/>
          <w:szCs w:val="24"/>
          <w:rtl w:val="1"/>
        </w:rPr>
        <w:t xml:space="preserve"> 21.11.2023 </w:t>
      </w:r>
      <w:r w:rsidDel="00000000" w:rsidR="00000000" w:rsidRPr="00000000">
        <w:rPr>
          <w:sz w:val="24"/>
          <w:szCs w:val="24"/>
          <w:rtl w:val="1"/>
        </w:rPr>
        <w:t xml:space="preserve">התקבלה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1077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וביטחונה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במסגרתה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וביום</w:t>
      </w:r>
      <w:r w:rsidDel="00000000" w:rsidR="00000000" w:rsidRPr="00000000">
        <w:rPr>
          <w:sz w:val="24"/>
          <w:szCs w:val="24"/>
          <w:rtl w:val="1"/>
        </w:rPr>
        <w:t xml:space="preserve"> 17.1.2025 </w:t>
      </w:r>
      <w:r w:rsidDel="00000000" w:rsidR="00000000" w:rsidRPr="00000000">
        <w:rPr>
          <w:sz w:val="24"/>
          <w:szCs w:val="24"/>
          <w:rtl w:val="1"/>
        </w:rPr>
        <w:t xml:space="preserve">התקבלה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2689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ישראלים</w:t>
      </w:r>
      <w:r w:rsidDel="00000000" w:rsidR="00000000" w:rsidRPr="00000000">
        <w:rPr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הידוע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כיום</w:t>
      </w:r>
      <w:r w:rsidDel="00000000" w:rsidR="00000000" w:rsidRPr="00000000">
        <w:rPr>
          <w:sz w:val="24"/>
          <w:szCs w:val="24"/>
          <w:rtl w:val="1"/>
        </w:rPr>
        <w:t xml:space="preserve">, 48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, 20 </w:t>
      </w:r>
      <w:r w:rsidDel="00000000" w:rsidR="00000000" w:rsidRPr="00000000">
        <w:rPr>
          <w:sz w:val="24"/>
          <w:szCs w:val="24"/>
          <w:rtl w:val="1"/>
        </w:rPr>
        <w:t xml:space="preserve">בחיים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- 28 </w:t>
      </w:r>
      <w:r w:rsidDel="00000000" w:rsidR="00000000" w:rsidRPr="00000000">
        <w:rPr>
          <w:sz w:val="24"/>
          <w:szCs w:val="24"/>
          <w:rtl w:val="1"/>
        </w:rPr>
        <w:t xml:space="preserve">חללים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sz w:val="24"/>
          <w:szCs w:val="24"/>
        </w:rPr>
      </w:pPr>
      <w:bookmarkStart w:colFirst="0" w:colLast="0" w:name="_yd7iwqfcnrby" w:id="4"/>
      <w:bookmarkEnd w:id="4"/>
      <w:r w:rsidDel="00000000" w:rsidR="00000000" w:rsidRPr="00000000">
        <w:rPr>
          <w:sz w:val="24"/>
          <w:szCs w:val="24"/>
          <w:rtl w:val="1"/>
        </w:rPr>
        <w:t xml:space="preserve">עתה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ביטחונית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מדינית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לביטחון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לאומי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שגובשה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שהתקבלו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הגורמים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והמדיניים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הוצגה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ומצורפת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ישראלים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וחללים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מסווג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הסוהר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להלן</w:t>
      </w:r>
      <w:r w:rsidDel="00000000" w:rsidR="00000000" w:rsidRPr="00000000">
        <w:rPr>
          <w:sz w:val="24"/>
          <w:szCs w:val="24"/>
          <w:rtl w:val="1"/>
        </w:rPr>
        <w:t xml:space="preserve"> –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7.10.2023, </w:t>
      </w:r>
      <w:r w:rsidDel="00000000" w:rsidR="00000000" w:rsidRPr="00000000">
        <w:rPr>
          <w:sz w:val="24"/>
          <w:szCs w:val="24"/>
          <w:rtl w:val="1"/>
        </w:rPr>
        <w:t xml:space="preserve">נעצרו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7.10.2023 </w:t>
      </w:r>
      <w:r w:rsidDel="00000000" w:rsidR="00000000" w:rsidRPr="00000000">
        <w:rPr>
          <w:sz w:val="24"/>
          <w:szCs w:val="24"/>
          <w:rtl w:val="1"/>
        </w:rPr>
        <w:t xml:space="preserve">ומוחזקים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'), </w:t>
      </w:r>
      <w:r w:rsidDel="00000000" w:rsidR="00000000" w:rsidRPr="00000000">
        <w:rPr>
          <w:sz w:val="24"/>
          <w:szCs w:val="24"/>
          <w:rtl w:val="1"/>
        </w:rPr>
        <w:t xml:space="preserve">מפות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נספחים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וה</w:t>
      </w:r>
      <w:r w:rsidDel="00000000" w:rsidR="00000000" w:rsidRPr="00000000">
        <w:rPr>
          <w:sz w:val="24"/>
          <w:szCs w:val="24"/>
          <w:rtl w:val="1"/>
        </w:rPr>
        <w:t xml:space="preserve">') </w:t>
      </w:r>
      <w:r w:rsidDel="00000000" w:rsidR="00000000" w:rsidRPr="00000000">
        <w:rPr>
          <w:sz w:val="24"/>
          <w:szCs w:val="24"/>
          <w:rtl w:val="1"/>
        </w:rPr>
        <w:t xml:space="preserve">ורשימת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והחללים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'), </w:t>
      </w:r>
      <w:r w:rsidDel="00000000" w:rsidR="00000000" w:rsidRPr="00000000">
        <w:rPr>
          <w:sz w:val="24"/>
          <w:szCs w:val="24"/>
          <w:rtl w:val="1"/>
        </w:rPr>
        <w:t xml:space="preserve">שעיקריו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הוצגו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במזכירות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השרים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להלן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כמפורט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, 4 </w:t>
      </w:r>
      <w:r w:rsidDel="00000000" w:rsidR="00000000" w:rsidRPr="00000000">
        <w:rPr>
          <w:sz w:val="24"/>
          <w:szCs w:val="24"/>
          <w:rtl w:val="1"/>
        </w:rPr>
        <w:t xml:space="preserve">מבין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למדינת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בסעיף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7.10.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יוער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נבחנה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גורמי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בבדיקה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נכללת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להפעלת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סמכות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קצין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בדרגת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שהרמטכ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בייחס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לאותם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7.10.2023 </w:t>
      </w:r>
      <w:r w:rsidDel="00000000" w:rsidR="00000000" w:rsidRPr="00000000">
        <w:rPr>
          <w:sz w:val="24"/>
          <w:szCs w:val="24"/>
          <w:rtl w:val="1"/>
        </w:rPr>
        <w:t xml:space="preserve">שמוחזקים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שהורשע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ברצח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שלגביו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בסעיף</w:t>
      </w:r>
      <w:r w:rsidDel="00000000" w:rsidR="00000000" w:rsidRPr="00000000">
        <w:rPr>
          <w:sz w:val="24"/>
          <w:szCs w:val="24"/>
          <w:rtl w:val="1"/>
        </w:rPr>
        <w:t xml:space="preserve"> 30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תנאי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ממאסר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התשס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-2001, </w:t>
      </w:r>
      <w:r w:rsidDel="00000000" w:rsidR="00000000" w:rsidRPr="00000000">
        <w:rPr>
          <w:sz w:val="24"/>
          <w:szCs w:val="24"/>
          <w:rtl w:val="1"/>
        </w:rPr>
        <w:t xml:space="preserve">שהוא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בנסיבות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חריגות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בחומרתן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זאת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עומדים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בתנאים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בסעיף</w:t>
      </w:r>
      <w:r w:rsidDel="00000000" w:rsidR="00000000" w:rsidRPr="00000000">
        <w:rPr>
          <w:sz w:val="24"/>
          <w:szCs w:val="24"/>
          <w:rtl w:val="1"/>
        </w:rPr>
        <w:t xml:space="preserve"> 8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תשס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-2001,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זאת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למעט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__ 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תושבי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רצועת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עזה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שלא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היו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7.10.2023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שמוחזקים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צה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"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ושחרורם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יעשה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בהתאם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לסמכותו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של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הרמטכ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"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או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קצין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בדרגת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תת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אלוף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שהרמטכ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"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הסמיכו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לכך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yellow"/>
          <w:rtl w:val="1"/>
        </w:rPr>
        <w:t xml:space="preserve">כאמור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יוער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הסוהר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כוללת</w:t>
      </w:r>
      <w:r w:rsidDel="00000000" w:rsidR="00000000" w:rsidRPr="00000000">
        <w:rPr>
          <w:sz w:val="24"/>
          <w:szCs w:val="24"/>
          <w:rtl w:val="1"/>
        </w:rPr>
        <w:t xml:space="preserve"> 270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ועצורים</w:t>
      </w:r>
      <w:r w:rsidDel="00000000" w:rsidR="00000000" w:rsidRPr="00000000">
        <w:rPr>
          <w:sz w:val="24"/>
          <w:szCs w:val="24"/>
          <w:rtl w:val="1"/>
        </w:rPr>
        <w:t xml:space="preserve">, 250 </w:t>
      </w:r>
      <w:r w:rsidDel="00000000" w:rsidR="00000000" w:rsidRPr="00000000">
        <w:rPr>
          <w:sz w:val="24"/>
          <w:szCs w:val="24"/>
          <w:rtl w:val="1"/>
        </w:rPr>
        <w:t xml:space="preserve">מתוכם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בייחס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ועצורים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יצוין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אסמכתא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המוחזקים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להוראות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ובכלל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שטרם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מנהלי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וכלוא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כליאתם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לוחמים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חוקיים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תשס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 – 2002 </w:t>
      </w:r>
      <w:r w:rsidDel="00000000" w:rsidR="00000000" w:rsidRPr="00000000">
        <w:rPr>
          <w:sz w:val="24"/>
          <w:szCs w:val="24"/>
          <w:rtl w:val="1"/>
        </w:rPr>
        <w:t xml:space="preserve">המוחזק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שהרמטכ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הסמיכו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תהווה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אסמכתא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כלואים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במשמורת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להסמיך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הביטחון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ביחד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לפעול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להחליט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ישוחררו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בטלה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וגופות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כאמור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בעניינם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הצעת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מתייחסת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ההומניטרי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הפניה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'.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ההחלטה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לרבות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המצורפת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להחלטה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שמותיהם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תושבי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הבלתי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מעורבים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</w:t>
      </w:r>
      <w:r w:rsidDel="00000000" w:rsidR="00000000" w:rsidRPr="00000000">
        <w:rPr>
          <w:sz w:val="24"/>
          <w:szCs w:val="24"/>
          <w:rtl w:val="1"/>
        </w:rPr>
        <w:t xml:space="preserve"> 7.10 , </w:t>
      </w:r>
      <w:r w:rsidDel="00000000" w:rsidR="00000000" w:rsidRPr="00000000">
        <w:rPr>
          <w:sz w:val="24"/>
          <w:szCs w:val="24"/>
          <w:rtl w:val="1"/>
        </w:rPr>
        <w:t xml:space="preserve">תפורסם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בהקדם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אישורה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ביטחוניים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יפורסמו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הקטינים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הניתן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המשטרתי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הפלילי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האינטרנט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נספח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',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בהקשר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יוטעם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במסגרת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שחרורם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בנסיבות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הייחודיות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העניין</w:t>
      </w:r>
      <w:r w:rsidDel="00000000" w:rsidR="00000000" w:rsidRPr="00000000">
        <w:rPr>
          <w:sz w:val="24"/>
          <w:szCs w:val="24"/>
          <w:rtl w:val="1"/>
        </w:rPr>
        <w:t xml:space="preserve">; </w:t>
      </w:r>
      <w:r w:rsidDel="00000000" w:rsidR="00000000" w:rsidRPr="00000000">
        <w:rPr>
          <w:sz w:val="24"/>
          <w:szCs w:val="24"/>
          <w:rtl w:val="1"/>
        </w:rPr>
        <w:t xml:space="preserve">וכן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בשים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החטופים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הישראלים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00" w:before="100" w:line="360" w:lineRule="auto"/>
        <w:ind w:left="-5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נתונים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כלכליים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וההשפעה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משק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המדינה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100" w:before="100" w:line="360" w:lineRule="auto"/>
        <w:ind w:left="-5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תקציב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3D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השפעת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ההצעה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מצבת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כח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האדם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40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עמדת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שההצעה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נוגעת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לתחום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סמכותם</w:t>
      </w:r>
    </w:p>
    <w:p w:rsidR="00000000" w:rsidDel="00000000" w:rsidP="00000000" w:rsidRDefault="00000000" w:rsidRPr="00000000" w14:paraId="00000043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התקבלה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החלטות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קודמות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הממשלה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בנושא</w:t>
      </w:r>
    </w:p>
    <w:p w:rsidR="00000000" w:rsidDel="00000000" w:rsidP="00000000" w:rsidRDefault="00000000" w:rsidRPr="00000000" w14:paraId="00000046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1077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21.11.2023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אסירים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מטעמים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וביטחונה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7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החלטת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ממשלה</w:t>
      </w:r>
      <w:r w:rsidDel="00000000" w:rsidR="00000000" w:rsidRPr="00000000">
        <w:rPr>
          <w:sz w:val="24"/>
          <w:szCs w:val="24"/>
          <w:rtl w:val="1"/>
        </w:rPr>
        <w:t xml:space="preserve"> 2689 </w:t>
      </w:r>
      <w:r w:rsidDel="00000000" w:rsidR="00000000" w:rsidRPr="00000000">
        <w:rPr>
          <w:sz w:val="24"/>
          <w:szCs w:val="24"/>
          <w:rtl w:val="1"/>
        </w:rPr>
        <w:t xml:space="preserve">מיום</w:t>
      </w:r>
      <w:r w:rsidDel="00000000" w:rsidR="00000000" w:rsidRPr="00000000">
        <w:rPr>
          <w:sz w:val="24"/>
          <w:szCs w:val="24"/>
          <w:rtl w:val="1"/>
        </w:rPr>
        <w:t xml:space="preserve"> 17.1.2025 </w:t>
      </w:r>
      <w:r w:rsidDel="00000000" w:rsidR="00000000" w:rsidRPr="00000000">
        <w:rPr>
          <w:sz w:val="24"/>
          <w:szCs w:val="24"/>
          <w:rtl w:val="1"/>
        </w:rPr>
        <w:t xml:space="preserve">בעניין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מתווה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לשחרור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חטופים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ישראלים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48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עמדת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היועץ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המשפטי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המשרד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יוזם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ההצעה</w:t>
      </w:r>
    </w:p>
    <w:p w:rsidR="00000000" w:rsidDel="00000000" w:rsidP="00000000" w:rsidRDefault="00000000" w:rsidRPr="00000000" w14:paraId="0000004A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100" w:before="100" w:line="36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סיווגים</w:t>
      </w:r>
    </w:p>
    <w:p w:rsidR="00000000" w:rsidDel="00000000" w:rsidP="00000000" w:rsidRDefault="00000000" w:rsidRPr="00000000" w14:paraId="0000004D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סיווג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ראשי</w:t>
      </w:r>
      <w:r w:rsidDel="00000000" w:rsidR="00000000" w:rsidRPr="00000000">
        <w:rPr>
          <w:sz w:val="24"/>
          <w:szCs w:val="24"/>
          <w:rtl w:val="1"/>
        </w:rPr>
        <w:t xml:space="preserve">: 06</w:t>
      </w:r>
      <w:r w:rsidDel="00000000" w:rsidR="00000000" w:rsidRPr="00000000">
        <w:rPr>
          <w:sz w:val="24"/>
          <w:szCs w:val="24"/>
          <w:rtl w:val="1"/>
        </w:rPr>
        <w:t xml:space="preserve">פורמאלי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after="100" w:before="1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תחום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עיקרי</w:t>
      </w:r>
      <w:r w:rsidDel="00000000" w:rsidR="00000000" w:rsidRPr="00000000">
        <w:rPr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01</w:t>
      </w:r>
      <w:r w:rsidDel="00000000" w:rsidR="00000000" w:rsidRPr="00000000">
        <w:rPr>
          <w:sz w:val="24"/>
          <w:szCs w:val="24"/>
          <w:rtl w:val="1"/>
        </w:rPr>
        <w:t xml:space="preserve">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וביטחון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after="100" w:before="100" w:line="360" w:lineRule="auto"/>
        <w:ind w:left="360" w:firstLine="0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מוגש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412.4pt;height:247.4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טיוטה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David" w:cs="David" w:eastAsia="David" w:hAnsi="David"/>
        <w:b w:val="1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b w:val="0"/>
        <w:sz w:val="24"/>
        <w:szCs w:val="24"/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 w:val="0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b w:val="0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 w:val="0"/>
        <w:sz w:val="24"/>
        <w:szCs w:val="24"/>
        <w:u w:val="no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b w:val="0"/>
        <w:sz w:val="24"/>
        <w:szCs w:val="24"/>
        <w:u w:val="none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b w:val="0"/>
        <w:sz w:val="24"/>
        <w:szCs w:val="24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="240" w:lineRule="auto"/>
      <w:jc w:val="center"/>
    </w:pPr>
    <w:rPr>
      <w:rFonts w:ascii="David" w:cs="David" w:eastAsia="David" w:hAnsi="David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