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rPr>
          <w:b w:val="1"/>
          <w:sz w:val="16"/>
          <w:szCs w:val="1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right"/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fldChar w:fldCharType="begin"/>
        <w:instrText xml:space="preserve"> DOCPROPERTY "DocDateEng"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16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בנובמבר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 2025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right"/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                                                                                                   </w:t>
      </w:r>
      <w:r w:rsidDel="00000000" w:rsidR="00000000" w:rsidRPr="00000000">
        <w:fldChar w:fldCharType="begin"/>
        <w:instrText xml:space="preserve"> DOCPROPERTY "DocDateHeb"</w:instrText>
        <w:fldChar w:fldCharType="separate"/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בחשוון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תשפ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sz w:val="20"/>
          <w:szCs w:val="20"/>
          <w:rtl w:val="1"/>
        </w:rPr>
        <w:t xml:space="preserve">ו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right"/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fldChar w:fldCharType="begin"/>
        <w:instrText xml:space="preserve"> DOCPROPERTY "DocNumber"</w:instrText>
        <w:fldChar w:fldCharType="separate"/>
      </w:r>
      <w:r w:rsidDel="00000000" w:rsidR="00000000" w:rsidRPr="00000000">
        <w:rPr>
          <w:rFonts w:ascii="Arimo" w:cs="Arimo" w:eastAsia="Arimo" w:hAnsi="Arimo"/>
          <w:sz w:val="20"/>
          <w:szCs w:val="20"/>
          <w:rtl w:val="0"/>
        </w:rPr>
        <w:t xml:space="preserve">4700-1039-2025-006872</w:t>
      </w: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120" w:line="360" w:lineRule="auto"/>
        <w:jc w:val="center"/>
        <w:rPr>
          <w:rFonts w:ascii="Arimo" w:cs="Arimo" w:eastAsia="Arimo" w:hAnsi="Arim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120" w:line="240" w:lineRule="auto"/>
        <w:jc w:val="center"/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</w:rPr>
      </w:pP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תקציר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דין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07">
      <w:pPr>
        <w:bidi w:val="1"/>
        <w:spacing w:after="120" w:line="240" w:lineRule="auto"/>
        <w:jc w:val="center"/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</w:rPr>
      </w:pP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בג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 3545-11-25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ובג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2"/>
          <w:szCs w:val="32"/>
          <w:u w:val="single"/>
          <w:rtl w:val="1"/>
        </w:rPr>
        <w:t xml:space="preserve"> 18615-11-25</w:t>
      </w:r>
    </w:p>
    <w:p w:rsidR="00000000" w:rsidDel="00000000" w:rsidP="00000000" w:rsidRDefault="00000000" w:rsidRPr="00000000" w14:paraId="00000008">
      <w:pPr>
        <w:bidi w:val="1"/>
        <w:spacing w:after="120" w:line="240" w:lineRule="auto"/>
        <w:jc w:val="center"/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</w:rPr>
      </w:pP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הרכב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השופטים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יעל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וילנר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אלכס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שטיין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גילה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כנפי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שטייניץ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העליון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הוגשו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שעוסקות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ילווה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המשטרה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בנוגע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להדלפת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ולשיבוש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הליכי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במסגרת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המוכרת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פרשת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החשודים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במעשים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האמורים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ובתוכם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העיקרית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נכתבה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שקבעה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החריגות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והקיצוניות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המסדירות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לתוצאת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פסק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הצטרפו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שטיין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כנפי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שטייניץ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ונקבע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מבוטלת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יקבל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והמגבלות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המפורטות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1"/>
        </w:rPr>
        <w:t xml:space="preserve">העובדות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שנפתחה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חשד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חיילים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כלואים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בבסיס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תימן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הודלפו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לאמצעי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התקשורת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סרטונים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ממצלמות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האבטחה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הבסיס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הוצגו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בתקשורת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כתיעוד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לביצוע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עבירות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בתגובה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לעתירות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שהוגשו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שיחקור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להדלפה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משיבי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לעתירות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נערכה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פגישה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בהשתתפות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בייעוץ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ופרקליט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האמונים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בדיקת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המקור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להדלפה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הנוכחים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בפגישה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תמימי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דעים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שהבדיקה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נערכת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כראוי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למעלה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הדרוש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תפוקח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לעתירה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נוספת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שהוגשה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עדכנו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והצבא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פעולות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שנערכו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למיצוי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נמצאה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אינדיקציה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ראשונית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המצביעה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ההדלפה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31.10.2025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שלחה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הפרקליטה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הצבאית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הראשית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התפטרות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לרמטכ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הודיעה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הדלפת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הסרטון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לתקשורת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לכך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מכתב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והכפופים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מנועים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מלעסוק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בהמשך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יועמ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שבגדרה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נקבע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מליווי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ופיקוח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שהיא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עשויה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במסגרתה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חובת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ההימנעות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מופנית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מיוחדים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שפיקח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במישרין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צוות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הבדיקה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בצה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מעורב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מטעמו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ומטעם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החליט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שירות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מינויים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-1959,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לפרשה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יוטל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וזאת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בעיקרו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המחלוקת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שנדונה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נוגעת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לזהות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שיפקח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וילווה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המשטרתית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בעניין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למניעות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והעותרת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18615-11-25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טוענות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בחוסר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להפקיד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מהייעוץ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פרקליטות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שלפיו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אסור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לגורמים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להתערב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בחקירות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משטרה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מנגד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והעותרת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3545-11-25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טוענים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ניתנה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בסמכות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מחויבת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המציאות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לנוכח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מעורבות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במסכת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העובדתית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הנחקרת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0F">
      <w:pPr>
        <w:bidi w:val="1"/>
        <w:spacing w:after="120" w:line="240" w:lineRule="auto"/>
        <w:jc w:val="both"/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</w:rPr>
      </w:pP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עיקרי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30"/>
          <w:szCs w:val="3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שכתבה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הדעת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העיקרית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בפתח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דבריה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מדובר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חמורה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ורגישה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כמוה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צוין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הסתעפויות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הובילו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לסיטואציה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מנועה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מליווי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האמורה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התעורר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הצורך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במילוי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הליווי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המשטרתית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שנתון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דרמטית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מעוררת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קושי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בהיותה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ניצבת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במתח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בשיטתנו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ועם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הנובע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שלפיו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בחקירות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קונקרטיות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ובפרקליטות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לרבות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ופרקליט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מעורבים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באירועים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הנחקרים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ומשכך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עשויים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להידרש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למסור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עדות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בפרשה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בהינתן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יחסי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הכפיפות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הייעוץ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ראשי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מערכות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החריגות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והקיצוניות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דנן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המסקנה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הצדקה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לחרוג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באורח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מוגבל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ומתוחם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שלפיו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מקום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פוליטיים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בחקירות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פליליות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הקשיים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כבדי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המשקל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הכרוכים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לעמדתה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מסקנה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נסמכת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היתר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מהווה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התערבות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עקיפה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שמתמצית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בבחירת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תועברנה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ניתוק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הסמכויות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ציינה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מסקנתה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מביאה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בחשבון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העובדה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להטיל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דופי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במוסד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כרשות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מערכת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אכיפת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בישראל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מועברת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רשאי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להסתייע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דעתו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בגורמים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מסוימים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בפרקליטות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שהועברה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מעבר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להיבטים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להקהות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הפעלת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במקרים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כפופה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למספר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מגבלות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להוסיף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ולמתן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הפגיעה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בעיקרון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ולהבטיח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תופעל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ענייני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בלבד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ראשית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הגורם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המוסמך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לקבוע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הרלוונטי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משרדו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בהקשר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הודגש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נקבעה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לשלב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הליווי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תוקפה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שתוסר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המניעה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ככלל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תיעשה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מהייעוץ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בהיותם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בעלי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המקצועיות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המומחיות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לעסוק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אולם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הקיצוניות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והנדירות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מצדיקות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חריגה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מהכלל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הזה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שלישית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צריכה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להיעשות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משפטן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מובהק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שתחום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עיסוקו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כרוך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בהפעלת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שיקול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התביעה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הפלילית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רביעית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ניתן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הנוגעת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קונקרטית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כבענייננו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לעובד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שיוך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בעבר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בהווה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כן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תופעל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כאשר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מושא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פוליטי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שמתקיימות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בענייננו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נסיבות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נדירות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שעשויות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להצדיק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להעביר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לפקח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ספק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קולה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עומד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בתבחינים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הרלוונטיים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להתבטל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11(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)(1)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התלונות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שופטים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התשס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-2002,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קובע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הוראה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גורפת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ביחס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שלפיה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לגביו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איסור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עיסוק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הנציב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יכול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לקבל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הפיקוח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הנדונה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יקבל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החלטה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חדשה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מכוח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סעיף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ההחלטה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לעמוד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באמות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והמגבלות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המפורטות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והדגישה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בסוף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דבריה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הרבה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שבפתרון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הסוגיה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המורכבת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והקשה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שבבסיס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העתירות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הסכמה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והביעה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צער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שהצדדים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הגיעו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להסכמות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נאלץ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להכריע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בעצמו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בסוגיה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והוסיפה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מאוחר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לשוב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ולהזכיר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ההצעה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שניתנה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במהלך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ימונה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מחוזי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מכהן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שופט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עליון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בדימוס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הדגישה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נשלם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כדי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להביא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להכרעה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בשאלת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זהות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האדם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שיבוא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בנעליה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היועמש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לפיכך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ננעל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השער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להגעה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לפתרון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מוסכם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ייהנה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מהכשר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ציבורי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וינמיך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גובה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הלהבות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בשיח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הציבורי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;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ויפה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שעה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Arimo" w:cs="Arimo" w:eastAsia="Arimo" w:hAnsi="Arimo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b w:val="1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1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שטיין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אלכס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שטיין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קבע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המינויים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שמסמיך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בחירתו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במקום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היועצת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לממשלה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לליווי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נושא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העתירה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״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״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המוסדרים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מפקיד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ביצוע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פרקליט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במצב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המיוחד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שנוצר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שיקולים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נראות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ציבורית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ומראית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הצדק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יוצרים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לדעת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שטיין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מוסדית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מאפשרת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העברת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התפקיד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כפועל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יוצא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מכך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וכפי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שמתחייב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מהאמור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סדר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חייב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למנות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לתפקיד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בחירתו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משפטן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מומחיות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בתחום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נקי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מאינטרסים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אישיים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ומהשפעות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פוליטיות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דהיינו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אדם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שמכלול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נתוניו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מקרבים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ככל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שניתן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לפרקליט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בכיר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מפרקליטות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מטעמים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שטיין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הסכים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לתוצאה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אליה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הגיעה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וילנר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בפסק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מזהיר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מפני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פוליטיזציה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המשפט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הפלילי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12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כנפי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שטייניץ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2060"/>
          <w:sz w:val="26"/>
          <w:szCs w:val="26"/>
          <w:u w:val="singl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בחוות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דעתה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עמדה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השופטת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'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כנפי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entury" w:cs="Century" w:eastAsia="Century" w:hAnsi="Century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שטייניץ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המתח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הערך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עצמאות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רשויות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יסודי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בהגנה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שלטון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והמשטר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הדמוקרטי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שבניהול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ואמינה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שתנוהל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גורם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שאינו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נגוע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בחשש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לניגוד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עניינים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שישמור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בטוהר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ההליך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לגישתה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היסוד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יצירת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חיץ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ברור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הדרג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המיניסטריאלי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לבין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פרטנית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מתנהלת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בנסיבות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החריגות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שבענייננו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מתקיימת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מניעות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רחבה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הגורמים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הבכירים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ביותר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במערכת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האכיפה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משלא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נערכה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בחינה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יסודית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ניגודי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העניינים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המאפשר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ידי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מבכירי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הפרקליטות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ולנוכח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החשיבות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בקיומה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עצמאית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שתזכה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לאמון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הציבור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יש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לאפשר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לשר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להפעיל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סמכותו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בהתאם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לסעיף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23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לחוק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ולהטיל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עובד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מדינה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אחר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תפקיד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ליווי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החקירה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שהמניעות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תוסר</w:t>
      </w:r>
      <w:r w:rsidDel="00000000" w:rsidR="00000000" w:rsidRPr="00000000"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0"/>
        </w:tabs>
        <w:bidi w:val="1"/>
        <w:spacing w:after="0" w:before="0" w:line="240" w:lineRule="auto"/>
        <w:ind w:left="0" w:right="0" w:firstLine="0"/>
        <w:jc w:val="both"/>
        <w:rPr>
          <w:rFonts w:ascii="FrankRuehl" w:cs="FrankRuehl" w:eastAsia="FrankRuehl" w:hAnsi="FrankRuehl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120" w:line="360" w:lineRule="auto"/>
        <w:jc w:val="center"/>
        <w:rPr>
          <w:rFonts w:ascii="FrankRuehl" w:cs="FrankRuehl" w:eastAsia="FrankRuehl" w:hAnsi="FrankRuehl"/>
          <w:b w:val="1"/>
          <w:color w:val="002060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***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הנוסח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המחייב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הוא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של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פסק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הדין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המלא</w:t>
      </w:r>
      <w:r w:rsidDel="00000000" w:rsidR="00000000" w:rsidRPr="00000000">
        <w:rPr>
          <w:rFonts w:ascii="FrankRuehl" w:cs="FrankRuehl" w:eastAsia="FrankRuehl" w:hAnsi="FrankRuehl"/>
          <w:b w:val="1"/>
          <w:color w:val="002060"/>
          <w:sz w:val="26"/>
          <w:szCs w:val="26"/>
          <w:rtl w:val="1"/>
        </w:rPr>
        <w:t xml:space="preserve"> ***</w:t>
      </w:r>
    </w:p>
    <w:sectPr>
      <w:headerReference r:id="rId6" w:type="default"/>
      <w:footerReference r:id="rId7" w:type="default"/>
      <w:pgSz w:h="16838" w:w="11906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mo"/>
  <w:font w:name="FrankRuehl"/>
  <w:font w:name="Century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tabs>
        <w:tab w:val="center" w:leader="none" w:pos="4153"/>
        <w:tab w:val="right" w:leader="none" w:pos="8306"/>
      </w:tabs>
      <w:bidi w:val="1"/>
      <w:spacing w:after="0" w:line="240" w:lineRule="auto"/>
      <w:rPr>
        <w:rFonts w:ascii="Times New Roman" w:cs="Times New Roman" w:eastAsia="Times New Roman" w:hAnsi="Times New Roman"/>
        <w:b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0"/>
      </w:rPr>
      <w:t xml:space="preserve">________________________________________________________________</w:t>
    </w:r>
  </w:p>
  <w:p w:rsidR="00000000" w:rsidDel="00000000" w:rsidP="00000000" w:rsidRDefault="00000000" w:rsidRPr="00000000" w14:paraId="0000001F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בית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משפט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העליון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דרך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השופט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מאיר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שמגר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1 |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קרית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בן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גוריון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 |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ירושלים</w:t>
    </w:r>
  </w:p>
  <w:p w:rsidR="00000000" w:rsidDel="00000000" w:rsidP="00000000" w:rsidRDefault="00000000" w:rsidRPr="00000000" w14:paraId="00000020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8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טל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: 074-7480412                      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דוא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"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ל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4"/>
        <w:szCs w:val="24"/>
        <w:rtl w:val="1"/>
      </w:rPr>
      <w:t xml:space="preserve">: 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color w:val="0000ff"/>
          <w:sz w:val="24"/>
          <w:szCs w:val="24"/>
          <w:u w:val="single"/>
          <w:rtl w:val="0"/>
        </w:rPr>
        <w:t xml:space="preserve">Dover@court.gov.il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523875" cy="619125"/>
          <wp:effectExtent b="0" l="0" r="0" t="0"/>
          <wp:docPr descr="תיאור: semel" id="1" name="image1.png"/>
          <a:graphic>
            <a:graphicData uri="http://schemas.openxmlformats.org/drawingml/2006/picture">
              <pic:pic>
                <pic:nvPicPr>
                  <pic:cNvPr descr="תיאור: semel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6191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entury" w:cs="Century" w:eastAsia="Century" w:hAnsi="Century"/>
        <w:sz w:val="20"/>
        <w:szCs w:val="20"/>
        <w:rtl w:val="0"/>
      </w:rPr>
      <w:t xml:space="preserve">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8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8"/>
        <w:szCs w:val="28"/>
        <w:rtl w:val="1"/>
      </w:rPr>
      <w:t xml:space="preserve">מערכת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8"/>
        <w:szCs w:val="28"/>
        <w:rtl w:val="1"/>
      </w:rPr>
      <w:t xml:space="preserve">בתי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8"/>
        <w:szCs w:val="28"/>
        <w:rtl w:val="1"/>
      </w:rPr>
      <w:t xml:space="preserve">המשפט</w:t>
    </w:r>
  </w:p>
  <w:p w:rsidR="00000000" w:rsidDel="00000000" w:rsidP="00000000" w:rsidRDefault="00000000" w:rsidRPr="00000000" w14:paraId="0000001D">
    <w:pPr>
      <w:tabs>
        <w:tab w:val="center" w:leader="none" w:pos="4153"/>
        <w:tab w:val="right" w:leader="none" w:pos="8306"/>
      </w:tabs>
      <w:bidi w:val="1"/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00008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8"/>
        <w:szCs w:val="28"/>
        <w:rtl w:val="1"/>
      </w:rPr>
      <w:t xml:space="preserve">דוברות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8"/>
        <w:szCs w:val="28"/>
        <w:rtl w:val="1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80"/>
        <w:sz w:val="28"/>
        <w:szCs w:val="28"/>
        <w:rtl w:val="1"/>
      </w:rPr>
      <w:t xml:space="preserve">והסברה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Dover@court.gov.i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