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bidiVisual/>
        <w:tblW w:w="835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B01789" w14:paraId="6FFD1346" w14:textId="77777777" w:rsidTr="00BC5A54">
        <w:trPr>
          <w:trHeight w:val="624"/>
        </w:trPr>
        <w:tc>
          <w:tcPr>
            <w:tcW w:w="8356" w:type="dxa"/>
          </w:tcPr>
          <w:p w14:paraId="092F2076" w14:textId="77777777" w:rsidR="00B01789" w:rsidRDefault="00B01789" w:rsidP="004E2347">
            <w:pPr>
              <w:pStyle w:val="a5"/>
              <w:rPr>
                <w:rFonts w:ascii="Tahoma" w:hAnsi="Tahoma"/>
                <w:sz w:val="28"/>
                <w:szCs w:val="28"/>
                <w:rtl/>
              </w:rPr>
            </w:pPr>
            <w:r w:rsidRPr="004B3A40">
              <w:rPr>
                <w:rFonts w:ascii="Tahoma" w:hAnsi="Tahoma" w:hint="cs"/>
                <w:b/>
                <w:bCs/>
                <w:sz w:val="28"/>
                <w:szCs w:val="28"/>
                <w:u w:val="single"/>
                <w:rtl/>
              </w:rPr>
              <w:t>בבית המשפט העליון בשבתו כבית משפט גבוה לצדק</w:t>
            </w:r>
          </w:p>
        </w:tc>
      </w:tr>
    </w:tbl>
    <w:p w14:paraId="5AD95E69" w14:textId="77777777" w:rsidR="00A35ADB" w:rsidRDefault="00A35ADB" w:rsidP="00860920">
      <w:pPr>
        <w:jc w:val="right"/>
        <w:rPr>
          <w:rFonts w:ascii="David" w:hAnsi="David"/>
          <w:sz w:val="26"/>
          <w:szCs w:val="26"/>
          <w:rtl/>
        </w:rPr>
      </w:pPr>
    </w:p>
    <w:p w14:paraId="6007D741" w14:textId="77777777" w:rsidR="00860920" w:rsidRPr="004B3A40" w:rsidRDefault="00295CCA" w:rsidP="003F781C">
      <w:pPr>
        <w:jc w:val="right"/>
        <w:rPr>
          <w:rFonts w:ascii="David" w:hAnsi="David"/>
          <w:b/>
          <w:bCs/>
          <w:sz w:val="28"/>
          <w:szCs w:val="28"/>
          <w:rtl/>
        </w:rPr>
      </w:pPr>
      <w:sdt>
        <w:sdtPr>
          <w:rPr>
            <w:rFonts w:ascii="David" w:hAnsi="David"/>
            <w:sz w:val="28"/>
            <w:szCs w:val="28"/>
            <w:rtl/>
          </w:rPr>
          <w:alias w:val="1170"/>
          <w:tag w:val="1170"/>
          <w:id w:val="1066377040"/>
          <w:text w:multiLine="1"/>
        </w:sdtPr>
        <w:sdtEndPr/>
        <w:sdtContent>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7511C5">
            <w:rPr>
              <w:rFonts w:ascii="David" w:hAnsi="David"/>
              <w:b/>
              <w:bCs/>
              <w:sz w:val="28"/>
              <w:szCs w:val="28"/>
            </w:rPr>
            <w:t>5819/24</w:t>
          </w:r>
        </w:sdtContent>
      </w:sdt>
      <w:sdt>
        <w:sdtPr>
          <w:rPr>
            <w:rFonts w:ascii="David" w:hAnsi="David"/>
            <w:sz w:val="28"/>
            <w:szCs w:val="28"/>
            <w:rtl/>
          </w:rPr>
          <w:alias w:val="1170"/>
          <w:tag w:val="1170"/>
          <w:id w:val="-413463400"/>
          <w:text w:multiLine="1"/>
        </w:sdtPr>
        <w:sdtEndPr/>
        <w:sdtContent>
          <w:r w:rsidR="000D7E31">
            <w:rPr>
              <w:rFonts w:ascii="David" w:hAnsi="David"/>
              <w:b/>
              <w:bCs/>
              <w:sz w:val="28"/>
              <w:szCs w:val="28"/>
              <w:rtl/>
            </w:rPr>
            <w:br/>
          </w:r>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104214439"/>
          <w:text w:multiLine="1"/>
        </w:sdtPr>
        <w:sdtEndPr/>
        <w:sdtContent>
          <w:r w:rsidR="007511C5">
            <w:rPr>
              <w:rFonts w:ascii="David" w:hAnsi="David"/>
              <w:b/>
              <w:bCs/>
              <w:sz w:val="28"/>
              <w:szCs w:val="28"/>
              <w:rtl/>
            </w:rPr>
            <w:t>27156-08-24</w:t>
          </w:r>
        </w:sdtContent>
      </w:sdt>
      <w:sdt>
        <w:sdtPr>
          <w:rPr>
            <w:rFonts w:ascii="David" w:hAnsi="David"/>
            <w:sz w:val="28"/>
            <w:szCs w:val="28"/>
            <w:rtl/>
          </w:rPr>
          <w:alias w:val="1170"/>
          <w:tag w:val="1170"/>
          <w:id w:val="-862134424"/>
          <w:text w:multiLine="1"/>
        </w:sdtPr>
        <w:sdtEndPr/>
        <w:sdtContent>
          <w:r w:rsidR="000D7E31">
            <w:rPr>
              <w:rFonts w:ascii="David" w:hAnsi="David"/>
              <w:b/>
              <w:bCs/>
              <w:sz w:val="28"/>
              <w:szCs w:val="28"/>
              <w:rtl/>
            </w:rPr>
            <w:br/>
          </w:r>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11240257"/>
          <w:text w:multiLine="1"/>
        </w:sdtPr>
        <w:sdtEndPr/>
        <w:sdtContent>
          <w:r w:rsidR="007511C5">
            <w:rPr>
              <w:rFonts w:ascii="David" w:hAnsi="David"/>
              <w:b/>
              <w:bCs/>
              <w:sz w:val="28"/>
              <w:szCs w:val="28"/>
              <w:rtl/>
            </w:rPr>
            <w:t>55368-08-24</w:t>
          </w:r>
        </w:sdtContent>
      </w:sdt>
    </w:p>
    <w:p w14:paraId="27D9D525" w14:textId="77777777" w:rsidR="00860920" w:rsidRPr="004B3A40" w:rsidRDefault="00860920" w:rsidP="003F781C">
      <w:pPr>
        <w:pStyle w:val="a5"/>
        <w:jc w:val="right"/>
        <w:rPr>
          <w:sz w:val="28"/>
          <w:szCs w:val="28"/>
          <w:rtl/>
        </w:rPr>
      </w:pPr>
    </w:p>
    <w:tbl>
      <w:tblPr>
        <w:tblStyle w:val="12"/>
        <w:bidiVisual/>
        <w:tblW w:w="83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7"/>
        <w:gridCol w:w="5521"/>
        <w:gridCol w:w="7"/>
      </w:tblGrid>
      <w:tr w:rsidR="000D7E31" w14:paraId="50BE5C14" w14:textId="77777777" w:rsidTr="000D7E31">
        <w:tc>
          <w:tcPr>
            <w:tcW w:w="2797" w:type="dxa"/>
            <w:hideMark/>
          </w:tcPr>
          <w:p w14:paraId="6AD2C1EF" w14:textId="77777777" w:rsidR="000D7E31" w:rsidRDefault="000D7E31" w:rsidP="000D7E31">
            <w:pPr>
              <w:suppressLineNumbers/>
              <w:ind w:right="-295"/>
              <w:jc w:val="left"/>
              <w:rPr>
                <w:rFonts w:ascii="David" w:hAnsi="David"/>
                <w:sz w:val="28"/>
                <w:szCs w:val="28"/>
              </w:rPr>
            </w:pPr>
            <w:r>
              <w:rPr>
                <w:rFonts w:ascii="David" w:hAnsi="David"/>
                <w:sz w:val="28"/>
                <w:szCs w:val="28"/>
                <w:rtl/>
              </w:rPr>
              <w:t>לפני:</w:t>
            </w:r>
          </w:p>
        </w:tc>
        <w:tc>
          <w:tcPr>
            <w:tcW w:w="5528" w:type="dxa"/>
            <w:gridSpan w:val="2"/>
          </w:tcPr>
          <w:p w14:paraId="3266D155" w14:textId="77777777" w:rsidR="000D7E31" w:rsidRDefault="000D7E31" w:rsidP="000D7E31">
            <w:pPr>
              <w:suppressLineNumbers/>
              <w:jc w:val="left"/>
              <w:rPr>
                <w:rFonts w:ascii="David" w:hAnsi="David"/>
                <w:sz w:val="28"/>
                <w:szCs w:val="28"/>
                <w:rtl/>
              </w:rPr>
            </w:pPr>
            <w:r>
              <w:rPr>
                <w:rFonts w:ascii="David" w:hAnsi="David"/>
                <w:sz w:val="28"/>
                <w:szCs w:val="28"/>
                <w:rtl/>
              </w:rPr>
              <w:t>כבוד ה</w:t>
            </w:r>
            <w:sdt>
              <w:sdtPr>
                <w:rPr>
                  <w:rFonts w:ascii="David" w:hAnsi="David"/>
                  <w:sz w:val="28"/>
                  <w:szCs w:val="28"/>
                  <w:rtl/>
                </w:rPr>
                <w:alias w:val="1574"/>
                <w:tag w:val="1574"/>
                <w:id w:val="-794755371"/>
                <w:text w:multiLine="1"/>
              </w:sdtPr>
              <w:sdtEndPr/>
              <w:sdtContent>
                <w:r>
                  <w:rPr>
                    <w:rFonts w:ascii="David" w:hAnsi="David"/>
                    <w:sz w:val="28"/>
                    <w:szCs w:val="28"/>
                    <w:rtl/>
                  </w:rPr>
                  <w:t>משנה לנשיא</w:t>
                </w:r>
              </w:sdtContent>
            </w:sdt>
            <w:r>
              <w:rPr>
                <w:rFonts w:ascii="David" w:hAnsi="David"/>
                <w:sz w:val="28"/>
                <w:szCs w:val="28"/>
                <w:rtl/>
              </w:rPr>
              <w:t xml:space="preserve"> </w:t>
            </w:r>
            <w:sdt>
              <w:sdtPr>
                <w:rPr>
                  <w:rFonts w:ascii="David" w:hAnsi="David"/>
                  <w:sz w:val="28"/>
                  <w:szCs w:val="28"/>
                  <w:rtl/>
                </w:rPr>
                <w:alias w:val="1573"/>
                <w:tag w:val="1573"/>
                <w:id w:val="-1734230514"/>
                <w:text w:multiLine="1"/>
              </w:sdtPr>
              <w:sdtEndPr/>
              <w:sdtContent>
                <w:r>
                  <w:rPr>
                    <w:rFonts w:ascii="David" w:hAnsi="David"/>
                    <w:sz w:val="28"/>
                    <w:szCs w:val="28"/>
                    <w:rtl/>
                  </w:rPr>
                  <w:t>נעם סולברג</w:t>
                </w:r>
                <w:r>
                  <w:rPr>
                    <w:rFonts w:ascii="David" w:hAnsi="David"/>
                    <w:sz w:val="28"/>
                    <w:szCs w:val="28"/>
                    <w:rtl/>
                  </w:rPr>
                  <w:br/>
                  <w:t>כבוד השופטת דפנה ברק-ארז</w:t>
                </w:r>
                <w:r>
                  <w:rPr>
                    <w:rFonts w:ascii="David" w:hAnsi="David"/>
                    <w:sz w:val="28"/>
                    <w:szCs w:val="28"/>
                    <w:rtl/>
                  </w:rPr>
                  <w:br/>
                  <w:t>כבוד השופט דוד מינץ</w:t>
                </w:r>
                <w:r>
                  <w:rPr>
                    <w:rFonts w:ascii="David" w:hAnsi="David"/>
                    <w:sz w:val="28"/>
                    <w:szCs w:val="28"/>
                    <w:rtl/>
                  </w:rPr>
                  <w:br/>
                  <w:t>כבוד השופטת יעל וילנר</w:t>
                </w:r>
              </w:sdtContent>
            </w:sdt>
          </w:p>
          <w:p w14:paraId="2D7965C0" w14:textId="77777777" w:rsidR="000D7E31" w:rsidRDefault="000D7E31" w:rsidP="000D7E31">
            <w:pPr>
              <w:suppressLineNumbers/>
              <w:jc w:val="left"/>
              <w:rPr>
                <w:rFonts w:ascii="David" w:hAnsi="David"/>
                <w:sz w:val="28"/>
                <w:szCs w:val="28"/>
              </w:rPr>
            </w:pPr>
            <w:r>
              <w:rPr>
                <w:rFonts w:ascii="David" w:hAnsi="David"/>
                <w:sz w:val="28"/>
                <w:szCs w:val="28"/>
                <w:rtl/>
              </w:rPr>
              <w:t>כבוד השופט עופר גרוסקופף</w:t>
            </w:r>
          </w:p>
          <w:p w14:paraId="25412F3F" w14:textId="77777777" w:rsidR="000D7E31" w:rsidRDefault="000D7E31" w:rsidP="000D7E31">
            <w:pPr>
              <w:suppressLineNumbers/>
              <w:jc w:val="left"/>
              <w:rPr>
                <w:rFonts w:ascii="David" w:hAnsi="David"/>
                <w:sz w:val="28"/>
                <w:szCs w:val="28"/>
                <w:rtl/>
              </w:rPr>
            </w:pPr>
          </w:p>
        </w:tc>
      </w:tr>
      <w:tr w:rsidR="000D7E31" w14:paraId="200F9243" w14:textId="77777777" w:rsidTr="000D7E31">
        <w:trPr>
          <w:gridAfter w:val="1"/>
          <w:wAfter w:w="7" w:type="dxa"/>
        </w:trPr>
        <w:tc>
          <w:tcPr>
            <w:tcW w:w="2797" w:type="dxa"/>
          </w:tcPr>
          <w:p w14:paraId="31DF3D17" w14:textId="77777777" w:rsidR="000D7E31" w:rsidRDefault="000D7E31" w:rsidP="000D7E31">
            <w:pPr>
              <w:suppressLineNumbers/>
              <w:jc w:val="left"/>
              <w:rPr>
                <w:rFonts w:ascii="David" w:hAnsi="David"/>
                <w:sz w:val="28"/>
                <w:szCs w:val="28"/>
                <w:rtl/>
              </w:rPr>
            </w:pPr>
            <w:r>
              <w:rPr>
                <w:rFonts w:ascii="David" w:hAnsi="David"/>
                <w:sz w:val="28"/>
                <w:szCs w:val="28"/>
                <w:rtl/>
              </w:rPr>
              <w:t>ה</w:t>
            </w:r>
            <w:sdt>
              <w:sdtPr>
                <w:rPr>
                  <w:rFonts w:ascii="David" w:hAnsi="David"/>
                  <w:sz w:val="28"/>
                  <w:szCs w:val="28"/>
                  <w:rtl/>
                </w:rPr>
                <w:alias w:val="1180"/>
                <w:tag w:val="1180"/>
                <w:id w:val="-1824660881"/>
                <w:text w:multiLine="1"/>
              </w:sdtPr>
              <w:sdtEndPr/>
              <w:sdtContent>
                <w:r>
                  <w:rPr>
                    <w:rFonts w:ascii="David" w:hAnsi="David"/>
                    <w:sz w:val="28"/>
                    <w:szCs w:val="28"/>
                    <w:rtl/>
                  </w:rPr>
                  <w:t>עותרים בבג"ץ 5819/24</w:t>
                </w:r>
              </w:sdtContent>
            </w:sdt>
            <w:r>
              <w:rPr>
                <w:rFonts w:ascii="David" w:hAnsi="David"/>
                <w:sz w:val="28"/>
                <w:szCs w:val="28"/>
                <w:rtl/>
              </w:rPr>
              <w:t>:</w:t>
            </w:r>
          </w:p>
          <w:p w14:paraId="5C375C51" w14:textId="77777777" w:rsidR="000D7E31" w:rsidRDefault="000D7E31" w:rsidP="000D7E31">
            <w:pPr>
              <w:suppressLineNumbers/>
              <w:jc w:val="left"/>
              <w:rPr>
                <w:rFonts w:ascii="David" w:hAnsi="David"/>
                <w:sz w:val="28"/>
                <w:szCs w:val="28"/>
                <w:rtl/>
              </w:rPr>
            </w:pPr>
          </w:p>
        </w:tc>
        <w:tc>
          <w:tcPr>
            <w:tcW w:w="5521" w:type="dxa"/>
            <w:hideMark/>
          </w:tcPr>
          <w:p w14:paraId="52DD7BC5"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462"/>
                <w:tag w:val="1462"/>
                <w:id w:val="768276251"/>
                <w:text w:multiLine="1"/>
              </w:sdtPr>
              <w:sdtEndPr/>
              <w:sdtContent>
                <w:r w:rsidR="00EA608C">
                  <w:rPr>
                    <w:rFonts w:ascii="David" w:hAnsi="David"/>
                    <w:sz w:val="28"/>
                    <w:szCs w:val="28"/>
                    <w:rtl/>
                  </w:rPr>
                  <w:br/>
                </w:r>
                <w:r w:rsidR="000D7E31">
                  <w:rPr>
                    <w:rFonts w:ascii="David" w:hAnsi="David"/>
                    <w:sz w:val="28"/>
                    <w:szCs w:val="28"/>
                    <w:rtl/>
                  </w:rPr>
                  <w:t>1</w:t>
                </w:r>
              </w:sdtContent>
            </w:sdt>
            <w:r w:rsidR="000D7E31">
              <w:rPr>
                <w:rFonts w:ascii="David" w:hAnsi="David"/>
                <w:sz w:val="28"/>
                <w:szCs w:val="28"/>
                <w:rtl/>
              </w:rPr>
              <w:t xml:space="preserve">. </w:t>
            </w:r>
            <w:sdt>
              <w:sdtPr>
                <w:rPr>
                  <w:rFonts w:ascii="David" w:hAnsi="David"/>
                  <w:sz w:val="28"/>
                  <w:szCs w:val="28"/>
                  <w:rtl/>
                </w:rPr>
                <w:alias w:val="3151"/>
                <w:tag w:val="3151"/>
                <w:id w:val="892393078"/>
                <w:placeholder>
                  <w:docPart w:val="88D01CDFDA21460BAADB7A99F60E13C1"/>
                </w:placeholder>
                <w:text w:multiLine="1"/>
              </w:sdtPr>
              <w:sdtEndPr/>
              <w:sdtContent>
                <w:r w:rsidR="000D7E31">
                  <w:rPr>
                    <w:rFonts w:ascii="David" w:hAnsi="David"/>
                    <w:sz w:val="28"/>
                    <w:szCs w:val="28"/>
                    <w:rtl/>
                  </w:rPr>
                  <w:t>התנועה למען איכות השלטון בישראל</w:t>
                </w:r>
              </w:sdtContent>
            </w:sdt>
          </w:p>
          <w:p w14:paraId="15E2276F" w14:textId="77777777" w:rsidR="000D7E31" w:rsidRDefault="00295CCA" w:rsidP="000D7E31">
            <w:pPr>
              <w:suppressLineNumbers/>
              <w:jc w:val="left"/>
              <w:rPr>
                <w:rFonts w:ascii="David" w:hAnsi="David"/>
                <w:sz w:val="28"/>
                <w:szCs w:val="28"/>
              </w:rPr>
            </w:pPr>
            <w:sdt>
              <w:sdtPr>
                <w:rPr>
                  <w:rFonts w:ascii="David" w:hAnsi="David"/>
                  <w:sz w:val="28"/>
                  <w:szCs w:val="28"/>
                  <w:rtl/>
                </w:rPr>
                <w:alias w:val="1462"/>
                <w:tag w:val="1462"/>
                <w:id w:val="181948582"/>
                <w:text w:multiLine="1"/>
              </w:sdtPr>
              <w:sdtEndPr/>
              <w:sdtContent>
                <w:r w:rsidR="000D7E31">
                  <w:rPr>
                    <w:rFonts w:ascii="David" w:hAnsi="David"/>
                    <w:sz w:val="28"/>
                    <w:szCs w:val="28"/>
                    <w:rtl/>
                  </w:rPr>
                  <w:t>2</w:t>
                </w:r>
              </w:sdtContent>
            </w:sdt>
            <w:r w:rsidR="000D7E31">
              <w:rPr>
                <w:rFonts w:ascii="David" w:hAnsi="David"/>
                <w:sz w:val="28"/>
                <w:szCs w:val="28"/>
                <w:rtl/>
              </w:rPr>
              <w:t xml:space="preserve">. </w:t>
            </w:r>
            <w:sdt>
              <w:sdtPr>
                <w:rPr>
                  <w:rFonts w:ascii="David" w:hAnsi="David"/>
                  <w:sz w:val="28"/>
                  <w:szCs w:val="28"/>
                  <w:rtl/>
                </w:rPr>
                <w:alias w:val="3151"/>
                <w:tag w:val="3151"/>
                <w:id w:val="523764473"/>
                <w:placeholder>
                  <w:docPart w:val="88D01CDFDA21460BAADB7A99F60E13C1"/>
                </w:placeholder>
                <w:text w:multiLine="1"/>
              </w:sdtPr>
              <w:sdtEndPr/>
              <w:sdtContent>
                <w:r w:rsidR="000D7E31">
                  <w:rPr>
                    <w:rFonts w:ascii="David" w:hAnsi="David"/>
                    <w:sz w:val="28"/>
                    <w:szCs w:val="28"/>
                    <w:rtl/>
                  </w:rPr>
                  <w:t>פורום חומת מגן לדמוקרטיה</w:t>
                </w:r>
              </w:sdtContent>
            </w:sdt>
          </w:p>
        </w:tc>
      </w:tr>
      <w:tr w:rsidR="000D7E31" w14:paraId="6BB883DC" w14:textId="77777777" w:rsidTr="000D7E31">
        <w:trPr>
          <w:gridAfter w:val="1"/>
          <w:wAfter w:w="7" w:type="dxa"/>
        </w:trPr>
        <w:tc>
          <w:tcPr>
            <w:tcW w:w="2797" w:type="dxa"/>
          </w:tcPr>
          <w:p w14:paraId="106ACC04" w14:textId="77777777" w:rsidR="000D7E31" w:rsidRDefault="000D7E31" w:rsidP="000D7E31">
            <w:pPr>
              <w:suppressLineNumbers/>
              <w:jc w:val="left"/>
              <w:rPr>
                <w:rFonts w:ascii="David" w:hAnsi="David"/>
                <w:sz w:val="28"/>
                <w:szCs w:val="28"/>
                <w:rtl/>
              </w:rPr>
            </w:pPr>
            <w:r>
              <w:rPr>
                <w:rFonts w:ascii="David" w:hAnsi="David"/>
                <w:sz w:val="28"/>
                <w:szCs w:val="28"/>
                <w:rtl/>
              </w:rPr>
              <w:t>העותרת בבג"ץ 27156-08-24:</w:t>
            </w:r>
          </w:p>
          <w:p w14:paraId="6C21675A" w14:textId="77777777" w:rsidR="000D7E31" w:rsidRDefault="000D7E31" w:rsidP="000D7E31">
            <w:pPr>
              <w:suppressLineNumbers/>
              <w:jc w:val="left"/>
              <w:rPr>
                <w:rFonts w:ascii="David" w:hAnsi="David"/>
                <w:sz w:val="28"/>
                <w:szCs w:val="28"/>
                <w:rtl/>
              </w:rPr>
            </w:pPr>
          </w:p>
        </w:tc>
        <w:tc>
          <w:tcPr>
            <w:tcW w:w="5521" w:type="dxa"/>
          </w:tcPr>
          <w:p w14:paraId="5886E6D9" w14:textId="77777777" w:rsidR="000D7E31" w:rsidRDefault="000D7E31" w:rsidP="000D7E31">
            <w:pPr>
              <w:suppressLineNumbers/>
              <w:jc w:val="left"/>
              <w:rPr>
                <w:rFonts w:ascii="David" w:hAnsi="David"/>
                <w:sz w:val="28"/>
                <w:szCs w:val="28"/>
                <w:rtl/>
              </w:rPr>
            </w:pPr>
          </w:p>
          <w:p w14:paraId="4A52F61D" w14:textId="77777777" w:rsidR="000D7E31" w:rsidRDefault="000D7E31" w:rsidP="000D7E31">
            <w:pPr>
              <w:suppressLineNumbers/>
              <w:jc w:val="left"/>
              <w:rPr>
                <w:rFonts w:ascii="David" w:hAnsi="David"/>
                <w:sz w:val="28"/>
                <w:szCs w:val="28"/>
                <w:rtl/>
              </w:rPr>
            </w:pPr>
            <w:r>
              <w:rPr>
                <w:rFonts w:ascii="David" w:hAnsi="David"/>
                <w:sz w:val="28"/>
                <w:szCs w:val="28"/>
                <w:rtl/>
              </w:rPr>
              <w:t>ישראל חופשית</w:t>
            </w:r>
          </w:p>
        </w:tc>
      </w:tr>
      <w:tr w:rsidR="000D7E31" w14:paraId="2663F49A" w14:textId="77777777" w:rsidTr="000D7E31">
        <w:trPr>
          <w:gridAfter w:val="1"/>
          <w:wAfter w:w="7" w:type="dxa"/>
        </w:trPr>
        <w:tc>
          <w:tcPr>
            <w:tcW w:w="2797" w:type="dxa"/>
            <w:hideMark/>
          </w:tcPr>
          <w:p w14:paraId="20A77A26" w14:textId="77777777" w:rsidR="000D7E31" w:rsidRDefault="000D7E31" w:rsidP="000D7E31">
            <w:pPr>
              <w:suppressLineNumbers/>
              <w:jc w:val="left"/>
              <w:rPr>
                <w:rFonts w:ascii="David" w:hAnsi="David"/>
                <w:sz w:val="28"/>
                <w:szCs w:val="28"/>
                <w:rtl/>
              </w:rPr>
            </w:pPr>
            <w:r>
              <w:rPr>
                <w:rFonts w:ascii="David" w:hAnsi="David"/>
                <w:sz w:val="28"/>
                <w:szCs w:val="28"/>
                <w:rtl/>
              </w:rPr>
              <w:t>העותרות בבג"ץ 55368-08-24:</w:t>
            </w:r>
          </w:p>
        </w:tc>
        <w:tc>
          <w:tcPr>
            <w:tcW w:w="5521" w:type="dxa"/>
          </w:tcPr>
          <w:p w14:paraId="5405B495" w14:textId="77777777" w:rsidR="000D7E31" w:rsidRDefault="000D7E31" w:rsidP="000D7E31">
            <w:pPr>
              <w:suppressLineNumbers/>
              <w:jc w:val="left"/>
              <w:rPr>
                <w:rFonts w:ascii="David" w:hAnsi="David"/>
                <w:sz w:val="28"/>
                <w:szCs w:val="28"/>
                <w:rtl/>
              </w:rPr>
            </w:pPr>
          </w:p>
          <w:p w14:paraId="79ED9B7B" w14:textId="77777777" w:rsidR="000D7E31" w:rsidRDefault="000D7E31" w:rsidP="000D7E31">
            <w:pPr>
              <w:suppressLineNumbers/>
              <w:jc w:val="left"/>
              <w:rPr>
                <w:rFonts w:ascii="David" w:hAnsi="David"/>
                <w:sz w:val="28"/>
                <w:szCs w:val="28"/>
                <w:rtl/>
              </w:rPr>
            </w:pPr>
            <w:r>
              <w:rPr>
                <w:rFonts w:ascii="David" w:hAnsi="David" w:hint="cs"/>
                <w:sz w:val="28"/>
                <w:szCs w:val="28"/>
                <w:rtl/>
              </w:rPr>
              <w:t>1. רותם סיון-הופמן</w:t>
            </w:r>
          </w:p>
          <w:p w14:paraId="2B72B858" w14:textId="77777777" w:rsidR="000D7E31" w:rsidRDefault="000D7E31" w:rsidP="000D7E31">
            <w:pPr>
              <w:suppressLineNumbers/>
              <w:jc w:val="left"/>
              <w:rPr>
                <w:rFonts w:ascii="David" w:hAnsi="David"/>
                <w:sz w:val="28"/>
                <w:szCs w:val="28"/>
                <w:rtl/>
              </w:rPr>
            </w:pPr>
            <w:r>
              <w:rPr>
                <w:rFonts w:ascii="David" w:hAnsi="David" w:hint="cs"/>
                <w:sz w:val="28"/>
                <w:szCs w:val="28"/>
                <w:rtl/>
              </w:rPr>
              <w:t>2. מיכל הדס</w:t>
            </w:r>
          </w:p>
          <w:p w14:paraId="6B16C8C8" w14:textId="77777777" w:rsidR="000D7E31" w:rsidRDefault="000D7E31" w:rsidP="000D7E31">
            <w:pPr>
              <w:suppressLineNumbers/>
              <w:jc w:val="left"/>
              <w:rPr>
                <w:rFonts w:ascii="David" w:hAnsi="David"/>
                <w:sz w:val="28"/>
                <w:szCs w:val="28"/>
                <w:rtl/>
              </w:rPr>
            </w:pPr>
            <w:r>
              <w:rPr>
                <w:rFonts w:ascii="David" w:hAnsi="David" w:hint="cs"/>
                <w:sz w:val="28"/>
                <w:szCs w:val="28"/>
                <w:rtl/>
              </w:rPr>
              <w:t>3. עפרי דון-</w:t>
            </w:r>
            <w:proofErr w:type="spellStart"/>
            <w:r>
              <w:rPr>
                <w:rFonts w:ascii="David" w:hAnsi="David" w:hint="cs"/>
                <w:sz w:val="28"/>
                <w:szCs w:val="28"/>
                <w:rtl/>
              </w:rPr>
              <w:t>טופילד</w:t>
            </w:r>
            <w:proofErr w:type="spellEnd"/>
          </w:p>
          <w:p w14:paraId="64217F10" w14:textId="77777777" w:rsidR="000D7E31" w:rsidRDefault="000D7E31" w:rsidP="000D7E31">
            <w:pPr>
              <w:suppressLineNumbers/>
              <w:jc w:val="left"/>
              <w:rPr>
                <w:rFonts w:ascii="David" w:hAnsi="David"/>
                <w:sz w:val="28"/>
                <w:szCs w:val="28"/>
                <w:rtl/>
              </w:rPr>
            </w:pPr>
            <w:r>
              <w:rPr>
                <w:rFonts w:ascii="David" w:hAnsi="David" w:hint="cs"/>
                <w:sz w:val="28"/>
                <w:szCs w:val="28"/>
                <w:rtl/>
              </w:rPr>
              <w:t xml:space="preserve">4. נעמה </w:t>
            </w:r>
            <w:proofErr w:type="spellStart"/>
            <w:r>
              <w:rPr>
                <w:rFonts w:ascii="David" w:hAnsi="David" w:hint="cs"/>
                <w:sz w:val="28"/>
                <w:szCs w:val="28"/>
                <w:rtl/>
              </w:rPr>
              <w:t>גלבר</w:t>
            </w:r>
            <w:proofErr w:type="spellEnd"/>
          </w:p>
          <w:p w14:paraId="741483EB" w14:textId="77777777" w:rsidR="000D7E31" w:rsidRDefault="000D7E31" w:rsidP="000D7E31">
            <w:pPr>
              <w:suppressLineNumbers/>
              <w:jc w:val="left"/>
              <w:rPr>
                <w:rFonts w:ascii="David" w:hAnsi="David"/>
                <w:sz w:val="28"/>
                <w:szCs w:val="28"/>
                <w:rtl/>
              </w:rPr>
            </w:pPr>
            <w:r>
              <w:rPr>
                <w:rFonts w:ascii="David" w:hAnsi="David" w:hint="cs"/>
                <w:sz w:val="28"/>
                <w:szCs w:val="28"/>
                <w:rtl/>
              </w:rPr>
              <w:t>5. דלית כסלו-</w:t>
            </w:r>
            <w:proofErr w:type="spellStart"/>
            <w:r>
              <w:rPr>
                <w:rFonts w:ascii="David" w:hAnsi="David" w:hint="cs"/>
                <w:sz w:val="28"/>
                <w:szCs w:val="28"/>
                <w:rtl/>
              </w:rPr>
              <w:t>ספקטור</w:t>
            </w:r>
            <w:proofErr w:type="spellEnd"/>
          </w:p>
          <w:p w14:paraId="5215B8EB" w14:textId="77777777" w:rsidR="000D7E31" w:rsidRDefault="000D7E31" w:rsidP="000D7E31">
            <w:pPr>
              <w:suppressLineNumbers/>
              <w:jc w:val="left"/>
              <w:rPr>
                <w:rFonts w:ascii="David" w:hAnsi="David"/>
                <w:sz w:val="28"/>
                <w:szCs w:val="28"/>
                <w:rtl/>
              </w:rPr>
            </w:pPr>
            <w:r>
              <w:rPr>
                <w:rFonts w:ascii="David" w:hAnsi="David" w:hint="cs"/>
                <w:sz w:val="28"/>
                <w:szCs w:val="28"/>
                <w:rtl/>
              </w:rPr>
              <w:t>6. טל סיון-</w:t>
            </w:r>
            <w:proofErr w:type="spellStart"/>
            <w:r>
              <w:rPr>
                <w:rFonts w:ascii="David" w:hAnsi="David" w:hint="cs"/>
                <w:sz w:val="28"/>
                <w:szCs w:val="28"/>
                <w:rtl/>
              </w:rPr>
              <w:t>צפורין</w:t>
            </w:r>
            <w:proofErr w:type="spellEnd"/>
          </w:p>
        </w:tc>
      </w:tr>
      <w:tr w:rsidR="000D7E31" w14:paraId="6BFA4DDE" w14:textId="77777777" w:rsidTr="000D7E31">
        <w:trPr>
          <w:gridAfter w:val="1"/>
          <w:wAfter w:w="7" w:type="dxa"/>
        </w:trPr>
        <w:tc>
          <w:tcPr>
            <w:tcW w:w="8318" w:type="dxa"/>
            <w:gridSpan w:val="2"/>
          </w:tcPr>
          <w:p w14:paraId="63AB7AA1" w14:textId="77777777" w:rsidR="000D7E31" w:rsidRDefault="000D7E31" w:rsidP="000D7E31">
            <w:pPr>
              <w:suppressLineNumbers/>
              <w:jc w:val="left"/>
              <w:rPr>
                <w:rFonts w:ascii="David" w:hAnsi="David"/>
                <w:sz w:val="28"/>
                <w:szCs w:val="28"/>
                <w:rtl/>
              </w:rPr>
            </w:pPr>
          </w:p>
          <w:p w14:paraId="448C65A7" w14:textId="77777777" w:rsidR="000D7E31" w:rsidRDefault="000D7E31" w:rsidP="000D7E31">
            <w:pPr>
              <w:suppressLineNumbers/>
              <w:ind w:left="2160"/>
              <w:jc w:val="left"/>
              <w:rPr>
                <w:rFonts w:ascii="David" w:hAnsi="David"/>
                <w:spacing w:val="40"/>
                <w:sz w:val="28"/>
                <w:szCs w:val="28"/>
                <w:rtl/>
              </w:rPr>
            </w:pPr>
            <w:r>
              <w:rPr>
                <w:rFonts w:ascii="David" w:hAnsi="David"/>
                <w:spacing w:val="40"/>
                <w:sz w:val="28"/>
                <w:szCs w:val="28"/>
                <w:rtl/>
              </w:rPr>
              <w:t xml:space="preserve">       נגד</w:t>
            </w:r>
          </w:p>
          <w:p w14:paraId="59249879" w14:textId="77777777" w:rsidR="000D7E31" w:rsidRDefault="000D7E31" w:rsidP="000D7E31">
            <w:pPr>
              <w:suppressLineNumbers/>
              <w:jc w:val="left"/>
              <w:rPr>
                <w:rFonts w:ascii="David" w:hAnsi="David"/>
                <w:sz w:val="28"/>
                <w:szCs w:val="28"/>
                <w:rtl/>
              </w:rPr>
            </w:pPr>
          </w:p>
        </w:tc>
      </w:tr>
      <w:tr w:rsidR="000D7E31" w14:paraId="725DBCFE" w14:textId="77777777" w:rsidTr="000D7E31">
        <w:trPr>
          <w:gridAfter w:val="1"/>
          <w:wAfter w:w="7" w:type="dxa"/>
        </w:trPr>
        <w:tc>
          <w:tcPr>
            <w:tcW w:w="2797" w:type="dxa"/>
            <w:hideMark/>
          </w:tcPr>
          <w:p w14:paraId="7C8A3DC6" w14:textId="77777777" w:rsidR="000D7E31" w:rsidRDefault="000D7E31" w:rsidP="000D7E31">
            <w:pPr>
              <w:suppressLineNumbers/>
              <w:jc w:val="left"/>
              <w:rPr>
                <w:rFonts w:ascii="David" w:hAnsi="David"/>
                <w:sz w:val="28"/>
                <w:szCs w:val="28"/>
                <w:rtl/>
              </w:rPr>
            </w:pPr>
            <w:r>
              <w:rPr>
                <w:rFonts w:ascii="David" w:hAnsi="David"/>
                <w:sz w:val="28"/>
                <w:szCs w:val="28"/>
                <w:rtl/>
              </w:rPr>
              <w:t>ה</w:t>
            </w:r>
            <w:sdt>
              <w:sdtPr>
                <w:rPr>
                  <w:rFonts w:ascii="David" w:hAnsi="David"/>
                  <w:sz w:val="28"/>
                  <w:szCs w:val="28"/>
                  <w:rtl/>
                </w:rPr>
                <w:alias w:val="1184"/>
                <w:tag w:val="1184"/>
                <w:id w:val="902331605"/>
                <w:text w:multiLine="1"/>
              </w:sdtPr>
              <w:sdtEndPr/>
              <w:sdtContent>
                <w:r>
                  <w:rPr>
                    <w:rFonts w:ascii="David" w:hAnsi="David"/>
                    <w:sz w:val="28"/>
                    <w:szCs w:val="28"/>
                    <w:rtl/>
                  </w:rPr>
                  <w:t>משיבים בבג"ץ 5819/24</w:t>
                </w:r>
              </w:sdtContent>
            </w:sdt>
            <w:r>
              <w:rPr>
                <w:rFonts w:ascii="David" w:hAnsi="David"/>
                <w:sz w:val="28"/>
                <w:szCs w:val="28"/>
                <w:rtl/>
              </w:rPr>
              <w:t>:</w:t>
            </w:r>
          </w:p>
        </w:tc>
        <w:tc>
          <w:tcPr>
            <w:tcW w:w="5521" w:type="dxa"/>
          </w:tcPr>
          <w:p w14:paraId="5E70C625"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1423071909"/>
                <w:text w:multiLine="1"/>
              </w:sdtPr>
              <w:sdtEndPr/>
              <w:sdtContent>
                <w:r w:rsidR="00EA608C">
                  <w:rPr>
                    <w:rFonts w:ascii="David" w:hAnsi="David"/>
                    <w:sz w:val="28"/>
                    <w:szCs w:val="28"/>
                    <w:rtl/>
                  </w:rPr>
                  <w:br/>
                </w:r>
                <w:r w:rsidR="000D7E31">
                  <w:rPr>
                    <w:rFonts w:ascii="David" w:hAnsi="David"/>
                    <w:sz w:val="28"/>
                    <w:szCs w:val="28"/>
                    <w:rtl/>
                  </w:rPr>
                  <w:t>1</w:t>
                </w:r>
              </w:sdtContent>
            </w:sdt>
            <w:r w:rsidR="000D7E31">
              <w:rPr>
                <w:rFonts w:ascii="David" w:hAnsi="David"/>
                <w:sz w:val="28"/>
                <w:szCs w:val="28"/>
                <w:rtl/>
              </w:rPr>
              <w:t xml:space="preserve">. </w:t>
            </w:r>
            <w:sdt>
              <w:sdtPr>
                <w:rPr>
                  <w:rFonts w:ascii="David" w:hAnsi="David"/>
                  <w:sz w:val="28"/>
                  <w:szCs w:val="28"/>
                  <w:rtl/>
                </w:rPr>
                <w:alias w:val="3152"/>
                <w:tag w:val="3152"/>
                <w:id w:val="-1147890717"/>
                <w:placeholder>
                  <w:docPart w:val="959427276B7F4681A55FAD1C12A4EA46"/>
                </w:placeholder>
                <w:text w:multiLine="1"/>
              </w:sdtPr>
              <w:sdtEndPr/>
              <w:sdtContent>
                <w:r w:rsidR="000D7E31">
                  <w:rPr>
                    <w:rFonts w:ascii="David" w:hAnsi="David"/>
                    <w:sz w:val="28"/>
                    <w:szCs w:val="28"/>
                    <w:rtl/>
                  </w:rPr>
                  <w:t>שר הביטחון</w:t>
                </w:r>
              </w:sdtContent>
            </w:sdt>
          </w:p>
          <w:p w14:paraId="276E64F7"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1333175959"/>
                <w:text w:multiLine="1"/>
              </w:sdtPr>
              <w:sdtEndPr/>
              <w:sdtContent>
                <w:r w:rsidR="000D7E31">
                  <w:rPr>
                    <w:rFonts w:ascii="David" w:hAnsi="David"/>
                    <w:sz w:val="28"/>
                    <w:szCs w:val="28"/>
                    <w:rtl/>
                  </w:rPr>
                  <w:t>2</w:t>
                </w:r>
              </w:sdtContent>
            </w:sdt>
            <w:r w:rsidR="000D7E31">
              <w:rPr>
                <w:rFonts w:ascii="David" w:hAnsi="David"/>
                <w:sz w:val="28"/>
                <w:szCs w:val="28"/>
                <w:rtl/>
              </w:rPr>
              <w:t xml:space="preserve">. </w:t>
            </w:r>
            <w:sdt>
              <w:sdtPr>
                <w:rPr>
                  <w:rFonts w:ascii="David" w:hAnsi="David"/>
                  <w:sz w:val="28"/>
                  <w:szCs w:val="28"/>
                  <w:rtl/>
                </w:rPr>
                <w:alias w:val="3152"/>
                <w:tag w:val="3152"/>
                <w:id w:val="-967054824"/>
                <w:placeholder>
                  <w:docPart w:val="959427276B7F4681A55FAD1C12A4EA46"/>
                </w:placeholder>
                <w:text w:multiLine="1"/>
              </w:sdtPr>
              <w:sdtEndPr/>
              <w:sdtContent>
                <w:r w:rsidR="000D7E31">
                  <w:rPr>
                    <w:rFonts w:ascii="David" w:hAnsi="David"/>
                    <w:sz w:val="28"/>
                    <w:szCs w:val="28"/>
                    <w:rtl/>
                  </w:rPr>
                  <w:t>ממשלת ישראל</w:t>
                </w:r>
              </w:sdtContent>
            </w:sdt>
          </w:p>
          <w:p w14:paraId="5124244E"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1824572189"/>
                <w:text w:multiLine="1"/>
              </w:sdtPr>
              <w:sdtEndPr/>
              <w:sdtContent>
                <w:r w:rsidR="000D7E31">
                  <w:rPr>
                    <w:rFonts w:ascii="David" w:hAnsi="David"/>
                    <w:sz w:val="28"/>
                    <w:szCs w:val="28"/>
                    <w:rtl/>
                  </w:rPr>
                  <w:t>3</w:t>
                </w:r>
              </w:sdtContent>
            </w:sdt>
            <w:r w:rsidR="000D7E31">
              <w:rPr>
                <w:rFonts w:ascii="David" w:hAnsi="David"/>
                <w:sz w:val="28"/>
                <w:szCs w:val="28"/>
                <w:rtl/>
              </w:rPr>
              <w:t xml:space="preserve">. </w:t>
            </w:r>
            <w:sdt>
              <w:sdtPr>
                <w:rPr>
                  <w:rFonts w:ascii="David" w:hAnsi="David"/>
                  <w:sz w:val="28"/>
                  <w:szCs w:val="28"/>
                  <w:rtl/>
                </w:rPr>
                <w:alias w:val="3152"/>
                <w:tag w:val="3152"/>
                <w:id w:val="2006158699"/>
                <w:placeholder>
                  <w:docPart w:val="959427276B7F4681A55FAD1C12A4EA46"/>
                </w:placeholder>
                <w:text w:multiLine="1"/>
              </w:sdtPr>
              <w:sdtEndPr/>
              <w:sdtContent>
                <w:r w:rsidR="000D7E31">
                  <w:rPr>
                    <w:rFonts w:ascii="David" w:hAnsi="David"/>
                    <w:sz w:val="28"/>
                    <w:szCs w:val="28"/>
                    <w:rtl/>
                  </w:rPr>
                  <w:t>ראש המטה הכללי</w:t>
                </w:r>
              </w:sdtContent>
            </w:sdt>
          </w:p>
          <w:p w14:paraId="7291B699"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1815450182"/>
                <w:text w:multiLine="1"/>
              </w:sdtPr>
              <w:sdtEndPr/>
              <w:sdtContent>
                <w:r w:rsidR="000D7E31">
                  <w:rPr>
                    <w:rFonts w:ascii="David" w:hAnsi="David"/>
                    <w:sz w:val="28"/>
                    <w:szCs w:val="28"/>
                    <w:rtl/>
                  </w:rPr>
                  <w:t>4</w:t>
                </w:r>
              </w:sdtContent>
            </w:sdt>
            <w:r w:rsidR="000D7E31">
              <w:rPr>
                <w:rFonts w:ascii="David" w:hAnsi="David"/>
                <w:sz w:val="28"/>
                <w:szCs w:val="28"/>
                <w:rtl/>
              </w:rPr>
              <w:t xml:space="preserve">. </w:t>
            </w:r>
            <w:sdt>
              <w:sdtPr>
                <w:rPr>
                  <w:rFonts w:ascii="David" w:hAnsi="David"/>
                  <w:sz w:val="28"/>
                  <w:szCs w:val="28"/>
                  <w:rtl/>
                </w:rPr>
                <w:alias w:val="3152"/>
                <w:tag w:val="3152"/>
                <w:id w:val="-780254745"/>
                <w:placeholder>
                  <w:docPart w:val="959427276B7F4681A55FAD1C12A4EA46"/>
                </w:placeholder>
                <w:text w:multiLine="1"/>
              </w:sdtPr>
              <w:sdtEndPr/>
              <w:sdtContent>
                <w:r w:rsidR="000D7E31">
                  <w:rPr>
                    <w:rFonts w:ascii="David" w:hAnsi="David"/>
                    <w:sz w:val="28"/>
                    <w:szCs w:val="28"/>
                    <w:rtl/>
                  </w:rPr>
                  <w:t>ראש אגף כוח אדם בצה"ל</w:t>
                </w:r>
              </w:sdtContent>
            </w:sdt>
          </w:p>
          <w:p w14:paraId="5B170BDC" w14:textId="77777777" w:rsidR="000D7E31" w:rsidRDefault="00295CCA" w:rsidP="000D7E31">
            <w:pPr>
              <w:suppressLineNumbers/>
              <w:jc w:val="left"/>
              <w:rPr>
                <w:rFonts w:ascii="David" w:hAnsi="David"/>
                <w:sz w:val="28"/>
                <w:szCs w:val="28"/>
              </w:rPr>
            </w:pPr>
            <w:sdt>
              <w:sdtPr>
                <w:rPr>
                  <w:rFonts w:ascii="David" w:hAnsi="David"/>
                  <w:sz w:val="28"/>
                  <w:szCs w:val="28"/>
                  <w:rtl/>
                </w:rPr>
                <w:alias w:val="1571"/>
                <w:tag w:val="1571"/>
                <w:id w:val="1373971559"/>
                <w:text w:multiLine="1"/>
              </w:sdtPr>
              <w:sdtEndPr/>
              <w:sdtContent>
                <w:r w:rsidR="000D7E31">
                  <w:rPr>
                    <w:rFonts w:ascii="David" w:hAnsi="David"/>
                    <w:sz w:val="28"/>
                    <w:szCs w:val="28"/>
                    <w:rtl/>
                  </w:rPr>
                  <w:t>5</w:t>
                </w:r>
              </w:sdtContent>
            </w:sdt>
            <w:r w:rsidR="000D7E31">
              <w:rPr>
                <w:rFonts w:ascii="David" w:hAnsi="David"/>
                <w:sz w:val="28"/>
                <w:szCs w:val="28"/>
                <w:rtl/>
              </w:rPr>
              <w:t xml:space="preserve">. </w:t>
            </w:r>
            <w:sdt>
              <w:sdtPr>
                <w:rPr>
                  <w:rFonts w:ascii="David" w:hAnsi="David"/>
                  <w:sz w:val="28"/>
                  <w:szCs w:val="28"/>
                  <w:rtl/>
                </w:rPr>
                <w:alias w:val="3152"/>
                <w:tag w:val="3152"/>
                <w:id w:val="-195631041"/>
                <w:placeholder>
                  <w:docPart w:val="959427276B7F4681A55FAD1C12A4EA46"/>
                </w:placeholder>
                <w:text w:multiLine="1"/>
              </w:sdtPr>
              <w:sdtEndPr/>
              <w:sdtContent>
                <w:r w:rsidR="000D7E31">
                  <w:rPr>
                    <w:rFonts w:ascii="David" w:hAnsi="David"/>
                    <w:sz w:val="28"/>
                    <w:szCs w:val="28"/>
                    <w:rtl/>
                  </w:rPr>
                  <w:t>מפקד יחידת תכנון וכוח אדם באכ"א</w:t>
                </w:r>
              </w:sdtContent>
            </w:sdt>
          </w:p>
          <w:p w14:paraId="1E2ECF90"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639965912"/>
                <w:text w:multiLine="1"/>
              </w:sdtPr>
              <w:sdtEndPr/>
              <w:sdtContent>
                <w:r w:rsidR="000D7E31">
                  <w:rPr>
                    <w:rFonts w:ascii="David" w:hAnsi="David"/>
                    <w:sz w:val="28"/>
                    <w:szCs w:val="28"/>
                    <w:rtl/>
                  </w:rPr>
                  <w:t>6</w:t>
                </w:r>
              </w:sdtContent>
            </w:sdt>
            <w:r w:rsidR="000D7E31">
              <w:rPr>
                <w:rFonts w:ascii="David" w:hAnsi="David"/>
                <w:sz w:val="28"/>
                <w:szCs w:val="28"/>
                <w:rtl/>
              </w:rPr>
              <w:t xml:space="preserve">. </w:t>
            </w:r>
            <w:sdt>
              <w:sdtPr>
                <w:rPr>
                  <w:rFonts w:ascii="David" w:hAnsi="David"/>
                  <w:sz w:val="28"/>
                  <w:szCs w:val="28"/>
                  <w:rtl/>
                </w:rPr>
                <w:alias w:val="3152"/>
                <w:tag w:val="3152"/>
                <w:id w:val="1753542032"/>
                <w:placeholder>
                  <w:docPart w:val="959427276B7F4681A55FAD1C12A4EA46"/>
                </w:placeholder>
                <w:text w:multiLine="1"/>
              </w:sdtPr>
              <w:sdtEndPr/>
              <w:sdtContent>
                <w:r w:rsidR="000D7E31">
                  <w:rPr>
                    <w:rFonts w:ascii="David" w:hAnsi="David"/>
                    <w:sz w:val="28"/>
                    <w:szCs w:val="28"/>
                    <w:rtl/>
                  </w:rPr>
                  <w:t>הפרקליטה הצבאית הראשית</w:t>
                </w:r>
              </w:sdtContent>
            </w:sdt>
          </w:p>
          <w:p w14:paraId="04DD9C96"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1155330091"/>
                <w:text w:multiLine="1"/>
              </w:sdtPr>
              <w:sdtEndPr/>
              <w:sdtContent>
                <w:r w:rsidR="000D7E31">
                  <w:rPr>
                    <w:rFonts w:ascii="David" w:hAnsi="David"/>
                    <w:sz w:val="28"/>
                    <w:szCs w:val="28"/>
                    <w:rtl/>
                  </w:rPr>
                  <w:t>7</w:t>
                </w:r>
              </w:sdtContent>
            </w:sdt>
            <w:r w:rsidR="000D7E31">
              <w:rPr>
                <w:rFonts w:ascii="David" w:hAnsi="David"/>
                <w:sz w:val="28"/>
                <w:szCs w:val="28"/>
                <w:rtl/>
              </w:rPr>
              <w:t xml:space="preserve">. </w:t>
            </w:r>
            <w:sdt>
              <w:sdtPr>
                <w:rPr>
                  <w:rFonts w:ascii="David" w:hAnsi="David"/>
                  <w:sz w:val="28"/>
                  <w:szCs w:val="28"/>
                  <w:rtl/>
                </w:rPr>
                <w:alias w:val="3152"/>
                <w:tag w:val="3152"/>
                <w:id w:val="1904714873"/>
                <w:placeholder>
                  <w:docPart w:val="959427276B7F4681A55FAD1C12A4EA46"/>
                </w:placeholder>
                <w:text w:multiLine="1"/>
              </w:sdtPr>
              <w:sdtEndPr/>
              <w:sdtContent>
                <w:r w:rsidR="000D7E31">
                  <w:rPr>
                    <w:rFonts w:ascii="David" w:hAnsi="David"/>
                    <w:sz w:val="28"/>
                    <w:szCs w:val="28"/>
                    <w:rtl/>
                  </w:rPr>
                  <w:t>היועצת המשפטית לממשלה</w:t>
                </w:r>
                <w:r w:rsidR="000D7E31">
                  <w:rPr>
                    <w:rFonts w:ascii="David" w:hAnsi="David"/>
                    <w:sz w:val="28"/>
                    <w:szCs w:val="28"/>
                    <w:rtl/>
                  </w:rPr>
                  <w:br/>
                  <w:t>8. שר החינוך</w:t>
                </w:r>
              </w:sdtContent>
            </w:sdt>
          </w:p>
          <w:p w14:paraId="44CCCEBB" w14:textId="77777777" w:rsidR="000D7E31" w:rsidRDefault="00295CCA" w:rsidP="000D7E31">
            <w:pPr>
              <w:suppressLineNumbers/>
              <w:jc w:val="left"/>
              <w:rPr>
                <w:rFonts w:ascii="David" w:hAnsi="David"/>
                <w:sz w:val="28"/>
                <w:szCs w:val="28"/>
                <w:rtl/>
              </w:rPr>
            </w:pPr>
            <w:sdt>
              <w:sdtPr>
                <w:rPr>
                  <w:rFonts w:ascii="David" w:hAnsi="David"/>
                  <w:sz w:val="28"/>
                  <w:szCs w:val="28"/>
                  <w:rtl/>
                </w:rPr>
                <w:alias w:val="1571"/>
                <w:tag w:val="1571"/>
                <w:id w:val="986675969"/>
                <w:text w:multiLine="1"/>
              </w:sdtPr>
              <w:sdtEndPr/>
              <w:sdtContent>
                <w:r w:rsidR="000D7E31">
                  <w:rPr>
                    <w:rFonts w:ascii="David" w:hAnsi="David"/>
                    <w:sz w:val="28"/>
                    <w:szCs w:val="28"/>
                    <w:rtl/>
                  </w:rPr>
                  <w:t>9</w:t>
                </w:r>
              </w:sdtContent>
            </w:sdt>
            <w:r w:rsidR="000D7E31">
              <w:rPr>
                <w:rFonts w:ascii="David" w:hAnsi="David"/>
                <w:sz w:val="28"/>
                <w:szCs w:val="28"/>
                <w:rtl/>
              </w:rPr>
              <w:t xml:space="preserve">. </w:t>
            </w:r>
            <w:sdt>
              <w:sdtPr>
                <w:rPr>
                  <w:rFonts w:ascii="David" w:hAnsi="David"/>
                  <w:sz w:val="28"/>
                  <w:szCs w:val="28"/>
                  <w:rtl/>
                </w:rPr>
                <w:alias w:val="3152"/>
                <w:tag w:val="3152"/>
                <w:id w:val="-1287350203"/>
                <w:placeholder>
                  <w:docPart w:val="959427276B7F4681A55FAD1C12A4EA46"/>
                </w:placeholder>
                <w:text w:multiLine="1"/>
              </w:sdtPr>
              <w:sdtEndPr/>
              <w:sdtContent>
                <w:r w:rsidR="000D7E31">
                  <w:rPr>
                    <w:rFonts w:ascii="David" w:hAnsi="David"/>
                    <w:sz w:val="28"/>
                    <w:szCs w:val="28"/>
                    <w:rtl/>
                  </w:rPr>
                  <w:t>איחוד הישיבות באר"י</w:t>
                </w:r>
              </w:sdtContent>
            </w:sdt>
          </w:p>
          <w:p w14:paraId="0023A42B" w14:textId="77777777" w:rsidR="000D7E31" w:rsidRDefault="000D7E31" w:rsidP="000D7E31">
            <w:pPr>
              <w:suppressLineNumbers/>
              <w:jc w:val="left"/>
              <w:rPr>
                <w:rFonts w:ascii="David" w:hAnsi="David"/>
                <w:sz w:val="28"/>
                <w:szCs w:val="28"/>
                <w:rtl/>
              </w:rPr>
            </w:pPr>
          </w:p>
        </w:tc>
      </w:tr>
      <w:tr w:rsidR="000D7E31" w14:paraId="32984A7A" w14:textId="77777777" w:rsidTr="000D7E31">
        <w:trPr>
          <w:gridAfter w:val="1"/>
          <w:wAfter w:w="7" w:type="dxa"/>
        </w:trPr>
        <w:tc>
          <w:tcPr>
            <w:tcW w:w="2797" w:type="dxa"/>
            <w:hideMark/>
          </w:tcPr>
          <w:p w14:paraId="11283F09" w14:textId="77777777" w:rsidR="000D7E31" w:rsidRDefault="000D7E31" w:rsidP="000D7E31">
            <w:pPr>
              <w:suppressLineNumbers/>
              <w:jc w:val="left"/>
              <w:rPr>
                <w:rFonts w:ascii="David" w:hAnsi="David"/>
                <w:sz w:val="28"/>
                <w:szCs w:val="28"/>
                <w:rtl/>
              </w:rPr>
            </w:pPr>
            <w:r>
              <w:rPr>
                <w:rFonts w:ascii="David" w:hAnsi="David"/>
                <w:sz w:val="28"/>
                <w:szCs w:val="28"/>
                <w:rtl/>
              </w:rPr>
              <w:t>המשיבים בבג"ץ 27156-08-24:</w:t>
            </w:r>
          </w:p>
        </w:tc>
        <w:tc>
          <w:tcPr>
            <w:tcW w:w="5521" w:type="dxa"/>
          </w:tcPr>
          <w:p w14:paraId="5006E734" w14:textId="77777777" w:rsidR="00EA608C" w:rsidRDefault="00EA608C" w:rsidP="000D7E31">
            <w:pPr>
              <w:suppressLineNumbers/>
              <w:jc w:val="left"/>
              <w:rPr>
                <w:rFonts w:ascii="David" w:hAnsi="David"/>
                <w:sz w:val="28"/>
                <w:szCs w:val="28"/>
                <w:rtl/>
              </w:rPr>
            </w:pPr>
          </w:p>
          <w:p w14:paraId="33E092CE" w14:textId="77777777" w:rsidR="000D7E31" w:rsidRDefault="000D7E31" w:rsidP="000D7E31">
            <w:pPr>
              <w:suppressLineNumbers/>
              <w:jc w:val="left"/>
              <w:rPr>
                <w:rFonts w:ascii="David" w:hAnsi="David"/>
                <w:sz w:val="28"/>
                <w:szCs w:val="28"/>
                <w:rtl/>
              </w:rPr>
            </w:pPr>
            <w:r>
              <w:rPr>
                <w:rFonts w:ascii="David" w:hAnsi="David"/>
                <w:sz w:val="28"/>
                <w:szCs w:val="28"/>
                <w:rtl/>
              </w:rPr>
              <w:t xml:space="preserve">1. מפקדת </w:t>
            </w:r>
            <w:proofErr w:type="spellStart"/>
            <w:r>
              <w:rPr>
                <w:rFonts w:ascii="David" w:hAnsi="David"/>
                <w:sz w:val="28"/>
                <w:szCs w:val="28"/>
                <w:rtl/>
              </w:rPr>
              <w:t>מיט"ב</w:t>
            </w:r>
            <w:proofErr w:type="spellEnd"/>
          </w:p>
          <w:p w14:paraId="496CA54E" w14:textId="77777777" w:rsidR="000D7E31" w:rsidRDefault="000D7E31" w:rsidP="000D7E31">
            <w:pPr>
              <w:suppressLineNumbers/>
              <w:jc w:val="left"/>
              <w:rPr>
                <w:rFonts w:ascii="David" w:hAnsi="David"/>
                <w:sz w:val="28"/>
                <w:szCs w:val="28"/>
                <w:rtl/>
              </w:rPr>
            </w:pPr>
            <w:r>
              <w:rPr>
                <w:rFonts w:ascii="David" w:hAnsi="David"/>
                <w:sz w:val="28"/>
                <w:szCs w:val="28"/>
                <w:rtl/>
              </w:rPr>
              <w:t>2. ראש המטה הכללי</w:t>
            </w:r>
          </w:p>
          <w:p w14:paraId="680E6B37" w14:textId="77777777" w:rsidR="000D7E31" w:rsidRDefault="000D7E31" w:rsidP="000D7E31">
            <w:pPr>
              <w:suppressLineNumbers/>
              <w:jc w:val="left"/>
              <w:rPr>
                <w:rFonts w:ascii="David" w:hAnsi="David"/>
                <w:sz w:val="28"/>
                <w:szCs w:val="28"/>
                <w:rtl/>
              </w:rPr>
            </w:pPr>
            <w:r>
              <w:rPr>
                <w:rFonts w:ascii="David" w:hAnsi="David"/>
                <w:sz w:val="28"/>
                <w:szCs w:val="28"/>
                <w:rtl/>
              </w:rPr>
              <w:t xml:space="preserve">3. ראש אגף </w:t>
            </w:r>
            <w:proofErr w:type="spellStart"/>
            <w:r>
              <w:rPr>
                <w:rFonts w:ascii="David" w:hAnsi="David"/>
                <w:sz w:val="28"/>
                <w:szCs w:val="28"/>
                <w:rtl/>
              </w:rPr>
              <w:t>כח</w:t>
            </w:r>
            <w:proofErr w:type="spellEnd"/>
            <w:r>
              <w:rPr>
                <w:rFonts w:ascii="David" w:hAnsi="David"/>
                <w:sz w:val="28"/>
                <w:szCs w:val="28"/>
                <w:rtl/>
              </w:rPr>
              <w:t xml:space="preserve"> אדם בצה"ל</w:t>
            </w:r>
          </w:p>
          <w:p w14:paraId="0C33FA92" w14:textId="77777777" w:rsidR="000D7E31" w:rsidRDefault="000D7E31" w:rsidP="000D7E31">
            <w:pPr>
              <w:suppressLineNumbers/>
              <w:jc w:val="left"/>
              <w:rPr>
                <w:rFonts w:ascii="David" w:hAnsi="David"/>
                <w:sz w:val="28"/>
                <w:szCs w:val="28"/>
                <w:rtl/>
              </w:rPr>
            </w:pPr>
            <w:r>
              <w:rPr>
                <w:rFonts w:ascii="David" w:hAnsi="David"/>
                <w:sz w:val="28"/>
                <w:szCs w:val="28"/>
                <w:rtl/>
              </w:rPr>
              <w:t xml:space="preserve">4. </w:t>
            </w:r>
            <w:proofErr w:type="spellStart"/>
            <w:r>
              <w:rPr>
                <w:rFonts w:ascii="David" w:hAnsi="David"/>
                <w:sz w:val="28"/>
                <w:szCs w:val="28"/>
                <w:rtl/>
              </w:rPr>
              <w:t>רח"ט</w:t>
            </w:r>
            <w:proofErr w:type="spellEnd"/>
            <w:r>
              <w:rPr>
                <w:rFonts w:ascii="David" w:hAnsi="David"/>
                <w:sz w:val="28"/>
                <w:szCs w:val="28"/>
                <w:rtl/>
              </w:rPr>
              <w:t xml:space="preserve"> תכנון </w:t>
            </w:r>
            <w:proofErr w:type="spellStart"/>
            <w:r>
              <w:rPr>
                <w:rFonts w:ascii="David" w:hAnsi="David"/>
                <w:sz w:val="28"/>
                <w:szCs w:val="28"/>
                <w:rtl/>
              </w:rPr>
              <w:t>ומינהל</w:t>
            </w:r>
            <w:proofErr w:type="spellEnd"/>
            <w:r>
              <w:rPr>
                <w:rFonts w:ascii="David" w:hAnsi="David"/>
                <w:sz w:val="28"/>
                <w:szCs w:val="28"/>
                <w:rtl/>
              </w:rPr>
              <w:t xml:space="preserve"> </w:t>
            </w:r>
            <w:proofErr w:type="spellStart"/>
            <w:r>
              <w:rPr>
                <w:rFonts w:ascii="David" w:hAnsi="David"/>
                <w:sz w:val="28"/>
                <w:szCs w:val="28"/>
                <w:rtl/>
              </w:rPr>
              <w:t>כח</w:t>
            </w:r>
            <w:proofErr w:type="spellEnd"/>
            <w:r>
              <w:rPr>
                <w:rFonts w:ascii="David" w:hAnsi="David"/>
                <w:sz w:val="28"/>
                <w:szCs w:val="28"/>
                <w:rtl/>
              </w:rPr>
              <w:t xml:space="preserve"> אדם באכ"א</w:t>
            </w:r>
          </w:p>
          <w:p w14:paraId="4120617F" w14:textId="77777777" w:rsidR="000D7E31" w:rsidRDefault="000D7E31" w:rsidP="000D7E31">
            <w:pPr>
              <w:suppressLineNumbers/>
              <w:jc w:val="left"/>
              <w:rPr>
                <w:rFonts w:ascii="David" w:hAnsi="David"/>
                <w:sz w:val="28"/>
                <w:szCs w:val="28"/>
                <w:rtl/>
              </w:rPr>
            </w:pPr>
            <w:r>
              <w:rPr>
                <w:rFonts w:ascii="David" w:hAnsi="David"/>
                <w:sz w:val="28"/>
                <w:szCs w:val="28"/>
                <w:rtl/>
              </w:rPr>
              <w:t>5. הפרקליטה הצבאית הראשית</w:t>
            </w:r>
          </w:p>
          <w:p w14:paraId="1249104B" w14:textId="77777777" w:rsidR="000D7E31" w:rsidRDefault="000D7E31" w:rsidP="000D7E31">
            <w:pPr>
              <w:suppressLineNumbers/>
              <w:jc w:val="left"/>
              <w:rPr>
                <w:rFonts w:ascii="David" w:hAnsi="David"/>
                <w:sz w:val="28"/>
                <w:szCs w:val="28"/>
                <w:rtl/>
              </w:rPr>
            </w:pPr>
            <w:r>
              <w:rPr>
                <w:rFonts w:ascii="David" w:hAnsi="David"/>
                <w:sz w:val="28"/>
                <w:szCs w:val="28"/>
                <w:rtl/>
              </w:rPr>
              <w:t>6. שר הביטחון</w:t>
            </w:r>
          </w:p>
          <w:p w14:paraId="1802C7D8" w14:textId="77777777" w:rsidR="000D7E31" w:rsidRDefault="000D7E31" w:rsidP="000D7E31">
            <w:pPr>
              <w:suppressLineNumbers/>
              <w:jc w:val="left"/>
              <w:rPr>
                <w:rFonts w:ascii="David" w:hAnsi="David"/>
                <w:sz w:val="28"/>
                <w:szCs w:val="28"/>
                <w:rtl/>
              </w:rPr>
            </w:pPr>
            <w:r>
              <w:rPr>
                <w:rFonts w:ascii="David" w:hAnsi="David"/>
                <w:sz w:val="28"/>
                <w:szCs w:val="28"/>
                <w:rtl/>
              </w:rPr>
              <w:t>7. היועץ המשפטי למערכת הביטחון</w:t>
            </w:r>
          </w:p>
          <w:p w14:paraId="3DB95E98" w14:textId="77777777" w:rsidR="000D7E31" w:rsidRDefault="000D7E31" w:rsidP="000D7E31">
            <w:pPr>
              <w:suppressLineNumbers/>
              <w:jc w:val="left"/>
              <w:rPr>
                <w:rFonts w:ascii="David" w:hAnsi="David"/>
                <w:sz w:val="28"/>
                <w:szCs w:val="28"/>
                <w:rtl/>
              </w:rPr>
            </w:pPr>
            <w:r>
              <w:rPr>
                <w:rFonts w:ascii="David" w:hAnsi="David"/>
                <w:sz w:val="28"/>
                <w:szCs w:val="28"/>
                <w:rtl/>
              </w:rPr>
              <w:t>8. איחוד הישיבות באר"י</w:t>
            </w:r>
          </w:p>
          <w:p w14:paraId="0B6EBEBF" w14:textId="77777777" w:rsidR="000D7E31" w:rsidRDefault="000D7E31" w:rsidP="000D7E31">
            <w:pPr>
              <w:suppressLineNumbers/>
              <w:jc w:val="left"/>
              <w:rPr>
                <w:rFonts w:ascii="David" w:hAnsi="David"/>
                <w:sz w:val="28"/>
                <w:szCs w:val="28"/>
                <w:rtl/>
              </w:rPr>
            </w:pPr>
          </w:p>
        </w:tc>
      </w:tr>
      <w:tr w:rsidR="000D7E31" w14:paraId="451C0588" w14:textId="77777777" w:rsidTr="000D7E31">
        <w:trPr>
          <w:gridAfter w:val="1"/>
          <w:wAfter w:w="7" w:type="dxa"/>
        </w:trPr>
        <w:tc>
          <w:tcPr>
            <w:tcW w:w="2797" w:type="dxa"/>
            <w:hideMark/>
          </w:tcPr>
          <w:p w14:paraId="176E00CA" w14:textId="77777777" w:rsidR="000D7E31" w:rsidRDefault="000D7E31" w:rsidP="000D7E31">
            <w:pPr>
              <w:suppressLineNumbers/>
              <w:jc w:val="left"/>
              <w:rPr>
                <w:rFonts w:ascii="David" w:hAnsi="David"/>
                <w:sz w:val="28"/>
                <w:szCs w:val="28"/>
                <w:rtl/>
              </w:rPr>
            </w:pPr>
            <w:r>
              <w:rPr>
                <w:rFonts w:ascii="David" w:hAnsi="David"/>
                <w:sz w:val="28"/>
                <w:szCs w:val="28"/>
                <w:rtl/>
              </w:rPr>
              <w:lastRenderedPageBreak/>
              <w:t>המשיבים בבג"ץ  55368-08-24:</w:t>
            </w:r>
          </w:p>
        </w:tc>
        <w:tc>
          <w:tcPr>
            <w:tcW w:w="5521" w:type="dxa"/>
            <w:hideMark/>
          </w:tcPr>
          <w:p w14:paraId="72211062" w14:textId="77777777" w:rsidR="00EA608C" w:rsidRDefault="00EA608C" w:rsidP="000D7E31">
            <w:pPr>
              <w:suppressLineNumbers/>
              <w:jc w:val="left"/>
              <w:rPr>
                <w:rFonts w:ascii="David" w:hAnsi="David"/>
                <w:sz w:val="28"/>
                <w:szCs w:val="28"/>
                <w:rtl/>
              </w:rPr>
            </w:pPr>
          </w:p>
          <w:p w14:paraId="797E78FB" w14:textId="77777777" w:rsidR="000D7E31" w:rsidRDefault="000D7E31" w:rsidP="000D7E31">
            <w:pPr>
              <w:suppressLineNumbers/>
              <w:jc w:val="left"/>
              <w:rPr>
                <w:rFonts w:ascii="David" w:hAnsi="David"/>
                <w:sz w:val="28"/>
                <w:szCs w:val="28"/>
                <w:rtl/>
              </w:rPr>
            </w:pPr>
            <w:r>
              <w:rPr>
                <w:rFonts w:ascii="David" w:hAnsi="David"/>
                <w:sz w:val="28"/>
                <w:szCs w:val="28"/>
                <w:rtl/>
              </w:rPr>
              <w:t>1.ממשלת ישראל</w:t>
            </w:r>
          </w:p>
          <w:p w14:paraId="03F43F48" w14:textId="77777777" w:rsidR="000D7E31" w:rsidRDefault="000D7E31" w:rsidP="000D7E31">
            <w:pPr>
              <w:suppressLineNumbers/>
              <w:jc w:val="left"/>
              <w:rPr>
                <w:rFonts w:ascii="David" w:hAnsi="David"/>
                <w:sz w:val="28"/>
                <w:szCs w:val="28"/>
                <w:rtl/>
              </w:rPr>
            </w:pPr>
            <w:r>
              <w:rPr>
                <w:rFonts w:ascii="David" w:hAnsi="David"/>
                <w:sz w:val="28"/>
                <w:szCs w:val="28"/>
                <w:rtl/>
              </w:rPr>
              <w:t>2. צבא הגנה לישראל</w:t>
            </w:r>
          </w:p>
          <w:p w14:paraId="4C2C57A4" w14:textId="77777777" w:rsidR="000D7E31" w:rsidRDefault="000D7E31" w:rsidP="000D7E31">
            <w:pPr>
              <w:suppressLineNumbers/>
              <w:tabs>
                <w:tab w:val="center" w:pos="2652"/>
              </w:tabs>
              <w:jc w:val="left"/>
              <w:rPr>
                <w:rFonts w:ascii="David" w:hAnsi="David"/>
                <w:sz w:val="28"/>
                <w:szCs w:val="28"/>
                <w:rtl/>
              </w:rPr>
            </w:pPr>
            <w:r>
              <w:rPr>
                <w:rFonts w:ascii="David" w:hAnsi="David"/>
                <w:sz w:val="28"/>
                <w:szCs w:val="28"/>
                <w:rtl/>
              </w:rPr>
              <w:t>3. שר הביטחון</w:t>
            </w:r>
          </w:p>
          <w:p w14:paraId="5C2B080B" w14:textId="77777777" w:rsidR="000D7E31" w:rsidRDefault="000D7E31" w:rsidP="000D7E31">
            <w:pPr>
              <w:suppressLineNumbers/>
              <w:jc w:val="left"/>
              <w:rPr>
                <w:rFonts w:ascii="David" w:hAnsi="David"/>
                <w:sz w:val="28"/>
                <w:szCs w:val="28"/>
                <w:rtl/>
              </w:rPr>
            </w:pPr>
            <w:r>
              <w:rPr>
                <w:rFonts w:ascii="David" w:hAnsi="David"/>
                <w:sz w:val="28"/>
                <w:szCs w:val="28"/>
                <w:rtl/>
              </w:rPr>
              <w:t>4. ראש המטה הכללי</w:t>
            </w:r>
          </w:p>
          <w:p w14:paraId="79E06330" w14:textId="77777777" w:rsidR="000D7E31" w:rsidRDefault="000D7E31" w:rsidP="000D7E31">
            <w:pPr>
              <w:suppressLineNumbers/>
              <w:jc w:val="left"/>
              <w:rPr>
                <w:rFonts w:ascii="David" w:hAnsi="David"/>
                <w:sz w:val="28"/>
                <w:szCs w:val="28"/>
                <w:rtl/>
              </w:rPr>
            </w:pPr>
            <w:r>
              <w:rPr>
                <w:rFonts w:ascii="David" w:hAnsi="David"/>
                <w:sz w:val="28"/>
                <w:szCs w:val="28"/>
                <w:rtl/>
              </w:rPr>
              <w:t xml:space="preserve">5. ראש אגף </w:t>
            </w:r>
            <w:proofErr w:type="spellStart"/>
            <w:r>
              <w:rPr>
                <w:rFonts w:ascii="David" w:hAnsi="David"/>
                <w:sz w:val="28"/>
                <w:szCs w:val="28"/>
                <w:rtl/>
              </w:rPr>
              <w:t>כח</w:t>
            </w:r>
            <w:proofErr w:type="spellEnd"/>
            <w:r>
              <w:rPr>
                <w:rFonts w:ascii="David" w:hAnsi="David"/>
                <w:sz w:val="28"/>
                <w:szCs w:val="28"/>
                <w:rtl/>
              </w:rPr>
              <w:t xml:space="preserve"> אדם</w:t>
            </w:r>
          </w:p>
          <w:p w14:paraId="304A166F" w14:textId="77777777" w:rsidR="000D7E31" w:rsidRDefault="000D7E31" w:rsidP="000D7E31">
            <w:pPr>
              <w:suppressLineNumbers/>
              <w:jc w:val="left"/>
              <w:rPr>
                <w:rFonts w:ascii="David" w:hAnsi="David"/>
                <w:sz w:val="28"/>
                <w:szCs w:val="28"/>
                <w:rtl/>
              </w:rPr>
            </w:pPr>
            <w:r>
              <w:rPr>
                <w:rFonts w:ascii="David" w:hAnsi="David"/>
                <w:sz w:val="28"/>
                <w:szCs w:val="28"/>
                <w:rtl/>
              </w:rPr>
              <w:t>6. היועצת המשפטית לממשלה</w:t>
            </w:r>
          </w:p>
          <w:p w14:paraId="254B6CAE" w14:textId="77777777" w:rsidR="000D7E31" w:rsidRDefault="000D7E31" w:rsidP="000D7E31">
            <w:pPr>
              <w:suppressLineNumbers/>
              <w:jc w:val="left"/>
              <w:rPr>
                <w:rFonts w:ascii="David" w:hAnsi="David"/>
                <w:sz w:val="28"/>
                <w:szCs w:val="28"/>
                <w:rtl/>
              </w:rPr>
            </w:pPr>
            <w:r>
              <w:rPr>
                <w:rFonts w:ascii="David" w:hAnsi="David"/>
                <w:sz w:val="28"/>
                <w:szCs w:val="28"/>
                <w:rtl/>
              </w:rPr>
              <w:t>7. איחוד הישיבות באר"י</w:t>
            </w:r>
          </w:p>
          <w:p w14:paraId="59950635" w14:textId="77777777" w:rsidR="0085059C" w:rsidRDefault="0085059C" w:rsidP="000D7E31">
            <w:pPr>
              <w:suppressLineNumbers/>
              <w:jc w:val="left"/>
              <w:rPr>
                <w:rFonts w:ascii="David" w:hAnsi="David"/>
                <w:sz w:val="28"/>
                <w:szCs w:val="28"/>
                <w:rtl/>
              </w:rPr>
            </w:pPr>
          </w:p>
        </w:tc>
      </w:tr>
      <w:tr w:rsidR="0085059C" w14:paraId="6D952DFA" w14:textId="77777777" w:rsidTr="000D7E31">
        <w:trPr>
          <w:gridAfter w:val="1"/>
          <w:wAfter w:w="7" w:type="dxa"/>
        </w:trPr>
        <w:tc>
          <w:tcPr>
            <w:tcW w:w="2797" w:type="dxa"/>
          </w:tcPr>
          <w:p w14:paraId="5F0D09EC" w14:textId="77777777" w:rsidR="0085059C" w:rsidRDefault="0085059C" w:rsidP="0085059C">
            <w:pPr>
              <w:suppressLineNumbers/>
              <w:jc w:val="left"/>
              <w:rPr>
                <w:rFonts w:ascii="David" w:hAnsi="David"/>
                <w:sz w:val="28"/>
                <w:szCs w:val="28"/>
                <w:rtl/>
              </w:rPr>
            </w:pPr>
            <w:r>
              <w:rPr>
                <w:rFonts w:ascii="David" w:hAnsi="David" w:hint="cs"/>
                <w:sz w:val="28"/>
                <w:szCs w:val="28"/>
                <w:rtl/>
              </w:rPr>
              <w:t>המבקשים להצטרף</w:t>
            </w:r>
            <w:r w:rsidR="00411FCE">
              <w:rPr>
                <w:rFonts w:ascii="David" w:hAnsi="David" w:hint="cs"/>
                <w:sz w:val="28"/>
                <w:szCs w:val="28"/>
                <w:rtl/>
              </w:rPr>
              <w:t xml:space="preserve"> להליך</w:t>
            </w:r>
            <w:r>
              <w:rPr>
                <w:rFonts w:ascii="David" w:hAnsi="David" w:hint="cs"/>
                <w:sz w:val="28"/>
                <w:szCs w:val="28"/>
                <w:rtl/>
              </w:rPr>
              <w:t>:</w:t>
            </w:r>
          </w:p>
        </w:tc>
        <w:tc>
          <w:tcPr>
            <w:tcW w:w="5521" w:type="dxa"/>
          </w:tcPr>
          <w:p w14:paraId="12428292" w14:textId="77777777" w:rsidR="00411FCE" w:rsidRPr="003F5E93" w:rsidRDefault="00411FCE" w:rsidP="00411FCE">
            <w:pPr>
              <w:suppressLineNumbers/>
              <w:jc w:val="left"/>
              <w:rPr>
                <w:rFonts w:ascii="David" w:hAnsi="David"/>
                <w:sz w:val="28"/>
                <w:szCs w:val="28"/>
                <w:rtl/>
              </w:rPr>
            </w:pPr>
          </w:p>
          <w:p w14:paraId="1C97DABB"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 אייל צמיר</w:t>
            </w:r>
          </w:p>
          <w:p w14:paraId="08AEFA8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2. יונתן כהן</w:t>
            </w:r>
          </w:p>
          <w:p w14:paraId="3BCE92B1"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3. פלג ארגמן </w:t>
            </w:r>
            <w:proofErr w:type="spellStart"/>
            <w:r w:rsidRPr="003F5E93">
              <w:rPr>
                <w:rFonts w:ascii="David" w:hAnsi="David" w:hint="cs"/>
                <w:sz w:val="28"/>
                <w:szCs w:val="28"/>
                <w:rtl/>
              </w:rPr>
              <w:t>רוזנצוויג</w:t>
            </w:r>
            <w:proofErr w:type="spellEnd"/>
          </w:p>
          <w:p w14:paraId="7EDE753A"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4. אורי שחר</w:t>
            </w:r>
          </w:p>
          <w:p w14:paraId="3744259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5. ירדן כהן אורגד</w:t>
            </w:r>
          </w:p>
          <w:p w14:paraId="4C63AF1B"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6. דניאלה </w:t>
            </w:r>
            <w:proofErr w:type="spellStart"/>
            <w:r w:rsidRPr="003F5E93">
              <w:rPr>
                <w:rFonts w:ascii="David" w:hAnsi="David" w:hint="cs"/>
                <w:sz w:val="28"/>
                <w:szCs w:val="28"/>
                <w:rtl/>
              </w:rPr>
              <w:t>רייב</w:t>
            </w:r>
            <w:proofErr w:type="spellEnd"/>
          </w:p>
          <w:p w14:paraId="27418C0E"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7. אחים ואחיות לנשק – למען הדמוקרטיה</w:t>
            </w:r>
          </w:p>
          <w:p w14:paraId="18A6C87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8. תום </w:t>
            </w:r>
            <w:proofErr w:type="spellStart"/>
            <w:r w:rsidRPr="003F5E93">
              <w:rPr>
                <w:rFonts w:ascii="David" w:hAnsi="David" w:hint="cs"/>
                <w:sz w:val="28"/>
                <w:szCs w:val="28"/>
                <w:rtl/>
              </w:rPr>
              <w:t>פינחסי</w:t>
            </w:r>
            <w:proofErr w:type="spellEnd"/>
          </w:p>
          <w:p w14:paraId="5165F6E4"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9. עמיחי מטר</w:t>
            </w:r>
          </w:p>
          <w:p w14:paraId="4FBD6B5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10. אור </w:t>
            </w:r>
            <w:proofErr w:type="spellStart"/>
            <w:r w:rsidRPr="003F5E93">
              <w:rPr>
                <w:rFonts w:ascii="David" w:hAnsi="David" w:hint="cs"/>
                <w:sz w:val="28"/>
                <w:szCs w:val="28"/>
                <w:rtl/>
              </w:rPr>
              <w:t>פילק</w:t>
            </w:r>
            <w:proofErr w:type="spellEnd"/>
          </w:p>
          <w:p w14:paraId="30CC7CCB"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11. </w:t>
            </w:r>
            <w:proofErr w:type="spellStart"/>
            <w:r w:rsidRPr="003F5E93">
              <w:rPr>
                <w:rFonts w:ascii="David" w:hAnsi="David" w:hint="cs"/>
                <w:sz w:val="28"/>
                <w:szCs w:val="28"/>
                <w:rtl/>
              </w:rPr>
              <w:t>אורין</w:t>
            </w:r>
            <w:proofErr w:type="spellEnd"/>
            <w:r w:rsidRPr="003F5E93">
              <w:rPr>
                <w:rFonts w:ascii="David" w:hAnsi="David" w:hint="cs"/>
                <w:sz w:val="28"/>
                <w:szCs w:val="28"/>
                <w:rtl/>
              </w:rPr>
              <w:t xml:space="preserve"> שוורץ</w:t>
            </w:r>
          </w:p>
          <w:p w14:paraId="2FDC3F74"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12. עוז </w:t>
            </w:r>
            <w:proofErr w:type="spellStart"/>
            <w:r w:rsidRPr="003F5E93">
              <w:rPr>
                <w:rFonts w:ascii="David" w:hAnsi="David" w:hint="cs"/>
                <w:sz w:val="28"/>
                <w:szCs w:val="28"/>
                <w:rtl/>
              </w:rPr>
              <w:t>סימינובסקי</w:t>
            </w:r>
            <w:proofErr w:type="spellEnd"/>
          </w:p>
          <w:p w14:paraId="2F7B1876"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13. עינן ברנע</w:t>
            </w:r>
          </w:p>
          <w:p w14:paraId="2066401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14. צח סקאל</w:t>
            </w:r>
          </w:p>
          <w:p w14:paraId="0DB63277"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15. רועי גוגנהיים</w:t>
            </w:r>
          </w:p>
          <w:p w14:paraId="21BAACDD"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16. עוז בן נון</w:t>
            </w:r>
          </w:p>
          <w:p w14:paraId="11866584"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17. איילת השחר </w:t>
            </w:r>
            <w:proofErr w:type="spellStart"/>
            <w:r w:rsidRPr="003F5E93">
              <w:rPr>
                <w:rFonts w:ascii="David" w:hAnsi="David" w:hint="cs"/>
                <w:sz w:val="28"/>
                <w:szCs w:val="28"/>
                <w:rtl/>
              </w:rPr>
              <w:t>סיידוף</w:t>
            </w:r>
            <w:proofErr w:type="spellEnd"/>
          </w:p>
          <w:p w14:paraId="6BF13A83"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18. אגמית גלב</w:t>
            </w:r>
          </w:p>
          <w:p w14:paraId="205EB152"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19. שלי רוזנטל</w:t>
            </w:r>
          </w:p>
          <w:p w14:paraId="6BC568D5"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20. עמית מעיין </w:t>
            </w:r>
            <w:proofErr w:type="spellStart"/>
            <w:r w:rsidRPr="003F5E93">
              <w:rPr>
                <w:rFonts w:ascii="David" w:hAnsi="David" w:hint="cs"/>
                <w:sz w:val="28"/>
                <w:szCs w:val="28"/>
                <w:rtl/>
              </w:rPr>
              <w:t>וגמן</w:t>
            </w:r>
            <w:proofErr w:type="spellEnd"/>
          </w:p>
          <w:p w14:paraId="0F53AF9D"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21. גלית </w:t>
            </w:r>
            <w:proofErr w:type="spellStart"/>
            <w:r w:rsidRPr="003F5E93">
              <w:rPr>
                <w:rFonts w:ascii="David" w:hAnsi="David" w:hint="cs"/>
                <w:sz w:val="28"/>
                <w:szCs w:val="28"/>
                <w:rtl/>
              </w:rPr>
              <w:t>קוניק</w:t>
            </w:r>
            <w:proofErr w:type="spellEnd"/>
            <w:r w:rsidRPr="003F5E93">
              <w:rPr>
                <w:rFonts w:ascii="David" w:hAnsi="David" w:hint="cs"/>
                <w:sz w:val="28"/>
                <w:szCs w:val="28"/>
                <w:rtl/>
              </w:rPr>
              <w:t xml:space="preserve"> הופמן</w:t>
            </w:r>
          </w:p>
          <w:p w14:paraId="1884D3CF"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22. </w:t>
            </w:r>
            <w:proofErr w:type="spellStart"/>
            <w:r w:rsidRPr="003F5E93">
              <w:rPr>
                <w:rFonts w:ascii="David" w:hAnsi="David" w:hint="cs"/>
                <w:sz w:val="28"/>
                <w:szCs w:val="28"/>
                <w:rtl/>
              </w:rPr>
              <w:t>במבי</w:t>
            </w:r>
            <w:proofErr w:type="spellEnd"/>
            <w:r w:rsidRPr="003F5E93">
              <w:rPr>
                <w:rFonts w:ascii="David" w:hAnsi="David" w:hint="cs"/>
                <w:sz w:val="28"/>
                <w:szCs w:val="28"/>
                <w:rtl/>
              </w:rPr>
              <w:t xml:space="preserve"> נמליך</w:t>
            </w:r>
          </w:p>
          <w:p w14:paraId="3ABE6166"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23. דליה </w:t>
            </w:r>
            <w:proofErr w:type="spellStart"/>
            <w:r w:rsidRPr="003F5E93">
              <w:rPr>
                <w:rFonts w:ascii="David" w:hAnsi="David" w:hint="cs"/>
                <w:sz w:val="28"/>
                <w:szCs w:val="28"/>
                <w:rtl/>
              </w:rPr>
              <w:t>קייזר</w:t>
            </w:r>
            <w:proofErr w:type="spellEnd"/>
            <w:r w:rsidRPr="003F5E93">
              <w:rPr>
                <w:rFonts w:ascii="David" w:hAnsi="David" w:hint="cs"/>
                <w:sz w:val="28"/>
                <w:szCs w:val="28"/>
                <w:rtl/>
              </w:rPr>
              <w:t xml:space="preserve"> שביב</w:t>
            </w:r>
          </w:p>
          <w:p w14:paraId="34AB5E8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24. רעות </w:t>
            </w:r>
            <w:proofErr w:type="spellStart"/>
            <w:r w:rsidRPr="003F5E93">
              <w:rPr>
                <w:rFonts w:ascii="David" w:hAnsi="David" w:hint="cs"/>
                <w:sz w:val="28"/>
                <w:szCs w:val="28"/>
                <w:rtl/>
              </w:rPr>
              <w:t>דיאמנט</w:t>
            </w:r>
            <w:proofErr w:type="spellEnd"/>
          </w:p>
          <w:p w14:paraId="2D56E831"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 xml:space="preserve">25. רות </w:t>
            </w:r>
            <w:proofErr w:type="spellStart"/>
            <w:r w:rsidRPr="003F5E93">
              <w:rPr>
                <w:rFonts w:ascii="David" w:hAnsi="David" w:hint="cs"/>
                <w:sz w:val="28"/>
                <w:szCs w:val="28"/>
                <w:rtl/>
              </w:rPr>
              <w:t>אוסטרוביצקי</w:t>
            </w:r>
            <w:proofErr w:type="spellEnd"/>
            <w:r w:rsidRPr="003F5E93">
              <w:rPr>
                <w:rFonts w:ascii="David" w:hAnsi="David" w:hint="cs"/>
                <w:sz w:val="28"/>
                <w:szCs w:val="28"/>
                <w:rtl/>
              </w:rPr>
              <w:t xml:space="preserve"> </w:t>
            </w:r>
          </w:p>
          <w:p w14:paraId="7A1676A4"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26. דפנה שחר ימס</w:t>
            </w:r>
          </w:p>
          <w:p w14:paraId="4AD25F6C"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27. שדולת הנשים בישראל</w:t>
            </w:r>
          </w:p>
          <w:p w14:paraId="03A3972B"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28. המרכז הרפורמי לדת ומדינה – התנועה ליהדות מתקדמת בישראל</w:t>
            </w:r>
          </w:p>
          <w:p w14:paraId="35EAF36F" w14:textId="77777777" w:rsidR="00411FCE" w:rsidRPr="003F5E93" w:rsidRDefault="00411FCE" w:rsidP="00411FCE">
            <w:pPr>
              <w:suppressLineNumbers/>
              <w:jc w:val="left"/>
              <w:rPr>
                <w:rFonts w:ascii="David" w:hAnsi="David"/>
                <w:sz w:val="28"/>
                <w:szCs w:val="28"/>
                <w:rtl/>
              </w:rPr>
            </w:pPr>
            <w:r w:rsidRPr="003F5E93">
              <w:rPr>
                <w:rFonts w:ascii="David" w:hAnsi="David" w:hint="cs"/>
                <w:sz w:val="28"/>
                <w:szCs w:val="28"/>
                <w:rtl/>
              </w:rPr>
              <w:t>29. נעמת, תנועת נשים עובדות ומתנדבות</w:t>
            </w:r>
          </w:p>
          <w:p w14:paraId="1189C69D" w14:textId="77777777" w:rsidR="00411FCE" w:rsidRPr="00411FCE" w:rsidRDefault="00411FCE" w:rsidP="00411FCE">
            <w:pPr>
              <w:suppressLineNumbers/>
              <w:jc w:val="left"/>
              <w:rPr>
                <w:rFonts w:ascii="David" w:hAnsi="David"/>
                <w:sz w:val="28"/>
                <w:szCs w:val="28"/>
                <w:rtl/>
              </w:rPr>
            </w:pPr>
            <w:r w:rsidRPr="003F5E93">
              <w:rPr>
                <w:rFonts w:ascii="David" w:hAnsi="David" w:hint="cs"/>
                <w:sz w:val="28"/>
                <w:szCs w:val="28"/>
                <w:rtl/>
              </w:rPr>
              <w:t>30. מכון קונקורד לחקר קליטת המשפט הבינלאומי בישראל</w:t>
            </w:r>
          </w:p>
        </w:tc>
      </w:tr>
      <w:tr w:rsidR="000D7E31" w14:paraId="7A7C1CD4" w14:textId="77777777" w:rsidTr="000D7E31">
        <w:trPr>
          <w:gridAfter w:val="1"/>
          <w:wAfter w:w="7" w:type="dxa"/>
        </w:trPr>
        <w:tc>
          <w:tcPr>
            <w:tcW w:w="2797" w:type="dxa"/>
          </w:tcPr>
          <w:p w14:paraId="0F11D1D3" w14:textId="77777777" w:rsidR="000D7E31" w:rsidRDefault="000D7E31" w:rsidP="000D7E31">
            <w:pPr>
              <w:suppressLineNumbers/>
              <w:rPr>
                <w:rFonts w:ascii="David" w:hAnsi="David"/>
                <w:sz w:val="26"/>
                <w:szCs w:val="26"/>
                <w:rtl/>
              </w:rPr>
            </w:pPr>
          </w:p>
        </w:tc>
        <w:tc>
          <w:tcPr>
            <w:tcW w:w="5521" w:type="dxa"/>
            <w:vAlign w:val="center"/>
            <w:hideMark/>
          </w:tcPr>
          <w:p w14:paraId="39AB44D3" w14:textId="77777777" w:rsidR="000D7E31" w:rsidRDefault="001C6EEC" w:rsidP="000D7E31">
            <w:pPr>
              <w:suppressLineNumbers/>
              <w:spacing w:before="240" w:after="240"/>
              <w:jc w:val="left"/>
              <w:rPr>
                <w:rFonts w:ascii="David" w:hAnsi="David"/>
                <w:rtl/>
              </w:rPr>
            </w:pPr>
            <w:r>
              <w:rPr>
                <w:rFonts w:ascii="David" w:hAnsi="David" w:hint="cs"/>
                <w:rtl/>
              </w:rPr>
              <w:t>התנגדות לצו על-תנאי</w:t>
            </w:r>
          </w:p>
        </w:tc>
      </w:tr>
      <w:tr w:rsidR="000D7E31" w14:paraId="0CB83414" w14:textId="77777777" w:rsidTr="000D7E31">
        <w:trPr>
          <w:gridAfter w:val="1"/>
          <w:wAfter w:w="7" w:type="dxa"/>
        </w:trPr>
        <w:tc>
          <w:tcPr>
            <w:tcW w:w="2797" w:type="dxa"/>
          </w:tcPr>
          <w:p w14:paraId="066AEA7A" w14:textId="77777777" w:rsidR="000D7E31" w:rsidRDefault="000D7E31" w:rsidP="001C6EEC">
            <w:pPr>
              <w:suppressLineNumbers/>
              <w:jc w:val="left"/>
              <w:rPr>
                <w:rFonts w:ascii="David" w:hAnsi="David"/>
                <w:sz w:val="28"/>
                <w:szCs w:val="28"/>
                <w:rtl/>
              </w:rPr>
            </w:pPr>
            <w:r>
              <w:rPr>
                <w:rFonts w:ascii="David" w:hAnsi="David"/>
                <w:sz w:val="28"/>
                <w:szCs w:val="28"/>
                <w:rtl/>
              </w:rPr>
              <w:t>בשם ה</w:t>
            </w:r>
            <w:sdt>
              <w:sdtPr>
                <w:rPr>
                  <w:rFonts w:ascii="David" w:hAnsi="David"/>
                  <w:sz w:val="28"/>
                  <w:szCs w:val="28"/>
                  <w:rtl/>
                </w:rPr>
                <w:alias w:val="1180"/>
                <w:tag w:val="1180"/>
                <w:id w:val="-919707332"/>
                <w:text w:multiLine="1"/>
              </w:sdtPr>
              <w:sdtEndPr/>
              <w:sdtContent>
                <w:r>
                  <w:rPr>
                    <w:rFonts w:ascii="David" w:hAnsi="David"/>
                    <w:sz w:val="28"/>
                    <w:szCs w:val="28"/>
                    <w:rtl/>
                  </w:rPr>
                  <w:t>עותרים בבג"ץ 5819/24</w:t>
                </w:r>
              </w:sdtContent>
            </w:sdt>
            <w:r>
              <w:rPr>
                <w:rFonts w:ascii="David" w:hAnsi="David"/>
                <w:sz w:val="28"/>
                <w:szCs w:val="28"/>
                <w:rtl/>
              </w:rPr>
              <w:t>:</w:t>
            </w:r>
          </w:p>
          <w:p w14:paraId="4EB20EBB" w14:textId="77777777" w:rsidR="000D7E31" w:rsidRDefault="000D7E31" w:rsidP="000D7E31">
            <w:pPr>
              <w:suppressLineNumbers/>
              <w:rPr>
                <w:rFonts w:ascii="David" w:hAnsi="David"/>
                <w:sz w:val="28"/>
                <w:szCs w:val="28"/>
                <w:rtl/>
              </w:rPr>
            </w:pPr>
          </w:p>
        </w:tc>
        <w:tc>
          <w:tcPr>
            <w:tcW w:w="5521" w:type="dxa"/>
          </w:tcPr>
          <w:p w14:paraId="1FEBEF8E" w14:textId="77777777" w:rsidR="000D7E31" w:rsidRDefault="000D7E31" w:rsidP="000D7E31">
            <w:pPr>
              <w:suppressLineNumbers/>
              <w:rPr>
                <w:rFonts w:ascii="David" w:hAnsi="David"/>
                <w:sz w:val="28"/>
                <w:szCs w:val="28"/>
                <w:rtl/>
              </w:rPr>
            </w:pPr>
          </w:p>
          <w:p w14:paraId="3951E956" w14:textId="77777777" w:rsidR="000D7E31" w:rsidRDefault="000D7E31" w:rsidP="000D7E31">
            <w:pPr>
              <w:suppressLineNumbers/>
              <w:jc w:val="left"/>
              <w:rPr>
                <w:rFonts w:ascii="David" w:hAnsi="David"/>
                <w:sz w:val="28"/>
                <w:szCs w:val="28"/>
                <w:rtl/>
              </w:rPr>
            </w:pPr>
            <w:r>
              <w:rPr>
                <w:rFonts w:ascii="David" w:hAnsi="David"/>
                <w:sz w:val="28"/>
                <w:szCs w:val="28"/>
                <w:rtl/>
              </w:rPr>
              <w:t>עו"ד אליעד שרגא</w:t>
            </w:r>
            <w:r w:rsidR="00EE5FA0">
              <w:rPr>
                <w:rFonts w:ascii="David" w:hAnsi="David" w:hint="cs"/>
                <w:sz w:val="28"/>
                <w:szCs w:val="28"/>
                <w:rtl/>
              </w:rPr>
              <w:t>; עו"ד סתיו לבנה להב;</w:t>
            </w:r>
          </w:p>
          <w:p w14:paraId="16715E6A" w14:textId="77777777" w:rsidR="00EE5FA0" w:rsidRDefault="00EE5FA0" w:rsidP="000D7E31">
            <w:pPr>
              <w:suppressLineNumbers/>
              <w:jc w:val="left"/>
              <w:rPr>
                <w:rFonts w:ascii="David" w:hAnsi="David"/>
                <w:sz w:val="28"/>
                <w:szCs w:val="28"/>
                <w:rtl/>
              </w:rPr>
            </w:pPr>
            <w:r>
              <w:rPr>
                <w:rFonts w:ascii="David" w:hAnsi="David" w:hint="cs"/>
                <w:sz w:val="28"/>
                <w:szCs w:val="28"/>
                <w:rtl/>
              </w:rPr>
              <w:t>עו"ד רותם בבלי דביר; עו"ד יעל בלוך</w:t>
            </w:r>
            <w:r w:rsidR="003F5E93">
              <w:rPr>
                <w:rFonts w:ascii="David" w:hAnsi="David" w:hint="cs"/>
                <w:sz w:val="28"/>
                <w:szCs w:val="28"/>
                <w:rtl/>
              </w:rPr>
              <w:t>;</w:t>
            </w:r>
          </w:p>
          <w:p w14:paraId="163FB7A4" w14:textId="77777777" w:rsidR="003F5E93" w:rsidRDefault="003F5E93" w:rsidP="000D7E31">
            <w:pPr>
              <w:suppressLineNumbers/>
              <w:jc w:val="left"/>
              <w:rPr>
                <w:rFonts w:ascii="David" w:hAnsi="David"/>
                <w:sz w:val="28"/>
                <w:szCs w:val="28"/>
                <w:rtl/>
              </w:rPr>
            </w:pPr>
            <w:r>
              <w:rPr>
                <w:rFonts w:ascii="David" w:hAnsi="David" w:hint="cs"/>
                <w:sz w:val="28"/>
                <w:szCs w:val="28"/>
                <w:rtl/>
              </w:rPr>
              <w:t>עו"ד תומר נאור</w:t>
            </w:r>
          </w:p>
          <w:p w14:paraId="2574CBB9" w14:textId="77777777" w:rsidR="00EE5FA0" w:rsidRDefault="00EE5FA0" w:rsidP="000D7E31">
            <w:pPr>
              <w:suppressLineNumbers/>
              <w:jc w:val="left"/>
              <w:rPr>
                <w:rFonts w:ascii="David" w:hAnsi="David"/>
                <w:sz w:val="28"/>
                <w:szCs w:val="28"/>
                <w:rtl/>
              </w:rPr>
            </w:pPr>
          </w:p>
        </w:tc>
      </w:tr>
      <w:tr w:rsidR="000D7E31" w14:paraId="0C4C8DA3" w14:textId="77777777" w:rsidTr="000D7E31">
        <w:trPr>
          <w:gridAfter w:val="1"/>
          <w:wAfter w:w="7" w:type="dxa"/>
        </w:trPr>
        <w:tc>
          <w:tcPr>
            <w:tcW w:w="2797" w:type="dxa"/>
          </w:tcPr>
          <w:p w14:paraId="11B29BC4" w14:textId="77777777" w:rsidR="000D7E31" w:rsidRDefault="000D7E31" w:rsidP="000D7E31">
            <w:pPr>
              <w:suppressLineNumbers/>
              <w:jc w:val="left"/>
              <w:rPr>
                <w:rFonts w:ascii="David" w:hAnsi="David"/>
                <w:sz w:val="28"/>
                <w:szCs w:val="28"/>
                <w:rtl/>
              </w:rPr>
            </w:pPr>
            <w:r>
              <w:rPr>
                <w:rFonts w:ascii="David" w:hAnsi="David"/>
                <w:sz w:val="28"/>
                <w:szCs w:val="28"/>
                <w:rtl/>
              </w:rPr>
              <w:t>בשם העותרת בבג"ץ 27156-08-24:</w:t>
            </w:r>
          </w:p>
          <w:p w14:paraId="0C0E6009" w14:textId="77777777" w:rsidR="000D7E31" w:rsidRDefault="000D7E31" w:rsidP="000D7E31">
            <w:pPr>
              <w:suppressLineNumbers/>
              <w:rPr>
                <w:rFonts w:ascii="David" w:hAnsi="David"/>
                <w:sz w:val="28"/>
                <w:szCs w:val="28"/>
                <w:rtl/>
              </w:rPr>
            </w:pPr>
          </w:p>
        </w:tc>
        <w:tc>
          <w:tcPr>
            <w:tcW w:w="5521" w:type="dxa"/>
          </w:tcPr>
          <w:p w14:paraId="1E86E4BB" w14:textId="77777777" w:rsidR="000D7E31" w:rsidRDefault="000D7E31" w:rsidP="000D7E31">
            <w:pPr>
              <w:suppressLineNumbers/>
              <w:rPr>
                <w:rFonts w:ascii="David" w:hAnsi="David"/>
                <w:sz w:val="28"/>
                <w:szCs w:val="28"/>
                <w:rtl/>
              </w:rPr>
            </w:pPr>
          </w:p>
          <w:p w14:paraId="38019AE6" w14:textId="77777777" w:rsidR="000D7E31" w:rsidRDefault="000D7E31" w:rsidP="000D7E31">
            <w:pPr>
              <w:suppressLineNumbers/>
              <w:jc w:val="left"/>
              <w:rPr>
                <w:rFonts w:ascii="David" w:hAnsi="David"/>
                <w:sz w:val="28"/>
                <w:szCs w:val="28"/>
                <w:rtl/>
              </w:rPr>
            </w:pPr>
            <w:r>
              <w:rPr>
                <w:rFonts w:ascii="David" w:hAnsi="David"/>
                <w:sz w:val="28"/>
                <w:szCs w:val="28"/>
                <w:rtl/>
              </w:rPr>
              <w:t>עו"ד איתמר אבנרי</w:t>
            </w:r>
            <w:r w:rsidR="00EE5FA0">
              <w:rPr>
                <w:rFonts w:ascii="David" w:hAnsi="David" w:hint="cs"/>
                <w:sz w:val="28"/>
                <w:szCs w:val="28"/>
                <w:rtl/>
              </w:rPr>
              <w:t>; עו"ד חגי קלעי</w:t>
            </w:r>
            <w:r w:rsidR="007A75AF">
              <w:rPr>
                <w:rFonts w:ascii="David" w:hAnsi="David" w:hint="cs"/>
                <w:sz w:val="28"/>
                <w:szCs w:val="28"/>
                <w:rtl/>
              </w:rPr>
              <w:t>;</w:t>
            </w:r>
          </w:p>
          <w:p w14:paraId="30A02F8A" w14:textId="77777777" w:rsidR="007A75AF" w:rsidRDefault="007A75AF" w:rsidP="000D7E31">
            <w:pPr>
              <w:suppressLineNumbers/>
              <w:jc w:val="left"/>
              <w:rPr>
                <w:rFonts w:ascii="David" w:hAnsi="David"/>
                <w:sz w:val="28"/>
                <w:szCs w:val="28"/>
                <w:rtl/>
              </w:rPr>
            </w:pPr>
            <w:r>
              <w:rPr>
                <w:rFonts w:ascii="David" w:hAnsi="David" w:hint="cs"/>
                <w:sz w:val="28"/>
                <w:szCs w:val="28"/>
                <w:rtl/>
              </w:rPr>
              <w:lastRenderedPageBreak/>
              <w:t xml:space="preserve">עו"ד יעל </w:t>
            </w:r>
            <w:proofErr w:type="spellStart"/>
            <w:r>
              <w:rPr>
                <w:rFonts w:ascii="David" w:hAnsi="David" w:hint="cs"/>
                <w:sz w:val="28"/>
                <w:szCs w:val="28"/>
                <w:rtl/>
              </w:rPr>
              <w:t>ויזל</w:t>
            </w:r>
            <w:proofErr w:type="spellEnd"/>
          </w:p>
        </w:tc>
      </w:tr>
      <w:tr w:rsidR="000D7E31" w14:paraId="27802E12" w14:textId="77777777" w:rsidTr="000D7E31">
        <w:trPr>
          <w:gridAfter w:val="1"/>
          <w:wAfter w:w="7" w:type="dxa"/>
        </w:trPr>
        <w:tc>
          <w:tcPr>
            <w:tcW w:w="2797" w:type="dxa"/>
          </w:tcPr>
          <w:p w14:paraId="6FE26B25" w14:textId="77777777" w:rsidR="000D7E31" w:rsidRDefault="000D7E31" w:rsidP="001C6EEC">
            <w:pPr>
              <w:suppressLineNumbers/>
              <w:jc w:val="left"/>
              <w:rPr>
                <w:rFonts w:ascii="David" w:hAnsi="David"/>
                <w:sz w:val="28"/>
                <w:szCs w:val="28"/>
                <w:rtl/>
              </w:rPr>
            </w:pPr>
            <w:r>
              <w:rPr>
                <w:rFonts w:ascii="David" w:hAnsi="David"/>
                <w:sz w:val="28"/>
                <w:szCs w:val="28"/>
                <w:rtl/>
              </w:rPr>
              <w:lastRenderedPageBreak/>
              <w:t>בשם העותרות בבג"ץ 55368-08-24:</w:t>
            </w:r>
          </w:p>
          <w:p w14:paraId="5C356ED7" w14:textId="77777777" w:rsidR="000D7E31" w:rsidRDefault="000D7E31" w:rsidP="001C6EEC">
            <w:pPr>
              <w:suppressLineNumbers/>
              <w:jc w:val="left"/>
              <w:rPr>
                <w:rFonts w:ascii="David" w:hAnsi="David"/>
                <w:sz w:val="28"/>
                <w:szCs w:val="28"/>
                <w:rtl/>
              </w:rPr>
            </w:pPr>
          </w:p>
        </w:tc>
        <w:tc>
          <w:tcPr>
            <w:tcW w:w="5521" w:type="dxa"/>
          </w:tcPr>
          <w:p w14:paraId="08EA0673" w14:textId="77777777" w:rsidR="000D7E31" w:rsidRDefault="000D7E31" w:rsidP="001C6EEC">
            <w:pPr>
              <w:suppressLineNumbers/>
              <w:jc w:val="left"/>
              <w:rPr>
                <w:rFonts w:ascii="David" w:hAnsi="David"/>
                <w:sz w:val="28"/>
                <w:szCs w:val="28"/>
                <w:rtl/>
              </w:rPr>
            </w:pPr>
          </w:p>
          <w:p w14:paraId="1506232D" w14:textId="77777777" w:rsidR="000D7E31" w:rsidRDefault="000D7E31" w:rsidP="001C6EEC">
            <w:pPr>
              <w:suppressLineNumbers/>
              <w:jc w:val="left"/>
              <w:rPr>
                <w:rFonts w:ascii="David" w:hAnsi="David"/>
                <w:sz w:val="28"/>
                <w:szCs w:val="28"/>
                <w:rtl/>
              </w:rPr>
            </w:pPr>
            <w:r>
              <w:rPr>
                <w:rFonts w:ascii="David" w:hAnsi="David"/>
                <w:sz w:val="28"/>
                <w:szCs w:val="28"/>
                <w:rtl/>
              </w:rPr>
              <w:t>עו"ד גלעד ברנע</w:t>
            </w:r>
          </w:p>
        </w:tc>
      </w:tr>
      <w:tr w:rsidR="000D7E31" w14:paraId="336F3523" w14:textId="77777777" w:rsidTr="000D7E31">
        <w:trPr>
          <w:gridAfter w:val="1"/>
          <w:wAfter w:w="7" w:type="dxa"/>
        </w:trPr>
        <w:tc>
          <w:tcPr>
            <w:tcW w:w="2797" w:type="dxa"/>
            <w:hideMark/>
          </w:tcPr>
          <w:p w14:paraId="7B742F45" w14:textId="77777777" w:rsidR="000D7E31" w:rsidRDefault="000D7E31" w:rsidP="001C6EEC">
            <w:pPr>
              <w:suppressLineNumbers/>
              <w:jc w:val="left"/>
              <w:rPr>
                <w:rFonts w:ascii="David" w:hAnsi="David"/>
                <w:sz w:val="28"/>
                <w:szCs w:val="28"/>
                <w:rtl/>
              </w:rPr>
            </w:pPr>
            <w:r>
              <w:rPr>
                <w:rFonts w:ascii="David" w:hAnsi="David"/>
                <w:sz w:val="28"/>
                <w:szCs w:val="28"/>
                <w:rtl/>
              </w:rPr>
              <w:t>בשם ה</w:t>
            </w:r>
            <w:sdt>
              <w:sdtPr>
                <w:rPr>
                  <w:rFonts w:ascii="David" w:hAnsi="David"/>
                  <w:sz w:val="28"/>
                  <w:szCs w:val="28"/>
                  <w:rtl/>
                </w:rPr>
                <w:alias w:val="1184"/>
                <w:tag w:val="1184"/>
                <w:id w:val="277771258"/>
                <w:text w:multiLine="1"/>
              </w:sdtPr>
              <w:sdtEndPr/>
              <w:sdtContent>
                <w:r>
                  <w:rPr>
                    <w:rFonts w:ascii="David" w:hAnsi="David"/>
                    <w:sz w:val="28"/>
                    <w:szCs w:val="28"/>
                    <w:rtl/>
                  </w:rPr>
                  <w:t>משיבים 8-1 בבג"ץ 5819/24, המשיבים 7-1 בבג"ץ 27156-08-24, והמשיבים 6-1 בבג"ץ 55368-08-24:</w:t>
                </w:r>
                <w:r>
                  <w:rPr>
                    <w:rFonts w:ascii="David" w:hAnsi="David"/>
                    <w:sz w:val="28"/>
                    <w:szCs w:val="28"/>
                    <w:rtl/>
                  </w:rPr>
                  <w:br/>
                </w:r>
              </w:sdtContent>
            </w:sdt>
          </w:p>
        </w:tc>
        <w:tc>
          <w:tcPr>
            <w:tcW w:w="5521" w:type="dxa"/>
          </w:tcPr>
          <w:p w14:paraId="334655E4" w14:textId="77777777" w:rsidR="000D7E31" w:rsidRDefault="000D7E31" w:rsidP="001C6EEC">
            <w:pPr>
              <w:suppressLineNumbers/>
              <w:jc w:val="left"/>
              <w:rPr>
                <w:rFonts w:ascii="David" w:hAnsi="David"/>
                <w:sz w:val="28"/>
                <w:szCs w:val="28"/>
                <w:rtl/>
              </w:rPr>
            </w:pPr>
          </w:p>
          <w:p w14:paraId="2C59CDFE" w14:textId="77777777" w:rsidR="000D7E31" w:rsidRDefault="000D7E31" w:rsidP="001C6EEC">
            <w:pPr>
              <w:suppressLineNumbers/>
              <w:jc w:val="left"/>
              <w:rPr>
                <w:rFonts w:ascii="David" w:hAnsi="David"/>
                <w:sz w:val="28"/>
                <w:szCs w:val="28"/>
                <w:rtl/>
              </w:rPr>
            </w:pPr>
          </w:p>
          <w:p w14:paraId="0C404BAA" w14:textId="77777777" w:rsidR="000D7E31" w:rsidRDefault="000D7E31" w:rsidP="001C6EEC">
            <w:pPr>
              <w:suppressLineNumbers/>
              <w:jc w:val="left"/>
              <w:rPr>
                <w:rFonts w:ascii="David" w:hAnsi="David"/>
                <w:sz w:val="28"/>
                <w:szCs w:val="28"/>
                <w:rtl/>
              </w:rPr>
            </w:pPr>
          </w:p>
          <w:p w14:paraId="19A369B0" w14:textId="77777777" w:rsidR="000D7E31" w:rsidRDefault="000D7E31" w:rsidP="001C6EEC">
            <w:pPr>
              <w:suppressLineNumbers/>
              <w:jc w:val="left"/>
              <w:rPr>
                <w:rFonts w:ascii="David" w:hAnsi="David"/>
                <w:sz w:val="28"/>
                <w:szCs w:val="28"/>
                <w:rtl/>
              </w:rPr>
            </w:pPr>
          </w:p>
          <w:p w14:paraId="2D1A4FDE" w14:textId="77777777" w:rsidR="000D7E31" w:rsidRDefault="000D7E31" w:rsidP="001C6EEC">
            <w:pPr>
              <w:suppressLineNumbers/>
              <w:jc w:val="left"/>
              <w:rPr>
                <w:rFonts w:ascii="David" w:hAnsi="David"/>
                <w:sz w:val="28"/>
                <w:szCs w:val="28"/>
                <w:rtl/>
              </w:rPr>
            </w:pPr>
            <w:r>
              <w:rPr>
                <w:rFonts w:ascii="David" w:hAnsi="David"/>
                <w:sz w:val="28"/>
                <w:szCs w:val="28"/>
                <w:rtl/>
              </w:rPr>
              <w:t>עו"ד נטע אורן; עו"ד שי כהן;</w:t>
            </w:r>
          </w:p>
          <w:p w14:paraId="6576C3B3" w14:textId="77777777" w:rsidR="00EE5FA0" w:rsidRDefault="000D7E31" w:rsidP="00EE5FA0">
            <w:pPr>
              <w:suppressLineNumbers/>
              <w:jc w:val="left"/>
              <w:rPr>
                <w:rFonts w:ascii="David" w:hAnsi="David"/>
                <w:sz w:val="28"/>
                <w:szCs w:val="28"/>
                <w:rtl/>
              </w:rPr>
            </w:pPr>
            <w:r>
              <w:rPr>
                <w:rFonts w:ascii="David" w:hAnsi="David"/>
                <w:sz w:val="28"/>
                <w:szCs w:val="28"/>
                <w:rtl/>
              </w:rPr>
              <w:t>עו"ד הדס ערן</w:t>
            </w:r>
          </w:p>
          <w:p w14:paraId="183E91E1" w14:textId="77777777" w:rsidR="00EE5FA0" w:rsidRDefault="00EE5FA0" w:rsidP="00EE5FA0">
            <w:pPr>
              <w:suppressLineNumbers/>
              <w:jc w:val="left"/>
              <w:rPr>
                <w:rFonts w:ascii="David" w:hAnsi="David"/>
                <w:sz w:val="28"/>
                <w:szCs w:val="28"/>
                <w:rtl/>
              </w:rPr>
            </w:pPr>
          </w:p>
        </w:tc>
      </w:tr>
      <w:tr w:rsidR="000D7E31" w14:paraId="72A8DF3C" w14:textId="77777777" w:rsidTr="000D7E31">
        <w:trPr>
          <w:gridAfter w:val="1"/>
          <w:wAfter w:w="7" w:type="dxa"/>
        </w:trPr>
        <w:tc>
          <w:tcPr>
            <w:tcW w:w="2797" w:type="dxa"/>
            <w:hideMark/>
          </w:tcPr>
          <w:p w14:paraId="4C5655BB" w14:textId="77777777" w:rsidR="000D7E31" w:rsidRDefault="000D7E31" w:rsidP="001C6EEC">
            <w:pPr>
              <w:suppressLineNumbers/>
              <w:jc w:val="left"/>
              <w:rPr>
                <w:rFonts w:ascii="David" w:hAnsi="David"/>
                <w:sz w:val="28"/>
                <w:szCs w:val="28"/>
                <w:rtl/>
              </w:rPr>
            </w:pPr>
            <w:r>
              <w:rPr>
                <w:rFonts w:ascii="David" w:hAnsi="David"/>
                <w:sz w:val="28"/>
                <w:szCs w:val="28"/>
                <w:rtl/>
              </w:rPr>
              <w:t>בשם ה</w:t>
            </w:r>
            <w:sdt>
              <w:sdtPr>
                <w:rPr>
                  <w:rFonts w:ascii="David" w:hAnsi="David"/>
                  <w:sz w:val="28"/>
                  <w:szCs w:val="28"/>
                  <w:rtl/>
                </w:rPr>
                <w:alias w:val="1184"/>
                <w:tag w:val="1184"/>
                <w:id w:val="690575242"/>
                <w:text w:multiLine="1"/>
              </w:sdtPr>
              <w:sdtEndPr/>
              <w:sdtContent>
                <w:r>
                  <w:rPr>
                    <w:rFonts w:ascii="David" w:hAnsi="David"/>
                    <w:sz w:val="28"/>
                    <w:szCs w:val="28"/>
                    <w:rtl/>
                  </w:rPr>
                  <w:t>משיב</w:t>
                </w:r>
              </w:sdtContent>
            </w:sdt>
            <w:r>
              <w:rPr>
                <w:rFonts w:ascii="David" w:hAnsi="David"/>
                <w:sz w:val="28"/>
                <w:szCs w:val="28"/>
                <w:rtl/>
              </w:rPr>
              <w:t xml:space="preserve"> 9 בבג"ץ 5819/24, המשיב 8 בבג"ץ 27156-08-24, והמשיב 7 בבג"ץ 55368-08-24:</w:t>
            </w:r>
          </w:p>
        </w:tc>
        <w:tc>
          <w:tcPr>
            <w:tcW w:w="5521" w:type="dxa"/>
          </w:tcPr>
          <w:p w14:paraId="2723D4DB" w14:textId="77777777" w:rsidR="000D7E31" w:rsidRDefault="000D7E31" w:rsidP="001C6EEC">
            <w:pPr>
              <w:suppressLineNumbers/>
              <w:jc w:val="left"/>
              <w:rPr>
                <w:rFonts w:ascii="David" w:hAnsi="David"/>
                <w:sz w:val="28"/>
                <w:szCs w:val="28"/>
                <w:rtl/>
              </w:rPr>
            </w:pPr>
          </w:p>
          <w:p w14:paraId="24A99AF2" w14:textId="77777777" w:rsidR="000D7E31" w:rsidRDefault="000D7E31" w:rsidP="001C6EEC">
            <w:pPr>
              <w:suppressLineNumbers/>
              <w:jc w:val="left"/>
              <w:rPr>
                <w:rFonts w:ascii="David" w:hAnsi="David"/>
                <w:sz w:val="28"/>
                <w:szCs w:val="28"/>
                <w:rtl/>
              </w:rPr>
            </w:pPr>
          </w:p>
          <w:p w14:paraId="19A9F109" w14:textId="77777777" w:rsidR="00EE5FA0" w:rsidRDefault="00EE5FA0" w:rsidP="001C6EEC">
            <w:pPr>
              <w:suppressLineNumbers/>
              <w:jc w:val="left"/>
              <w:rPr>
                <w:rFonts w:ascii="David" w:hAnsi="David"/>
                <w:sz w:val="28"/>
                <w:szCs w:val="28"/>
                <w:rtl/>
              </w:rPr>
            </w:pPr>
          </w:p>
          <w:p w14:paraId="2790A5CF" w14:textId="77777777" w:rsidR="00EE5FA0" w:rsidRDefault="000D7E31" w:rsidP="00EE5FA0">
            <w:pPr>
              <w:suppressLineNumbers/>
              <w:jc w:val="left"/>
              <w:rPr>
                <w:rFonts w:ascii="David" w:hAnsi="David"/>
                <w:sz w:val="28"/>
                <w:szCs w:val="28"/>
                <w:rtl/>
              </w:rPr>
            </w:pPr>
            <w:r>
              <w:rPr>
                <w:rFonts w:ascii="David" w:hAnsi="David"/>
                <w:sz w:val="28"/>
                <w:szCs w:val="28"/>
                <w:rtl/>
              </w:rPr>
              <w:t>עו"ד שמואל הורביץ</w:t>
            </w:r>
          </w:p>
          <w:p w14:paraId="7335D13C" w14:textId="77777777" w:rsidR="00EE5FA0" w:rsidRDefault="00EE5FA0" w:rsidP="00EE5FA0">
            <w:pPr>
              <w:suppressLineNumbers/>
              <w:jc w:val="left"/>
              <w:rPr>
                <w:rFonts w:ascii="David" w:hAnsi="David"/>
                <w:sz w:val="28"/>
                <w:szCs w:val="28"/>
                <w:rtl/>
              </w:rPr>
            </w:pPr>
          </w:p>
        </w:tc>
      </w:tr>
      <w:tr w:rsidR="00411FCE" w14:paraId="44731024" w14:textId="77777777" w:rsidTr="000D7E31">
        <w:trPr>
          <w:gridAfter w:val="1"/>
          <w:wAfter w:w="7" w:type="dxa"/>
        </w:trPr>
        <w:tc>
          <w:tcPr>
            <w:tcW w:w="2797" w:type="dxa"/>
          </w:tcPr>
          <w:p w14:paraId="5388E520" w14:textId="77777777" w:rsidR="00AE3074" w:rsidRDefault="00AE3074" w:rsidP="00411FCE">
            <w:pPr>
              <w:suppressLineNumbers/>
              <w:jc w:val="left"/>
              <w:rPr>
                <w:rFonts w:ascii="David" w:hAnsi="David"/>
                <w:sz w:val="28"/>
                <w:szCs w:val="28"/>
                <w:rtl/>
              </w:rPr>
            </w:pPr>
            <w:r>
              <w:rPr>
                <w:rFonts w:ascii="David" w:hAnsi="David" w:hint="cs"/>
                <w:sz w:val="28"/>
                <w:szCs w:val="28"/>
                <w:rtl/>
              </w:rPr>
              <w:t>בשם המבקשים להצטרף 6-1:</w:t>
            </w:r>
          </w:p>
          <w:p w14:paraId="45CADEDB" w14:textId="77777777" w:rsidR="00AE3074" w:rsidRDefault="00AE3074" w:rsidP="00411FCE">
            <w:pPr>
              <w:suppressLineNumbers/>
              <w:jc w:val="left"/>
              <w:rPr>
                <w:rFonts w:ascii="David" w:hAnsi="David"/>
                <w:sz w:val="28"/>
                <w:szCs w:val="28"/>
                <w:rtl/>
              </w:rPr>
            </w:pPr>
          </w:p>
          <w:p w14:paraId="12D4566C" w14:textId="77777777" w:rsidR="002F2D22" w:rsidRDefault="002F2D22" w:rsidP="00411FCE">
            <w:pPr>
              <w:suppressLineNumbers/>
              <w:jc w:val="left"/>
              <w:rPr>
                <w:rFonts w:ascii="David" w:hAnsi="David"/>
                <w:sz w:val="28"/>
                <w:szCs w:val="28"/>
                <w:rtl/>
              </w:rPr>
            </w:pPr>
          </w:p>
          <w:p w14:paraId="77041F0F" w14:textId="77777777" w:rsidR="00411FCE" w:rsidRPr="00411FCE" w:rsidRDefault="00411FCE" w:rsidP="00411FCE">
            <w:pPr>
              <w:suppressLineNumbers/>
              <w:jc w:val="left"/>
              <w:rPr>
                <w:rFonts w:ascii="David" w:hAnsi="David"/>
                <w:noProof/>
                <w:sz w:val="28"/>
                <w:szCs w:val="28"/>
              </w:rPr>
            </w:pPr>
            <w:r w:rsidRPr="00411FCE">
              <w:rPr>
                <w:rFonts w:ascii="David" w:hAnsi="David" w:hint="cs"/>
                <w:sz w:val="28"/>
                <w:szCs w:val="28"/>
                <w:rtl/>
              </w:rPr>
              <w:t xml:space="preserve">בשם המבקשים להצטרף 16-7: </w:t>
            </w:r>
            <w:r w:rsidRPr="00411FCE">
              <w:rPr>
                <w:rFonts w:ascii="David" w:hAnsi="David" w:hint="cs"/>
                <w:sz w:val="28"/>
                <w:szCs w:val="28"/>
                <w:rtl/>
              </w:rPr>
              <w:tab/>
            </w:r>
          </w:p>
          <w:p w14:paraId="74287AA2" w14:textId="77777777" w:rsidR="00411FCE" w:rsidRPr="00411FCE" w:rsidRDefault="00411FCE" w:rsidP="00411FCE">
            <w:pPr>
              <w:suppressLineNumbers/>
              <w:jc w:val="left"/>
              <w:rPr>
                <w:rFonts w:ascii="David" w:hAnsi="David"/>
                <w:sz w:val="28"/>
                <w:szCs w:val="28"/>
                <w:rtl/>
              </w:rPr>
            </w:pPr>
          </w:p>
          <w:p w14:paraId="4FF5802D" w14:textId="77777777" w:rsidR="00411FCE" w:rsidRPr="00411FCE" w:rsidRDefault="00411FCE" w:rsidP="00411FCE">
            <w:pPr>
              <w:suppressLineNumbers/>
              <w:jc w:val="left"/>
              <w:rPr>
                <w:rFonts w:ascii="David" w:hAnsi="David"/>
                <w:sz w:val="28"/>
                <w:szCs w:val="28"/>
                <w:rtl/>
              </w:rPr>
            </w:pPr>
            <w:r w:rsidRPr="00411FCE">
              <w:rPr>
                <w:rFonts w:ascii="David" w:hAnsi="David" w:hint="cs"/>
                <w:sz w:val="28"/>
                <w:szCs w:val="28"/>
                <w:rtl/>
              </w:rPr>
              <w:t>בשם המבקשות להצטרף 26-17:</w:t>
            </w:r>
          </w:p>
          <w:p w14:paraId="18432AC6" w14:textId="77777777" w:rsidR="00411FCE" w:rsidRPr="00411FCE" w:rsidRDefault="00411FCE" w:rsidP="00411FCE">
            <w:pPr>
              <w:suppressLineNumbers/>
              <w:jc w:val="left"/>
              <w:rPr>
                <w:rFonts w:ascii="David" w:hAnsi="David"/>
                <w:sz w:val="28"/>
                <w:szCs w:val="28"/>
                <w:rtl/>
              </w:rPr>
            </w:pPr>
          </w:p>
          <w:p w14:paraId="63CC9B09" w14:textId="77777777" w:rsidR="00411FCE" w:rsidRPr="00411FCE" w:rsidRDefault="00411FCE" w:rsidP="00411FCE">
            <w:pPr>
              <w:suppressLineNumbers/>
              <w:jc w:val="left"/>
              <w:rPr>
                <w:rFonts w:ascii="David" w:hAnsi="David"/>
                <w:sz w:val="28"/>
                <w:szCs w:val="28"/>
                <w:rtl/>
              </w:rPr>
            </w:pPr>
            <w:r w:rsidRPr="00411FCE">
              <w:rPr>
                <w:rFonts w:ascii="David" w:hAnsi="David" w:hint="cs"/>
                <w:sz w:val="28"/>
                <w:szCs w:val="28"/>
                <w:rtl/>
              </w:rPr>
              <w:t>בשם המבקשת להצטרף 27:</w:t>
            </w:r>
          </w:p>
          <w:p w14:paraId="3B648F72" w14:textId="77777777" w:rsidR="00411FCE" w:rsidRPr="00411FCE" w:rsidRDefault="00411FCE" w:rsidP="00411FCE">
            <w:pPr>
              <w:suppressLineNumbers/>
              <w:jc w:val="left"/>
              <w:rPr>
                <w:rFonts w:ascii="David" w:hAnsi="David"/>
                <w:sz w:val="28"/>
                <w:szCs w:val="28"/>
                <w:rtl/>
              </w:rPr>
            </w:pPr>
          </w:p>
          <w:p w14:paraId="1BDFE6D4" w14:textId="77777777" w:rsidR="00411FCE" w:rsidRPr="00411FCE" w:rsidRDefault="00411FCE" w:rsidP="00411FCE">
            <w:pPr>
              <w:suppressLineNumbers/>
              <w:jc w:val="left"/>
              <w:rPr>
                <w:rFonts w:ascii="David" w:hAnsi="David"/>
                <w:sz w:val="28"/>
                <w:szCs w:val="28"/>
                <w:rtl/>
              </w:rPr>
            </w:pPr>
            <w:r w:rsidRPr="00411FCE">
              <w:rPr>
                <w:rFonts w:ascii="David" w:hAnsi="David" w:hint="cs"/>
                <w:sz w:val="28"/>
                <w:szCs w:val="28"/>
                <w:rtl/>
              </w:rPr>
              <w:t xml:space="preserve">בשם המבקש להצטרף 28: </w:t>
            </w:r>
          </w:p>
          <w:p w14:paraId="77A70165" w14:textId="77777777" w:rsidR="00411FCE" w:rsidRPr="00411FCE" w:rsidRDefault="00411FCE" w:rsidP="00411FCE">
            <w:pPr>
              <w:suppressLineNumbers/>
              <w:jc w:val="left"/>
              <w:rPr>
                <w:rFonts w:ascii="David" w:hAnsi="David"/>
                <w:sz w:val="28"/>
                <w:szCs w:val="28"/>
                <w:rtl/>
              </w:rPr>
            </w:pPr>
          </w:p>
          <w:p w14:paraId="5CED6A3D" w14:textId="77777777" w:rsidR="00411FCE" w:rsidRDefault="00411FCE" w:rsidP="00411FCE">
            <w:pPr>
              <w:suppressLineNumbers/>
              <w:jc w:val="left"/>
              <w:rPr>
                <w:rFonts w:ascii="David" w:hAnsi="David"/>
                <w:sz w:val="28"/>
                <w:szCs w:val="28"/>
                <w:rtl/>
              </w:rPr>
            </w:pPr>
            <w:r w:rsidRPr="00411FCE">
              <w:rPr>
                <w:rFonts w:ascii="David" w:hAnsi="David" w:hint="cs"/>
                <w:sz w:val="28"/>
                <w:szCs w:val="28"/>
                <w:rtl/>
              </w:rPr>
              <w:t>בשם המבקשת להצטרף 29:</w:t>
            </w:r>
          </w:p>
          <w:p w14:paraId="1B118B64" w14:textId="77777777" w:rsidR="005F4892" w:rsidRDefault="005F4892" w:rsidP="00411FCE">
            <w:pPr>
              <w:suppressLineNumbers/>
              <w:jc w:val="left"/>
              <w:rPr>
                <w:rFonts w:ascii="David" w:hAnsi="David"/>
                <w:sz w:val="28"/>
                <w:szCs w:val="28"/>
                <w:rtl/>
              </w:rPr>
            </w:pPr>
          </w:p>
          <w:p w14:paraId="0B1D3E05" w14:textId="77777777" w:rsidR="005F4892" w:rsidRPr="00411FCE" w:rsidRDefault="005F4892" w:rsidP="00411FCE">
            <w:pPr>
              <w:suppressLineNumbers/>
              <w:jc w:val="left"/>
              <w:rPr>
                <w:rFonts w:ascii="David" w:hAnsi="David"/>
                <w:sz w:val="28"/>
                <w:szCs w:val="28"/>
                <w:rtl/>
              </w:rPr>
            </w:pPr>
            <w:r>
              <w:rPr>
                <w:rFonts w:ascii="David" w:hAnsi="David" w:hint="cs"/>
                <w:sz w:val="28"/>
                <w:szCs w:val="28"/>
                <w:rtl/>
              </w:rPr>
              <w:t>בשם המבקשת להצטרף 30:</w:t>
            </w:r>
          </w:p>
          <w:p w14:paraId="7BE0EC40" w14:textId="77777777" w:rsidR="00411FCE" w:rsidRDefault="00411FCE" w:rsidP="00411FCE">
            <w:pPr>
              <w:suppressLineNumbers/>
              <w:jc w:val="left"/>
              <w:rPr>
                <w:rFonts w:ascii="David" w:hAnsi="David"/>
                <w:sz w:val="28"/>
                <w:szCs w:val="28"/>
                <w:rtl/>
              </w:rPr>
            </w:pPr>
          </w:p>
        </w:tc>
        <w:tc>
          <w:tcPr>
            <w:tcW w:w="5521" w:type="dxa"/>
          </w:tcPr>
          <w:p w14:paraId="7ED45A6B" w14:textId="77777777" w:rsidR="00411FCE" w:rsidRDefault="00411FCE" w:rsidP="00411FCE">
            <w:pPr>
              <w:jc w:val="left"/>
              <w:rPr>
                <w:rFonts w:ascii="David" w:hAnsi="David"/>
                <w:noProof/>
                <w:sz w:val="28"/>
                <w:szCs w:val="28"/>
                <w:rtl/>
              </w:rPr>
            </w:pPr>
          </w:p>
          <w:p w14:paraId="339DAEC9" w14:textId="77777777" w:rsidR="00AE3074" w:rsidRDefault="002F2D22" w:rsidP="00411FCE">
            <w:pPr>
              <w:jc w:val="left"/>
              <w:rPr>
                <w:rFonts w:ascii="David" w:hAnsi="David"/>
                <w:noProof/>
                <w:sz w:val="28"/>
                <w:szCs w:val="28"/>
                <w:rtl/>
              </w:rPr>
            </w:pPr>
            <w:r>
              <w:rPr>
                <w:rFonts w:ascii="David" w:hAnsi="David" w:hint="cs"/>
                <w:noProof/>
                <w:sz w:val="28"/>
                <w:szCs w:val="28"/>
                <w:rtl/>
              </w:rPr>
              <w:t>עו"ד יונתן קהת; עו"ד חנן סידור;</w:t>
            </w:r>
          </w:p>
          <w:p w14:paraId="43472EDC" w14:textId="77777777" w:rsidR="002F2D22" w:rsidRDefault="002F2D22" w:rsidP="00411FCE">
            <w:pPr>
              <w:jc w:val="left"/>
              <w:rPr>
                <w:rFonts w:ascii="David" w:hAnsi="David"/>
                <w:noProof/>
                <w:sz w:val="28"/>
                <w:szCs w:val="28"/>
                <w:rtl/>
              </w:rPr>
            </w:pPr>
            <w:r>
              <w:rPr>
                <w:rFonts w:ascii="David" w:hAnsi="David" w:hint="cs"/>
                <w:noProof/>
                <w:sz w:val="28"/>
                <w:szCs w:val="28"/>
                <w:rtl/>
              </w:rPr>
              <w:t>עו"ד דרור פיזנטי</w:t>
            </w:r>
          </w:p>
          <w:p w14:paraId="1CDD7F99" w14:textId="77777777" w:rsidR="00AE3074" w:rsidRDefault="00AE3074" w:rsidP="00411FCE">
            <w:pPr>
              <w:jc w:val="left"/>
              <w:rPr>
                <w:rFonts w:ascii="David" w:hAnsi="David"/>
                <w:noProof/>
                <w:sz w:val="28"/>
                <w:szCs w:val="28"/>
                <w:rtl/>
              </w:rPr>
            </w:pPr>
          </w:p>
          <w:p w14:paraId="7874C39B" w14:textId="77777777" w:rsidR="00AE3074" w:rsidRPr="00411FCE" w:rsidRDefault="00AE3074" w:rsidP="00411FCE">
            <w:pPr>
              <w:jc w:val="left"/>
              <w:rPr>
                <w:rFonts w:ascii="David" w:hAnsi="David"/>
                <w:noProof/>
                <w:sz w:val="28"/>
                <w:szCs w:val="28"/>
              </w:rPr>
            </w:pPr>
          </w:p>
          <w:p w14:paraId="328105E6" w14:textId="77777777" w:rsidR="00411FCE" w:rsidRPr="00411FCE" w:rsidRDefault="00411FCE" w:rsidP="00411FCE">
            <w:pPr>
              <w:jc w:val="left"/>
              <w:rPr>
                <w:rFonts w:ascii="David" w:hAnsi="David"/>
                <w:sz w:val="28"/>
                <w:szCs w:val="28"/>
                <w:rtl/>
              </w:rPr>
            </w:pPr>
            <w:r w:rsidRPr="00411FCE">
              <w:rPr>
                <w:rFonts w:ascii="David" w:hAnsi="David" w:hint="cs"/>
                <w:sz w:val="28"/>
                <w:szCs w:val="28"/>
                <w:rtl/>
              </w:rPr>
              <w:t>עו"ד טומי מנור; עו"ד טל גנדלמן</w:t>
            </w:r>
          </w:p>
          <w:p w14:paraId="1ACC144F" w14:textId="77777777" w:rsidR="00411FCE" w:rsidRPr="00411FCE" w:rsidRDefault="00411FCE" w:rsidP="00411FCE">
            <w:pPr>
              <w:jc w:val="center"/>
              <w:rPr>
                <w:rFonts w:ascii="David" w:hAnsi="David"/>
                <w:sz w:val="28"/>
                <w:szCs w:val="28"/>
                <w:rtl/>
              </w:rPr>
            </w:pPr>
          </w:p>
          <w:p w14:paraId="2233E6AE" w14:textId="77777777" w:rsidR="00411FCE" w:rsidRDefault="00411FCE" w:rsidP="00411FCE">
            <w:pPr>
              <w:jc w:val="left"/>
              <w:rPr>
                <w:rFonts w:ascii="David" w:hAnsi="David"/>
                <w:sz w:val="28"/>
                <w:szCs w:val="28"/>
                <w:rtl/>
              </w:rPr>
            </w:pPr>
          </w:p>
          <w:p w14:paraId="3C255BBB" w14:textId="77777777" w:rsidR="00411FCE" w:rsidRPr="00411FCE" w:rsidRDefault="00411FCE" w:rsidP="00411FCE">
            <w:pPr>
              <w:jc w:val="left"/>
              <w:rPr>
                <w:rFonts w:ascii="David" w:hAnsi="David"/>
                <w:sz w:val="28"/>
                <w:szCs w:val="28"/>
                <w:rtl/>
              </w:rPr>
            </w:pPr>
            <w:r w:rsidRPr="00411FCE">
              <w:rPr>
                <w:rFonts w:ascii="David" w:hAnsi="David" w:hint="cs"/>
                <w:sz w:val="28"/>
                <w:szCs w:val="28"/>
                <w:rtl/>
              </w:rPr>
              <w:t xml:space="preserve">עו"ד דפנה הולץ לכנר; עו"ד קמילה אביגיל </w:t>
            </w:r>
            <w:proofErr w:type="spellStart"/>
            <w:r w:rsidRPr="00411FCE">
              <w:rPr>
                <w:rFonts w:ascii="David" w:hAnsi="David" w:hint="cs"/>
                <w:sz w:val="28"/>
                <w:szCs w:val="28"/>
                <w:rtl/>
              </w:rPr>
              <w:t>מיכמן</w:t>
            </w:r>
            <w:proofErr w:type="spellEnd"/>
          </w:p>
          <w:p w14:paraId="003CE975" w14:textId="77777777" w:rsidR="00411FCE" w:rsidRPr="00411FCE" w:rsidRDefault="00411FCE" w:rsidP="00411FCE">
            <w:pPr>
              <w:rPr>
                <w:rFonts w:ascii="David" w:hAnsi="David"/>
                <w:sz w:val="28"/>
                <w:szCs w:val="28"/>
                <w:rtl/>
              </w:rPr>
            </w:pPr>
          </w:p>
          <w:p w14:paraId="3BD4DCC9" w14:textId="77777777" w:rsidR="00411FCE" w:rsidRDefault="00411FCE" w:rsidP="00411FCE">
            <w:pPr>
              <w:jc w:val="left"/>
              <w:rPr>
                <w:rFonts w:ascii="David" w:hAnsi="David"/>
                <w:sz w:val="28"/>
                <w:szCs w:val="28"/>
                <w:rtl/>
              </w:rPr>
            </w:pPr>
          </w:p>
          <w:p w14:paraId="7026D619" w14:textId="77777777" w:rsidR="00411FCE" w:rsidRPr="00411FCE" w:rsidRDefault="00411FCE" w:rsidP="00411FCE">
            <w:pPr>
              <w:jc w:val="left"/>
              <w:rPr>
                <w:rFonts w:ascii="David" w:hAnsi="David"/>
                <w:sz w:val="28"/>
                <w:szCs w:val="28"/>
                <w:rtl/>
              </w:rPr>
            </w:pPr>
            <w:r w:rsidRPr="00411FCE">
              <w:rPr>
                <w:rFonts w:ascii="David" w:hAnsi="David" w:hint="cs"/>
                <w:sz w:val="28"/>
                <w:szCs w:val="28"/>
                <w:rtl/>
              </w:rPr>
              <w:t>עו"ד גלי זינגר; עו"ד יערה נצר</w:t>
            </w:r>
          </w:p>
          <w:p w14:paraId="1CF06576" w14:textId="77777777" w:rsidR="00411FCE" w:rsidRDefault="00411FCE" w:rsidP="00411FCE">
            <w:pPr>
              <w:jc w:val="left"/>
              <w:rPr>
                <w:rFonts w:ascii="David" w:hAnsi="David"/>
                <w:sz w:val="28"/>
                <w:szCs w:val="28"/>
                <w:rtl/>
              </w:rPr>
            </w:pPr>
          </w:p>
          <w:p w14:paraId="4D711464" w14:textId="77777777" w:rsidR="00411FCE" w:rsidRDefault="00411FCE" w:rsidP="00411FCE">
            <w:pPr>
              <w:jc w:val="left"/>
              <w:rPr>
                <w:rFonts w:ascii="David" w:hAnsi="David"/>
                <w:sz w:val="28"/>
                <w:szCs w:val="28"/>
                <w:rtl/>
              </w:rPr>
            </w:pPr>
          </w:p>
          <w:p w14:paraId="062826D5" w14:textId="77777777" w:rsidR="00411FCE" w:rsidRPr="00411FCE" w:rsidRDefault="00411FCE" w:rsidP="00411FCE">
            <w:pPr>
              <w:jc w:val="left"/>
              <w:rPr>
                <w:rFonts w:ascii="David" w:hAnsi="David"/>
                <w:sz w:val="28"/>
                <w:szCs w:val="28"/>
                <w:rtl/>
              </w:rPr>
            </w:pPr>
            <w:r w:rsidRPr="00411FCE">
              <w:rPr>
                <w:rFonts w:ascii="David" w:hAnsi="David" w:hint="cs"/>
                <w:sz w:val="28"/>
                <w:szCs w:val="28"/>
                <w:rtl/>
              </w:rPr>
              <w:t>עו"ד ריקי שפירא</w:t>
            </w:r>
          </w:p>
          <w:p w14:paraId="4D667F70" w14:textId="77777777" w:rsidR="00411FCE" w:rsidRDefault="00411FCE" w:rsidP="00411FCE">
            <w:pPr>
              <w:rPr>
                <w:rFonts w:ascii="David" w:hAnsi="David"/>
                <w:sz w:val="28"/>
                <w:szCs w:val="28"/>
                <w:rtl/>
              </w:rPr>
            </w:pPr>
          </w:p>
          <w:p w14:paraId="7033BF28" w14:textId="77777777" w:rsidR="00A402F3" w:rsidRPr="00411FCE" w:rsidRDefault="00A402F3" w:rsidP="00411FCE">
            <w:pPr>
              <w:rPr>
                <w:rFonts w:ascii="David" w:hAnsi="David"/>
                <w:sz w:val="28"/>
                <w:szCs w:val="28"/>
                <w:rtl/>
              </w:rPr>
            </w:pPr>
          </w:p>
          <w:p w14:paraId="0C3948B6" w14:textId="77777777" w:rsidR="00411FCE" w:rsidRPr="00411FCE" w:rsidRDefault="00411FCE" w:rsidP="00411FCE">
            <w:pPr>
              <w:jc w:val="left"/>
              <w:rPr>
                <w:rFonts w:ascii="David" w:hAnsi="David"/>
                <w:sz w:val="28"/>
                <w:szCs w:val="28"/>
                <w:rtl/>
              </w:rPr>
            </w:pPr>
            <w:r w:rsidRPr="00411FCE">
              <w:rPr>
                <w:rFonts w:ascii="David" w:hAnsi="David" w:hint="cs"/>
                <w:sz w:val="28"/>
                <w:szCs w:val="28"/>
                <w:rtl/>
              </w:rPr>
              <w:t>עו"ד גלי עציון</w:t>
            </w:r>
          </w:p>
          <w:p w14:paraId="0CA7263E" w14:textId="77777777" w:rsidR="00411FCE" w:rsidRDefault="00411FCE" w:rsidP="00411FCE">
            <w:pPr>
              <w:suppressLineNumbers/>
              <w:jc w:val="left"/>
              <w:rPr>
                <w:rFonts w:ascii="David" w:hAnsi="David"/>
                <w:sz w:val="28"/>
                <w:szCs w:val="28"/>
                <w:rtl/>
              </w:rPr>
            </w:pPr>
          </w:p>
          <w:p w14:paraId="0372CDE0" w14:textId="77777777" w:rsidR="005F4892" w:rsidRDefault="005F4892" w:rsidP="00411FCE">
            <w:pPr>
              <w:suppressLineNumbers/>
              <w:jc w:val="left"/>
              <w:rPr>
                <w:rFonts w:ascii="David" w:hAnsi="David"/>
                <w:sz w:val="28"/>
                <w:szCs w:val="28"/>
                <w:rtl/>
              </w:rPr>
            </w:pPr>
          </w:p>
          <w:p w14:paraId="6650CA70" w14:textId="77777777" w:rsidR="005F4892" w:rsidRPr="00411FCE" w:rsidRDefault="005F4892" w:rsidP="00411FCE">
            <w:pPr>
              <w:suppressLineNumbers/>
              <w:jc w:val="left"/>
              <w:rPr>
                <w:rFonts w:ascii="David" w:hAnsi="David"/>
                <w:sz w:val="28"/>
                <w:szCs w:val="28"/>
                <w:rtl/>
              </w:rPr>
            </w:pPr>
            <w:r>
              <w:rPr>
                <w:rFonts w:ascii="David" w:hAnsi="David" w:hint="cs"/>
                <w:sz w:val="28"/>
                <w:szCs w:val="28"/>
                <w:rtl/>
              </w:rPr>
              <w:t xml:space="preserve">עו"ד פרנסיס </w:t>
            </w:r>
            <w:proofErr w:type="spellStart"/>
            <w:r>
              <w:rPr>
                <w:rFonts w:ascii="David" w:hAnsi="David" w:hint="cs"/>
                <w:sz w:val="28"/>
                <w:szCs w:val="28"/>
                <w:rtl/>
              </w:rPr>
              <w:t>רדאי</w:t>
            </w:r>
            <w:proofErr w:type="spellEnd"/>
          </w:p>
        </w:tc>
      </w:tr>
    </w:tbl>
    <w:tbl>
      <w:tblPr>
        <w:tblStyle w:val="ad"/>
        <w:bidiVisual/>
        <w:tblW w:w="83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69"/>
      </w:tblGrid>
      <w:tr w:rsidR="00694556" w:rsidRPr="00105E0F" w14:paraId="46D5E2EC" w14:textId="77777777" w:rsidTr="00BC5A54">
        <w:trPr>
          <w:jc w:val="center"/>
        </w:trPr>
        <w:tc>
          <w:tcPr>
            <w:tcW w:w="8369" w:type="dxa"/>
          </w:tcPr>
          <w:p w14:paraId="0D3F0CAC" w14:textId="77777777" w:rsidR="00D44968" w:rsidRPr="00991FC5" w:rsidRDefault="00BC5A54" w:rsidP="00991FC5">
            <w:pPr>
              <w:bidi w:val="0"/>
              <w:jc w:val="center"/>
              <w:rPr>
                <w:rFonts w:ascii="David" w:hAnsi="David"/>
                <w:b/>
                <w:bCs/>
                <w:spacing w:val="30"/>
                <w:sz w:val="28"/>
                <w:szCs w:val="28"/>
                <w:u w:val="single"/>
              </w:rPr>
            </w:pPr>
            <w:r>
              <w:rPr>
                <w:rFonts w:ascii="David" w:hAnsi="David" w:hint="cs"/>
                <w:b/>
                <w:bCs/>
                <w:spacing w:val="30"/>
                <w:sz w:val="28"/>
                <w:szCs w:val="28"/>
                <w:u w:val="single"/>
                <w:rtl/>
              </w:rPr>
              <w:t>פסק-</w:t>
            </w:r>
            <w:r w:rsidR="006D2099">
              <w:rPr>
                <w:rFonts w:ascii="David" w:hAnsi="David" w:hint="cs"/>
                <w:b/>
                <w:bCs/>
                <w:spacing w:val="30"/>
                <w:sz w:val="28"/>
                <w:szCs w:val="28"/>
                <w:u w:val="single"/>
                <w:rtl/>
              </w:rPr>
              <w:t>דין</w:t>
            </w:r>
          </w:p>
        </w:tc>
      </w:tr>
    </w:tbl>
    <w:p w14:paraId="166F59AB" w14:textId="77777777" w:rsidR="00694556" w:rsidRPr="00BC5A54" w:rsidRDefault="00694556">
      <w:pPr>
        <w:spacing w:line="360" w:lineRule="auto"/>
        <w:jc w:val="both"/>
        <w:rPr>
          <w:rFonts w:ascii="FrankRuehl" w:hAnsi="FrankRuehl" w:cs="FrankRuehl"/>
          <w:spacing w:val="10"/>
          <w:sz w:val="28"/>
          <w:szCs w:val="28"/>
          <w:rtl/>
        </w:rPr>
      </w:pPr>
      <w:bookmarkStart w:id="0" w:name="NGCSBookmark"/>
      <w:bookmarkEnd w:id="0"/>
    </w:p>
    <w:p w14:paraId="48CFB81B" w14:textId="77777777" w:rsidR="00694556" w:rsidRDefault="00991FC5">
      <w:pPr>
        <w:spacing w:line="360" w:lineRule="auto"/>
        <w:jc w:val="both"/>
        <w:rPr>
          <w:rFonts w:ascii="Century" w:hAnsi="Century" w:cs="Miriam"/>
          <w:b/>
          <w:sz w:val="22"/>
          <w:u w:val="single"/>
          <w:rtl/>
        </w:rPr>
      </w:pPr>
      <w:r w:rsidRPr="00991FC5">
        <w:rPr>
          <w:rFonts w:ascii="Century" w:hAnsi="Century" w:cs="Miriam" w:hint="cs"/>
          <w:b/>
          <w:sz w:val="22"/>
          <w:u w:val="single"/>
          <w:rtl/>
        </w:rPr>
        <w:t>ה</w:t>
      </w:r>
      <w:sdt>
        <w:sdtPr>
          <w:rPr>
            <w:rFonts w:ascii="Century" w:hAnsi="Century" w:cs="Miriam" w:hint="cs"/>
            <w:b/>
            <w:sz w:val="22"/>
            <w:u w:val="single"/>
            <w:rtl/>
          </w:rPr>
          <w:alias w:val="1574"/>
          <w:tag w:val="1574"/>
          <w:id w:val="1174836768"/>
          <w:placeholder>
            <w:docPart w:val="254DD7E843014C7D817D6B2B08E9B38B"/>
          </w:placeholder>
          <w:text w:multiLine="1"/>
        </w:sdtPr>
        <w:sdtEndPr/>
        <w:sdtContent>
          <w:r>
            <w:rPr>
              <w:rFonts w:ascii="Century" w:hAnsi="Century" w:cs="Miriam" w:hint="eastAsia"/>
              <w:b/>
              <w:sz w:val="22"/>
              <w:u w:val="single"/>
              <w:rtl/>
            </w:rPr>
            <w:t>משנה לנשיא</w:t>
          </w:r>
        </w:sdtContent>
      </w:sdt>
      <w:r w:rsidRPr="00991FC5">
        <w:rPr>
          <w:rFonts w:ascii="Century" w:hAnsi="Century" w:cs="Miriam"/>
          <w:b/>
          <w:sz w:val="22"/>
          <w:u w:val="single"/>
          <w:rtl/>
        </w:rPr>
        <w:t xml:space="preserve"> </w:t>
      </w:r>
      <w:sdt>
        <w:sdtPr>
          <w:rPr>
            <w:rFonts w:ascii="Century" w:hAnsi="Century" w:cs="Miriam"/>
            <w:b/>
            <w:sz w:val="22"/>
            <w:u w:val="single"/>
            <w:rtl/>
          </w:rPr>
          <w:alias w:val="1573"/>
          <w:tag w:val="1573"/>
          <w:id w:val="-1143186751"/>
          <w:placeholder>
            <w:docPart w:val="25B9EEA87DDA4445ABEC0596927959F3"/>
          </w:placeholder>
          <w:text w:multiLine="1"/>
        </w:sdtPr>
        <w:sdtEndPr/>
        <w:sdtContent>
          <w:r>
            <w:rPr>
              <w:rFonts w:ascii="Century" w:hAnsi="Century" w:cs="Miriam"/>
              <w:b/>
              <w:sz w:val="22"/>
              <w:u w:val="single"/>
              <w:rtl/>
            </w:rPr>
            <w:t>נעם סולברג</w:t>
          </w:r>
        </w:sdtContent>
      </w:sdt>
      <w:r w:rsidRPr="00991FC5">
        <w:rPr>
          <w:rFonts w:ascii="Century" w:hAnsi="Century" w:cs="Miriam" w:hint="cs"/>
          <w:b/>
          <w:sz w:val="22"/>
          <w:u w:val="single"/>
          <w:rtl/>
        </w:rPr>
        <w:t>:</w:t>
      </w:r>
    </w:p>
    <w:p w14:paraId="63D6CC7B" w14:textId="77777777" w:rsidR="00981B11" w:rsidRPr="00991FC5" w:rsidRDefault="00981B11">
      <w:pPr>
        <w:spacing w:line="360" w:lineRule="auto"/>
        <w:jc w:val="both"/>
        <w:rPr>
          <w:rFonts w:ascii="Century" w:hAnsi="Century" w:cs="Miriam"/>
          <w:b/>
          <w:sz w:val="22"/>
          <w:u w:val="single"/>
          <w:rtl/>
        </w:rPr>
      </w:pPr>
    </w:p>
    <w:p w14:paraId="426F815F" w14:textId="77777777" w:rsidR="00613BC3" w:rsidRDefault="00613BC3" w:rsidP="00613BC3">
      <w:pPr>
        <w:pStyle w:val="Ruller4"/>
        <w:rPr>
          <w:rtl/>
        </w:rPr>
      </w:pPr>
      <w:r>
        <w:rPr>
          <w:rtl/>
        </w:rPr>
        <w:t>עניינן של העתירות שלפנינו, בסוגיית גיוסם של תלמידי הישיבות. בפעם הזו, מתמקדות העתירות ב</w:t>
      </w:r>
      <w:r>
        <w:rPr>
          <w:rFonts w:ascii="Century" w:hAnsi="Century" w:cs="Miriam"/>
          <w:b/>
          <w:spacing w:val="0"/>
          <w:sz w:val="22"/>
          <w:szCs w:val="24"/>
          <w:rtl/>
        </w:rPr>
        <w:t xml:space="preserve">אכיפת </w:t>
      </w:r>
      <w:r>
        <w:rPr>
          <w:rFonts w:ascii="Century" w:hAnsi="Century"/>
          <w:sz w:val="22"/>
          <w:rtl/>
        </w:rPr>
        <w:t xml:space="preserve">חובת הגיוס, כחלק מיישום פסק הדין שניתן בבית משפט זה, בהרכב של תשעה שופטים, בבג"ץ 6198/23 </w:t>
      </w:r>
      <w:r>
        <w:rPr>
          <w:rFonts w:ascii="Century" w:hAnsi="Century" w:cs="Miriam"/>
          <w:b/>
          <w:spacing w:val="0"/>
          <w:sz w:val="22"/>
          <w:szCs w:val="24"/>
          <w:rtl/>
        </w:rPr>
        <w:t>התנועה למען איכות השלטון בישראל נ' שר הביטחון</w:t>
      </w:r>
      <w:r>
        <w:rPr>
          <w:rFonts w:ascii="Century" w:hAnsi="Century"/>
          <w:sz w:val="22"/>
          <w:rtl/>
        </w:rPr>
        <w:t xml:space="preserve"> (25.6.2024) (להלן: </w:t>
      </w:r>
      <w:r>
        <w:rPr>
          <w:rFonts w:ascii="Century" w:hAnsi="Century" w:cs="Miriam"/>
          <w:b/>
          <w:spacing w:val="0"/>
          <w:sz w:val="22"/>
          <w:szCs w:val="24"/>
          <w:rtl/>
        </w:rPr>
        <w:t>בג"ץ 6198/23</w:t>
      </w:r>
      <w:r>
        <w:rPr>
          <w:rFonts w:ascii="Century" w:hAnsi="Century"/>
          <w:sz w:val="22"/>
          <w:rtl/>
        </w:rPr>
        <w:t xml:space="preserve">), בו נקבע, בין היתר, כי </w:t>
      </w:r>
      <w:r>
        <w:rPr>
          <w:rFonts w:ascii="Century" w:hAnsi="Century" w:cs="Miriam"/>
          <w:b/>
          <w:spacing w:val="0"/>
          <w:sz w:val="22"/>
          <w:szCs w:val="24"/>
          <w:rtl/>
        </w:rPr>
        <w:t xml:space="preserve">"לרשות המבצעת אין סמכות להורות שלא לאכוף את חוק שירות בטחון על תלמידי הישיבות בהיעדר מסגרת </w:t>
      </w:r>
      <w:r>
        <w:rPr>
          <w:rFonts w:ascii="Century" w:hAnsi="Century" w:cs="Miriam"/>
          <w:b/>
          <w:spacing w:val="0"/>
          <w:sz w:val="22"/>
          <w:szCs w:val="24"/>
          <w:rtl/>
        </w:rPr>
        <w:lastRenderedPageBreak/>
        <w:t xml:space="preserve">חקיקתית מתאימה. </w:t>
      </w:r>
      <w:proofErr w:type="spellStart"/>
      <w:r>
        <w:rPr>
          <w:rFonts w:ascii="Century" w:hAnsi="Century" w:cs="Miriam"/>
          <w:b/>
          <w:spacing w:val="0"/>
          <w:sz w:val="22"/>
          <w:szCs w:val="24"/>
          <w:rtl/>
        </w:rPr>
        <w:t>משלא</w:t>
      </w:r>
      <w:proofErr w:type="spellEnd"/>
      <w:r>
        <w:rPr>
          <w:rFonts w:ascii="Century" w:hAnsi="Century" w:cs="Miriam"/>
          <w:b/>
          <w:spacing w:val="0"/>
          <w:sz w:val="22"/>
          <w:szCs w:val="24"/>
          <w:rtl/>
        </w:rPr>
        <w:t xml:space="preserve"> מעוגן פטור במסגרת חקיקה, על המדינה לפעול לאכיפת החוק" </w:t>
      </w:r>
      <w:r>
        <w:rPr>
          <w:rFonts w:ascii="Century" w:hAnsi="Century"/>
          <w:sz w:val="22"/>
          <w:rtl/>
        </w:rPr>
        <w:t>(שם, פסקה 88).</w:t>
      </w:r>
    </w:p>
    <w:p w14:paraId="4AC2E890" w14:textId="77777777" w:rsidR="00613BC3" w:rsidRDefault="00613BC3" w:rsidP="00613BC3">
      <w:pPr>
        <w:pStyle w:val="Ruller4"/>
        <w:numPr>
          <w:ilvl w:val="0"/>
          <w:numId w:val="0"/>
        </w:numPr>
        <w:rPr>
          <w:rFonts w:ascii="Century" w:hAnsi="Century"/>
          <w:sz w:val="22"/>
        </w:rPr>
      </w:pPr>
    </w:p>
    <w:p w14:paraId="3260A7FE" w14:textId="77777777" w:rsidR="00613BC3" w:rsidRDefault="00613BC3" w:rsidP="00613BC3">
      <w:pPr>
        <w:pStyle w:val="Ruller4"/>
        <w:numPr>
          <w:ilvl w:val="0"/>
          <w:numId w:val="0"/>
        </w:numPr>
        <w:rPr>
          <w:rFonts w:ascii="Century" w:hAnsi="Century" w:cs="Miriam"/>
          <w:b/>
          <w:spacing w:val="0"/>
          <w:sz w:val="22"/>
          <w:szCs w:val="24"/>
          <w:rtl/>
        </w:rPr>
      </w:pPr>
      <w:r>
        <w:rPr>
          <w:rFonts w:ascii="Century" w:hAnsi="Century" w:cs="Miriam"/>
          <w:b/>
          <w:spacing w:val="0"/>
          <w:sz w:val="22"/>
          <w:szCs w:val="24"/>
          <w:rtl/>
        </w:rPr>
        <w:t>רקע בתמצית</w:t>
      </w:r>
    </w:p>
    <w:p w14:paraId="41198048" w14:textId="77777777" w:rsidR="00613BC3" w:rsidRDefault="00613BC3" w:rsidP="00613BC3">
      <w:pPr>
        <w:pStyle w:val="Ruller4"/>
        <w:rPr>
          <w:rtl/>
        </w:rPr>
      </w:pPr>
      <w:r>
        <w:rPr>
          <w:rtl/>
        </w:rPr>
        <w:t>סוגיית גיוס תלמידי הישיבות – מלווה את המדינה מעת הקמתה; הרקע ההיסטורי והמשפטי, היהודי והדמוקרטי – רחב ביותר. ברם, הזמן קצר, הצורך דוחק, עיקרי הדברים ידועים, ולכן לא אכביר במילים. אציין אך זאת, שבשנת 1949 החליט ר</w:t>
      </w:r>
      <w:r>
        <w:rPr>
          <w:rFonts w:ascii="FrankRuehl" w:hAnsi="FrankRuehl"/>
          <w:color w:val="000000"/>
          <w:sz w:val="28"/>
          <w:rtl/>
        </w:rPr>
        <w:t xml:space="preserve">אש הממשלה ושר הביטחון דאז, דוד בן גוריון, להעניק פטור משירות צבאי לכ-400 תלמידי ישיבה. ממשלות ישראל המשיכו במהלך השנים לנקוט מדיניות זו, של הימנעות מגיוס בני הישיבות, הגם שמספר מקבלי הפטור מטעם זה – הלך וטפח. </w:t>
      </w:r>
      <w:r>
        <w:rPr>
          <w:rtl/>
        </w:rPr>
        <w:t xml:space="preserve">בשנת 1998, קבע בית משפט זה, לראשונה, כי נוכח הגידול במספר תלמידי הישיבות, ובהתחשב בכך שמדובר בשאלה לאומית-ציבורית מורכבת, היא מחייבת הכרעה על דרך של הסדר ראשוני, בחקיקה ראשית (בג"ץ 3267/97 </w:t>
      </w:r>
      <w:r>
        <w:rPr>
          <w:rFonts w:ascii="Century" w:hAnsi="Century" w:cs="Miriam"/>
          <w:b/>
          <w:spacing w:val="0"/>
          <w:sz w:val="22"/>
          <w:szCs w:val="24"/>
          <w:rtl/>
        </w:rPr>
        <w:t>רובינשטיין נ' שר הביטחון</w:t>
      </w:r>
      <w:r>
        <w:rPr>
          <w:rtl/>
        </w:rPr>
        <w:t xml:space="preserve">, פ"ד נב(5) 481 (1998) (להלן: </w:t>
      </w:r>
      <w:r>
        <w:rPr>
          <w:rFonts w:ascii="Century" w:hAnsi="Century" w:cs="Miriam"/>
          <w:b/>
          <w:spacing w:val="0"/>
          <w:sz w:val="22"/>
          <w:szCs w:val="24"/>
          <w:rtl/>
        </w:rPr>
        <w:t>עניין רובינשטיין</w:t>
      </w:r>
      <w:r>
        <w:rPr>
          <w:rFonts w:ascii="Century" w:hAnsi="Century"/>
          <w:sz w:val="22"/>
          <w:rtl/>
        </w:rPr>
        <w:t>)</w:t>
      </w:r>
      <w:r>
        <w:rPr>
          <w:rtl/>
        </w:rPr>
        <w:t xml:space="preserve">). בתוך כך נקבע, כי סעיף 36 לחוק שירות בטחון [נוסח משולב], התשמ"ו-1986 (להלן: </w:t>
      </w:r>
      <w:r>
        <w:rPr>
          <w:rFonts w:ascii="Century" w:hAnsi="Century" w:cs="Miriam"/>
          <w:b/>
          <w:spacing w:val="0"/>
          <w:sz w:val="22"/>
          <w:szCs w:val="24"/>
          <w:rtl/>
        </w:rPr>
        <w:t>חוק שירות בטחון</w:t>
      </w:r>
      <w:r>
        <w:rPr>
          <w:rFonts w:ascii="Century" w:hAnsi="Century"/>
          <w:sz w:val="22"/>
          <w:rtl/>
        </w:rPr>
        <w:t xml:space="preserve">), המקנה לשר הביטחון סמכות ליתן פטור </w:t>
      </w:r>
      <w:r>
        <w:rPr>
          <w:rFonts w:ascii="Century" w:hAnsi="Century" w:cs="Miriam"/>
          <w:b/>
          <w:spacing w:val="0"/>
          <w:sz w:val="22"/>
          <w:szCs w:val="24"/>
          <w:rtl/>
        </w:rPr>
        <w:t>פרטני</w:t>
      </w:r>
      <w:r>
        <w:rPr>
          <w:rFonts w:ascii="Century" w:hAnsi="Century"/>
          <w:sz w:val="22"/>
          <w:rtl/>
        </w:rPr>
        <w:t xml:space="preserve"> משירות צבאי </w:t>
      </w:r>
      <w:r>
        <w:rPr>
          <w:rtl/>
        </w:rPr>
        <w:t xml:space="preserve">למועמד לגיוס, </w:t>
      </w:r>
      <w:r>
        <w:rPr>
          <w:rFonts w:ascii="Century" w:hAnsi="Century" w:cs="Miriam"/>
          <w:b/>
          <w:spacing w:val="0"/>
          <w:sz w:val="22"/>
          <w:szCs w:val="24"/>
          <w:rtl/>
        </w:rPr>
        <w:t>אינו מסמיך</w:t>
      </w:r>
      <w:r>
        <w:rPr>
          <w:rFonts w:ascii="Century" w:hAnsi="Century"/>
          <w:sz w:val="22"/>
          <w:rtl/>
        </w:rPr>
        <w:t xml:space="preserve"> את שר הביטחון ליתן </w:t>
      </w:r>
      <w:r>
        <w:rPr>
          <w:rFonts w:ascii="Century" w:hAnsi="Century" w:cs="Miriam"/>
          <w:b/>
          <w:spacing w:val="0"/>
          <w:sz w:val="22"/>
          <w:szCs w:val="24"/>
          <w:rtl/>
        </w:rPr>
        <w:t xml:space="preserve">פטור גורף </w:t>
      </w:r>
      <w:r>
        <w:rPr>
          <w:rFonts w:ascii="Century" w:hAnsi="Century"/>
          <w:sz w:val="22"/>
          <w:rtl/>
        </w:rPr>
        <w:t xml:space="preserve">לכלל תלמידי הישיבות. </w:t>
      </w:r>
    </w:p>
    <w:p w14:paraId="0A5B2F2A" w14:textId="77777777" w:rsidR="00613BC3" w:rsidRDefault="00613BC3" w:rsidP="00613BC3">
      <w:pPr>
        <w:pStyle w:val="Ruller4"/>
        <w:numPr>
          <w:ilvl w:val="0"/>
          <w:numId w:val="0"/>
        </w:numPr>
      </w:pPr>
    </w:p>
    <w:p w14:paraId="672D0C09" w14:textId="77777777" w:rsidR="00613BC3" w:rsidRDefault="00613BC3" w:rsidP="00613BC3">
      <w:pPr>
        <w:pStyle w:val="Ruller4"/>
      </w:pPr>
      <w:r>
        <w:rPr>
          <w:rtl/>
        </w:rPr>
        <w:t xml:space="preserve">מימוש פסק הדין בעניין </w:t>
      </w:r>
      <w:r>
        <w:rPr>
          <w:rFonts w:cs="Miriam"/>
          <w:b/>
          <w:spacing w:val="0"/>
          <w:szCs w:val="24"/>
          <w:rtl/>
        </w:rPr>
        <w:t>רובינשטיין</w:t>
      </w:r>
      <w:r>
        <w:rPr>
          <w:rtl/>
        </w:rPr>
        <w:t xml:space="preserve"> נדחה, שוב ושוב, על מנת ליתן לכנסת שהות לדון בהסדר חקיקתי מתאים. לאחר כ-4 שנים, ובהתבסס על דוח הוועדה לגיבוש ההסדר הראוי בנושא גיוס בני ישיבות בראשות השופט (</w:t>
      </w:r>
      <w:proofErr w:type="spellStart"/>
      <w:r>
        <w:rPr>
          <w:rtl/>
        </w:rPr>
        <w:t>בדימ</w:t>
      </w:r>
      <w:proofErr w:type="spellEnd"/>
      <w:r>
        <w:rPr>
          <w:rtl/>
        </w:rPr>
        <w:t xml:space="preserve">') </w:t>
      </w:r>
      <w:r>
        <w:rPr>
          <w:rFonts w:cs="Miriam"/>
          <w:b/>
          <w:spacing w:val="0"/>
          <w:szCs w:val="24"/>
          <w:rtl/>
        </w:rPr>
        <w:t>צ' א' טל</w:t>
      </w:r>
      <w:r>
        <w:rPr>
          <w:rtl/>
        </w:rPr>
        <w:t xml:space="preserve"> ז"ל, נחקק</w:t>
      </w:r>
      <w:r>
        <w:rPr>
          <w:rFonts w:ascii="Century" w:hAnsi="Century"/>
          <w:sz w:val="22"/>
          <w:rtl/>
        </w:rPr>
        <w:t xml:space="preserve"> חוק דחיית שירות לתלמידי ישיבות שתורתם אומנותם, התשס"ב-2002 (להלן: </w:t>
      </w:r>
      <w:r>
        <w:rPr>
          <w:rFonts w:ascii="Century" w:hAnsi="Century" w:cs="Miriam"/>
          <w:b/>
          <w:spacing w:val="0"/>
          <w:sz w:val="22"/>
          <w:szCs w:val="24"/>
          <w:rtl/>
        </w:rPr>
        <w:t>חוק טל</w:t>
      </w:r>
      <w:r>
        <w:rPr>
          <w:rFonts w:ascii="Century" w:hAnsi="Century"/>
          <w:sz w:val="22"/>
          <w:rtl/>
        </w:rPr>
        <w:t>). בשנת 2012, קבע בית משפט זה, כי החוק – שבגדרו הוסמך</w:t>
      </w:r>
      <w:r>
        <w:rPr>
          <w:rFonts w:ascii="FrankRuehl" w:hAnsi="FrankRuehl"/>
          <w:color w:val="000000"/>
          <w:sz w:val="28"/>
          <w:rtl/>
        </w:rPr>
        <w:t xml:space="preserve"> שר הביטחון לתת לתלמיד ישיבה צו דחיית שירות למשך שנה, שניתן להארכה בשנה נוספת כל פעם, ובלבד שהתלמיד עמד בתנאים שפורטו שם – </w:t>
      </w:r>
      <w:r>
        <w:rPr>
          <w:rFonts w:ascii="Century" w:hAnsi="Century"/>
          <w:sz w:val="22"/>
          <w:rtl/>
        </w:rPr>
        <w:t xml:space="preserve">אינו חוקתי (בג"ץ 6298/07 </w:t>
      </w:r>
      <w:proofErr w:type="spellStart"/>
      <w:r>
        <w:rPr>
          <w:rFonts w:ascii="Century" w:hAnsi="Century" w:cs="Miriam"/>
          <w:b/>
          <w:spacing w:val="0"/>
          <w:sz w:val="22"/>
          <w:szCs w:val="24"/>
          <w:rtl/>
        </w:rPr>
        <w:t>רסלר</w:t>
      </w:r>
      <w:proofErr w:type="spellEnd"/>
      <w:r>
        <w:rPr>
          <w:rFonts w:ascii="Century" w:hAnsi="Century" w:cs="Miriam"/>
          <w:b/>
          <w:spacing w:val="0"/>
          <w:sz w:val="22"/>
          <w:szCs w:val="24"/>
          <w:rtl/>
        </w:rPr>
        <w:t xml:space="preserve"> נ' כנסת ישראל</w:t>
      </w:r>
      <w:r>
        <w:rPr>
          <w:rFonts w:ascii="Century" w:hAnsi="Century"/>
          <w:sz w:val="22"/>
          <w:rtl/>
        </w:rPr>
        <w:t xml:space="preserve">, פ"ד סה(3) 1 (2012) (להלן: בג"ץ </w:t>
      </w:r>
      <w:r>
        <w:rPr>
          <w:rFonts w:ascii="Century" w:hAnsi="Century" w:cs="Miriam"/>
          <w:b/>
          <w:spacing w:val="0"/>
          <w:sz w:val="22"/>
          <w:szCs w:val="24"/>
          <w:rtl/>
        </w:rPr>
        <w:t>6298/07</w:t>
      </w:r>
      <w:r>
        <w:rPr>
          <w:rFonts w:ascii="Century" w:hAnsi="Century"/>
          <w:sz w:val="22"/>
          <w:rtl/>
        </w:rPr>
        <w:t xml:space="preserve">); פסק דין זה ניתן בהמשך לפסק הדין בבג"ץ 6427/02 </w:t>
      </w:r>
      <w:r>
        <w:rPr>
          <w:rFonts w:ascii="Century" w:hAnsi="Century" w:cs="Miriam"/>
          <w:b/>
          <w:spacing w:val="0"/>
          <w:sz w:val="22"/>
          <w:szCs w:val="24"/>
          <w:rtl/>
        </w:rPr>
        <w:t>התנועה למען איכות השלטון בישראל נ' כנסת ישראל</w:t>
      </w:r>
      <w:r>
        <w:rPr>
          <w:rFonts w:ascii="Century" w:hAnsi="Century"/>
          <w:sz w:val="22"/>
          <w:rtl/>
        </w:rPr>
        <w:t xml:space="preserve">, פ"ד </w:t>
      </w:r>
      <w:proofErr w:type="spellStart"/>
      <w:r>
        <w:rPr>
          <w:rFonts w:ascii="Century" w:hAnsi="Century"/>
          <w:sz w:val="22"/>
          <w:rtl/>
        </w:rPr>
        <w:t>סא</w:t>
      </w:r>
      <w:proofErr w:type="spellEnd"/>
      <w:r>
        <w:rPr>
          <w:rFonts w:ascii="Century" w:hAnsi="Century"/>
          <w:sz w:val="22"/>
          <w:rtl/>
        </w:rPr>
        <w:t xml:space="preserve">(1) 619 (2006) (להלן: </w:t>
      </w:r>
      <w:r>
        <w:rPr>
          <w:rFonts w:ascii="Century" w:hAnsi="Century" w:cs="Miriam"/>
          <w:b/>
          <w:spacing w:val="0"/>
          <w:sz w:val="22"/>
          <w:szCs w:val="24"/>
          <w:rtl/>
        </w:rPr>
        <w:t>בג"ץ 6427/02</w:t>
      </w:r>
      <w:r>
        <w:rPr>
          <w:rFonts w:ascii="Century" w:hAnsi="Century"/>
          <w:sz w:val="22"/>
          <w:rtl/>
        </w:rPr>
        <w:t>), שם נקבע כי אם לא יחול שינוי של ממש בנתוני ההשתתפות של גברים חרדים בשירות הצבאי, ולמצער האזרחי, קיים חשש כי החוק יהפוך לבלתי-חוקתי). זאת, על רקע הפגיעה בזכות החוקתית לשוויון; ובהינתן שההסדרים שנקבעו בחוק לא הביאו למימוש תכליותיו. נקבע אפוא, כי אין להאריך את תוקפו של החוק – אשר נחקק במקור לתקופה של 5 שנים, והוארך ב-5 שנים נוספות – כך שחוק זה פקע בחודש אוגוסט 2012.</w:t>
      </w:r>
    </w:p>
    <w:p w14:paraId="4633B4CC" w14:textId="77777777" w:rsidR="00613BC3" w:rsidRDefault="00613BC3" w:rsidP="00613BC3">
      <w:pPr>
        <w:pStyle w:val="Ruller4"/>
        <w:numPr>
          <w:ilvl w:val="0"/>
          <w:numId w:val="0"/>
        </w:numPr>
      </w:pPr>
    </w:p>
    <w:p w14:paraId="48ABD5CB" w14:textId="77777777" w:rsidR="00613BC3" w:rsidRDefault="00613BC3" w:rsidP="00613BC3">
      <w:pPr>
        <w:pStyle w:val="Ruller4"/>
      </w:pPr>
      <w:r>
        <w:rPr>
          <w:rtl/>
        </w:rPr>
        <w:lastRenderedPageBreak/>
        <w:t xml:space="preserve">בניסיון נוסף להסדיר את </w:t>
      </w:r>
      <w:proofErr w:type="spellStart"/>
      <w:r>
        <w:rPr>
          <w:rtl/>
        </w:rPr>
        <w:t>הסוגיה</w:t>
      </w:r>
      <w:proofErr w:type="spellEnd"/>
      <w:r>
        <w:rPr>
          <w:rtl/>
        </w:rPr>
        <w:t xml:space="preserve">, נחקק בשנת 2014 חוק שירות בטחון (תיקון מס' 19), התשע"ד-2014, שבגדרו התווסף לחוק שירות בטחון פרק ג'1, כותרתו –  </w:t>
      </w:r>
      <w:r>
        <w:rPr>
          <w:rFonts w:ascii="Century" w:hAnsi="Century" w:cs="Miriam"/>
          <w:b/>
          <w:spacing w:val="0"/>
          <w:sz w:val="22"/>
          <w:szCs w:val="24"/>
          <w:rtl/>
        </w:rPr>
        <w:t>"שילוב בוגרי ישיבות ומוסדות חינוך חרדיים"</w:t>
      </w:r>
      <w:r>
        <w:rPr>
          <w:rtl/>
        </w:rPr>
        <w:t xml:space="preserve"> (להלן: </w:t>
      </w:r>
      <w:r>
        <w:rPr>
          <w:rFonts w:ascii="Century" w:hAnsi="Century" w:cs="Miriam"/>
          <w:b/>
          <w:spacing w:val="0"/>
          <w:sz w:val="22"/>
          <w:szCs w:val="24"/>
          <w:rtl/>
        </w:rPr>
        <w:t>פרק ג'1</w:t>
      </w:r>
      <w:r>
        <w:rPr>
          <w:rFonts w:ascii="Century" w:hAnsi="Century"/>
          <w:sz w:val="22"/>
          <w:rtl/>
        </w:rPr>
        <w:t>)</w:t>
      </w:r>
      <w:r>
        <w:rPr>
          <w:rtl/>
        </w:rPr>
        <w:t xml:space="preserve">. ההסדר הסמיך את הממשלה לקבוע יעדי גיוס לתלמידי הישיבות, כאשר בכפוף לעמידה ביעדים אלה, ובתנאים נוספים שנקבעו שם, ניתנה אפשרות לתלמידי הישיבות לקבל דחיית שירות, שסופה בקבלת פטור מלא משירות צבאי. לצד זאת, הקנה פרק ג'1 לשר הביטחון סמכות לאפשר את המשך הסדר דחיית השירות, גם ללא עמידה ביעדי הגיוס, לפי שיקול דעתו (החוק כלל כמה וכמה היבטים נוספים, לא אפרטם כאן). עתירות הוגשו, בית המשפט דן בחוקתיות החוק, ושוב נקבע כי ההסדר אינו חוקתי. זאת, גם הפעם, בהינתן הפגיעה בזכות החוקתית לשוויון; ובהעדר קשר רציונלי בין ההסדר שנקבע לבין התכלית של </w:t>
      </w:r>
      <w:r>
        <w:rPr>
          <w:rFonts w:ascii="Century" w:hAnsi="Century" w:cs="Miriam"/>
          <w:b/>
          <w:spacing w:val="0"/>
          <w:sz w:val="22"/>
          <w:szCs w:val="24"/>
          <w:rtl/>
        </w:rPr>
        <w:t>"קידום גיוס משמעותי של תלמידי הישיבות"</w:t>
      </w:r>
      <w:r>
        <w:rPr>
          <w:rtl/>
        </w:rPr>
        <w:t>, נוכח העדרו של מנגנון סנקציות אפקטיבי להתמודדות עם מצב דברים של אי-עמידה ביעדי הגיוס שקבעה הממשלה (</w:t>
      </w:r>
      <w:r>
        <w:rPr>
          <w:rFonts w:ascii="Century" w:hAnsi="Century"/>
          <w:sz w:val="22"/>
          <w:rtl/>
        </w:rPr>
        <w:t xml:space="preserve">בג"ץ 1877/14 </w:t>
      </w:r>
      <w:r>
        <w:rPr>
          <w:rFonts w:ascii="Century" w:hAnsi="Century" w:cs="Miriam"/>
          <w:b/>
          <w:spacing w:val="0"/>
          <w:sz w:val="22"/>
          <w:szCs w:val="24"/>
          <w:rtl/>
        </w:rPr>
        <w:t>התנועה למען איכות השלטון נ' הכנסת</w:t>
      </w:r>
      <w:r>
        <w:rPr>
          <w:rFonts w:ascii="Century" w:hAnsi="Century"/>
          <w:sz w:val="22"/>
          <w:rtl/>
        </w:rPr>
        <w:t xml:space="preserve"> (12.9.2017)</w:t>
      </w:r>
      <w:r>
        <w:rPr>
          <w:rtl/>
        </w:rPr>
        <w:t xml:space="preserve"> (להלן: </w:t>
      </w:r>
      <w:r>
        <w:rPr>
          <w:rFonts w:ascii="Century" w:hAnsi="Century" w:cs="Miriam"/>
          <w:b/>
          <w:spacing w:val="0"/>
          <w:sz w:val="22"/>
          <w:szCs w:val="24"/>
          <w:rtl/>
        </w:rPr>
        <w:t>בג"ץ 1877/14</w:t>
      </w:r>
      <w:r>
        <w:rPr>
          <w:rFonts w:ascii="Century" w:hAnsi="Century"/>
          <w:sz w:val="22"/>
          <w:rtl/>
        </w:rPr>
        <w:t>)</w:t>
      </w:r>
      <w:r>
        <w:rPr>
          <w:rtl/>
        </w:rPr>
        <w:t xml:space="preserve">; דעתי-שלי באותו עניין, </w:t>
      </w:r>
      <w:proofErr w:type="spellStart"/>
      <w:r>
        <w:rPr>
          <w:rtl/>
        </w:rPr>
        <w:t>היתה</w:t>
      </w:r>
      <w:proofErr w:type="spellEnd"/>
      <w:r>
        <w:rPr>
          <w:rtl/>
        </w:rPr>
        <w:t xml:space="preserve"> כי דינן של העתירות לדחייה, אך </w:t>
      </w:r>
      <w:proofErr w:type="spellStart"/>
      <w:r>
        <w:rPr>
          <w:rtl/>
        </w:rPr>
        <w:t>היתה</w:t>
      </w:r>
      <w:proofErr w:type="spellEnd"/>
      <w:r>
        <w:rPr>
          <w:rtl/>
        </w:rPr>
        <w:t xml:space="preserve"> זו דעת יחיד; גברו עלי 8 חברַי בדעת הרוב). במישור הסעד, הושהה ביטול פרק ג'1 לתקופה של שנה, על מנת לאפשר לכנסת לחוקק חוק חדש.  </w:t>
      </w:r>
    </w:p>
    <w:p w14:paraId="0335A4DE" w14:textId="77777777" w:rsidR="00613BC3" w:rsidRDefault="00613BC3" w:rsidP="00613BC3">
      <w:pPr>
        <w:pStyle w:val="Ruller4"/>
        <w:numPr>
          <w:ilvl w:val="0"/>
          <w:numId w:val="0"/>
        </w:numPr>
      </w:pPr>
    </w:p>
    <w:p w14:paraId="3C027D24" w14:textId="77777777" w:rsidR="00613BC3" w:rsidRDefault="00613BC3" w:rsidP="00613BC3">
      <w:pPr>
        <w:pStyle w:val="Ruller4"/>
      </w:pPr>
      <w:r>
        <w:rPr>
          <w:rtl/>
        </w:rPr>
        <w:t xml:space="preserve">השנים נקפו, בקשות ארכה רבות מספוֹר, שנומקו בכוונת המדינה לגבש הסדר חקיקתי חלופי – התבקשו והתקבלו, אולם הסדר כאמור – לא נחקק. ביום 30.6.2023, פקע פרק ג'1 לחוק שירות בטחון מכוח הוראותיו-הוא, כך שמן העת ההיא, לא חל כל הסדר ספציפי לגבי גיוסם של תלמידי הישיבות. ביום 25.6.2023, 5 ימים טרם פקיעתו של פרק ג'1, </w:t>
      </w:r>
      <w:r>
        <w:rPr>
          <w:rFonts w:ascii="FrankRuehl" w:hAnsi="FrankRuehl"/>
          <w:color w:val="000000"/>
          <w:sz w:val="28"/>
          <w:rtl/>
        </w:rPr>
        <w:t xml:space="preserve">החליטה הממשלה להורות לשר הביטחון להנחות את צה"ל להימנע מלאכוף את הוראות חוק שירות בטחון על תלמידי הישיבות, עד ליום 31.3.2024; זאת, </w:t>
      </w:r>
      <w:r>
        <w:rPr>
          <w:rFonts w:ascii="Century" w:hAnsi="Century" w:cs="Miriam"/>
          <w:b/>
          <w:spacing w:val="0"/>
          <w:sz w:val="22"/>
          <w:szCs w:val="24"/>
          <w:rtl/>
        </w:rPr>
        <w:t xml:space="preserve">"בהינתן כוונת הממשלה לגבש הסדר חקיקתי חדש" </w:t>
      </w:r>
      <w:r>
        <w:rPr>
          <w:rFonts w:ascii="Century" w:hAnsi="Century"/>
          <w:sz w:val="22"/>
          <w:rtl/>
        </w:rPr>
        <w:t xml:space="preserve">(החלטה 682 של הממשלה ה-37 "השירות בצבא הגנה לישראל והוקרת המשרתים" (להלן: </w:t>
      </w:r>
      <w:r>
        <w:rPr>
          <w:rFonts w:ascii="Century" w:hAnsi="Century" w:cs="Miriam"/>
          <w:b/>
          <w:spacing w:val="0"/>
          <w:sz w:val="22"/>
          <w:szCs w:val="24"/>
          <w:rtl/>
        </w:rPr>
        <w:t>החלטת ממשלה 682</w:t>
      </w:r>
      <w:r>
        <w:rPr>
          <w:rFonts w:ascii="Century" w:hAnsi="Century"/>
          <w:sz w:val="22"/>
          <w:rtl/>
        </w:rPr>
        <w:t xml:space="preserve">)). </w:t>
      </w:r>
    </w:p>
    <w:p w14:paraId="4687932A" w14:textId="77777777" w:rsidR="00613BC3" w:rsidRDefault="00613BC3" w:rsidP="00613BC3">
      <w:pPr>
        <w:pStyle w:val="Ruller4"/>
        <w:numPr>
          <w:ilvl w:val="0"/>
          <w:numId w:val="0"/>
        </w:numPr>
      </w:pPr>
    </w:p>
    <w:p w14:paraId="5A258EDE" w14:textId="77777777" w:rsidR="00613BC3" w:rsidRDefault="00613BC3" w:rsidP="00613BC3">
      <w:pPr>
        <w:pStyle w:val="Ruller4"/>
      </w:pPr>
      <w:r>
        <w:rPr>
          <w:rFonts w:ascii="Century" w:hAnsi="Century"/>
          <w:sz w:val="22"/>
          <w:rtl/>
        </w:rPr>
        <w:t>בעקבות החלטה זו, ועל רקע פרוץ המלחמה ב-7 באוקטובר, והימשכותה, הוגשו העתירות שנדונו במסגרת פסק הדין ב</w:t>
      </w:r>
      <w:r>
        <w:rPr>
          <w:rFonts w:ascii="Century" w:hAnsi="Century" w:cs="Miriam"/>
          <w:b/>
          <w:spacing w:val="0"/>
          <w:sz w:val="22"/>
          <w:szCs w:val="24"/>
          <w:rtl/>
        </w:rPr>
        <w:t>בג"ץ 6198/23</w:t>
      </w:r>
      <w:r>
        <w:rPr>
          <w:rFonts w:ascii="Century" w:hAnsi="Century"/>
          <w:sz w:val="22"/>
          <w:rtl/>
        </w:rPr>
        <w:t>.</w:t>
      </w:r>
      <w:r>
        <w:rPr>
          <w:rFonts w:ascii="FrankRuehl" w:hAnsi="FrankRuehl"/>
          <w:color w:val="000000"/>
          <w:sz w:val="28"/>
          <w:rtl/>
        </w:rPr>
        <w:t xml:space="preserve"> בפסק הדין נקבע, כי </w:t>
      </w:r>
      <w:proofErr w:type="spellStart"/>
      <w:r>
        <w:rPr>
          <w:rFonts w:ascii="FrankRuehl" w:hAnsi="FrankRuehl"/>
          <w:color w:val="000000"/>
          <w:sz w:val="28"/>
          <w:rtl/>
        </w:rPr>
        <w:t>ישוּם</w:t>
      </w:r>
      <w:proofErr w:type="spellEnd"/>
      <w:r>
        <w:rPr>
          <w:rFonts w:ascii="FrankRuehl" w:hAnsi="FrankRuehl"/>
          <w:color w:val="000000"/>
          <w:sz w:val="28"/>
          <w:rtl/>
        </w:rPr>
        <w:t xml:space="preserve"> ההלכה שנקבעה בעניין </w:t>
      </w:r>
      <w:r>
        <w:rPr>
          <w:rFonts w:ascii="Century" w:hAnsi="Century" w:cs="Miriam"/>
          <w:b/>
          <w:spacing w:val="0"/>
          <w:sz w:val="22"/>
          <w:szCs w:val="24"/>
          <w:rtl/>
        </w:rPr>
        <w:t>רובינשטיין</w:t>
      </w:r>
      <w:r>
        <w:rPr>
          <w:rFonts w:ascii="Century" w:hAnsi="Century"/>
          <w:sz w:val="22"/>
          <w:rtl/>
        </w:rPr>
        <w:t xml:space="preserve">, מעלה כי בהעדר עיגון חקיקתי למתן פטור גורף מחובת הגיוס לתלמידי הישיבות, אין לגורמי הרשות המבצעת סמכות לקבוע – או ליישׂם בפועל – מדיניות הימנעות מאכיפה כאמור בהחלטת ממשלה 682; וכי והדברים יפים, מקל וחומר, לפרק הזמן שלאחר פקיעת החלטה 682, קרי – החל מיום 1.4.2024. עוד </w:t>
      </w:r>
      <w:r>
        <w:rPr>
          <w:rFonts w:ascii="Century" w:hAnsi="Century"/>
          <w:sz w:val="22"/>
          <w:rtl/>
        </w:rPr>
        <w:lastRenderedPageBreak/>
        <w:t>נקבע, כי ההחלטה, שבגדרה הורתה הממשלה</w:t>
      </w:r>
      <w:r>
        <w:rPr>
          <w:rtl/>
        </w:rPr>
        <w:t xml:space="preserve"> לרשויות הצבא להימנע באופן גורף מגיוסם של תלמידי הישיבות, עולה כדי אכיפה סלקטיבית פסולה ומפלה של הוראות חוק שירות בטחון. נוכח האמור, ובשים לב ל</w:t>
      </w:r>
      <w:r>
        <w:rPr>
          <w:rFonts w:ascii="Century" w:hAnsi="Century" w:cs="Miriam"/>
          <w:b/>
          <w:spacing w:val="0"/>
          <w:sz w:val="22"/>
          <w:szCs w:val="24"/>
          <w:rtl/>
        </w:rPr>
        <w:t>"צרכי הצבא בכוח האדם אשר נדרש על מנת לעמוד במשימותיו החיוניות"</w:t>
      </w:r>
      <w:r>
        <w:rPr>
          <w:rFonts w:ascii="Century" w:hAnsi="Century"/>
          <w:sz w:val="22"/>
          <w:rtl/>
        </w:rPr>
        <w:t xml:space="preserve">, </w:t>
      </w:r>
      <w:r>
        <w:rPr>
          <w:rtl/>
        </w:rPr>
        <w:t xml:space="preserve">נקבע כי על גורמי הממשלה לפעול לגיוסם של תלמידי הישיבות, ולאכיפת הוראות חוק שירות בטחון (להרחבה על הרקע ההיסטורי והמשפטי, כמו גם על גלגוליה השונים של </w:t>
      </w:r>
      <w:proofErr w:type="spellStart"/>
      <w:r>
        <w:rPr>
          <w:rtl/>
        </w:rPr>
        <w:t>הסוגיה</w:t>
      </w:r>
      <w:proofErr w:type="spellEnd"/>
      <w:r>
        <w:rPr>
          <w:rtl/>
        </w:rPr>
        <w:t xml:space="preserve">, שהובאו כאן אך בקצירת האומר, ראו: </w:t>
      </w:r>
      <w:r>
        <w:rPr>
          <w:rFonts w:ascii="Century" w:hAnsi="Century" w:cs="Miriam"/>
          <w:b/>
          <w:spacing w:val="0"/>
          <w:sz w:val="22"/>
          <w:szCs w:val="24"/>
          <w:rtl/>
        </w:rPr>
        <w:t>בג"ץ 1877/14</w:t>
      </w:r>
      <w:r>
        <w:rPr>
          <w:rFonts w:ascii="Century" w:hAnsi="Century"/>
          <w:sz w:val="22"/>
          <w:rtl/>
        </w:rPr>
        <w:t xml:space="preserve">, פסקאות 9-2 לפסק הדין של הנשיאה </w:t>
      </w:r>
      <w:r>
        <w:rPr>
          <w:rFonts w:ascii="Century" w:hAnsi="Century" w:cs="Miriam"/>
          <w:b/>
          <w:spacing w:val="0"/>
          <w:sz w:val="22"/>
          <w:szCs w:val="24"/>
          <w:rtl/>
        </w:rPr>
        <w:t>מ' נאור</w:t>
      </w:r>
      <w:r>
        <w:rPr>
          <w:rFonts w:ascii="Century" w:hAnsi="Century"/>
          <w:sz w:val="22"/>
          <w:rtl/>
        </w:rPr>
        <w:t xml:space="preserve">; </w:t>
      </w:r>
      <w:r>
        <w:rPr>
          <w:rFonts w:ascii="Century" w:hAnsi="Century" w:cs="Miriam"/>
          <w:b/>
          <w:spacing w:val="0"/>
          <w:sz w:val="22"/>
          <w:szCs w:val="24"/>
          <w:rtl/>
        </w:rPr>
        <w:t>בג"ץ 6198/23</w:t>
      </w:r>
      <w:r>
        <w:rPr>
          <w:rFonts w:ascii="Century" w:hAnsi="Century"/>
          <w:sz w:val="22"/>
          <w:rtl/>
        </w:rPr>
        <w:t>, פסקאות 9-1)</w:t>
      </w:r>
      <w:r>
        <w:rPr>
          <w:rtl/>
        </w:rPr>
        <w:t>.</w:t>
      </w:r>
    </w:p>
    <w:p w14:paraId="6DE6C7F7" w14:textId="77777777" w:rsidR="00613BC3" w:rsidRDefault="00613BC3" w:rsidP="00613BC3">
      <w:pPr>
        <w:pStyle w:val="Ruller4"/>
        <w:numPr>
          <w:ilvl w:val="0"/>
          <w:numId w:val="0"/>
        </w:numPr>
      </w:pPr>
    </w:p>
    <w:p w14:paraId="49924F75" w14:textId="77777777" w:rsidR="00613BC3" w:rsidRDefault="00613BC3" w:rsidP="00613BC3">
      <w:pPr>
        <w:pStyle w:val="Ruller4"/>
        <w:numPr>
          <w:ilvl w:val="0"/>
          <w:numId w:val="0"/>
        </w:numPr>
        <w:rPr>
          <w:rFonts w:ascii="Century" w:hAnsi="Century" w:cs="Miriam"/>
          <w:b/>
          <w:spacing w:val="0"/>
          <w:sz w:val="22"/>
          <w:szCs w:val="24"/>
        </w:rPr>
      </w:pPr>
      <w:r>
        <w:rPr>
          <w:rFonts w:ascii="Century" w:hAnsi="Century" w:cs="Miriam"/>
          <w:b/>
          <w:spacing w:val="0"/>
          <w:sz w:val="22"/>
          <w:szCs w:val="24"/>
          <w:rtl/>
        </w:rPr>
        <w:t>העתירות דנן</w:t>
      </w:r>
    </w:p>
    <w:p w14:paraId="0CFF17BE" w14:textId="77777777" w:rsidR="00613BC3" w:rsidRDefault="00613BC3" w:rsidP="00613BC3">
      <w:pPr>
        <w:pStyle w:val="Ruller4"/>
        <w:rPr>
          <w:rtl/>
        </w:rPr>
      </w:pPr>
      <w:r>
        <w:rPr>
          <w:rtl/>
        </w:rPr>
        <w:t xml:space="preserve">בהמשך לאמור, ובהעדר שינוי של ממש במצב הדברים, הוגשו העתירות שלפנינו. העותרים בבג"ץ 5819/24, </w:t>
      </w:r>
      <w:r>
        <w:rPr>
          <w:rFonts w:ascii="Century" w:hAnsi="Century" w:cs="Miriam"/>
          <w:b/>
          <w:spacing w:val="0"/>
          <w:sz w:val="22"/>
          <w:szCs w:val="24"/>
          <w:rtl/>
        </w:rPr>
        <w:t>התנועה למען איכות השלטון בישראל</w:t>
      </w:r>
      <w:r>
        <w:rPr>
          <w:rtl/>
        </w:rPr>
        <w:t xml:space="preserve"> ו</w:t>
      </w:r>
      <w:r>
        <w:rPr>
          <w:rFonts w:ascii="Century" w:hAnsi="Century" w:cs="Miriam"/>
          <w:b/>
          <w:spacing w:val="0"/>
          <w:sz w:val="22"/>
          <w:szCs w:val="24"/>
          <w:rtl/>
        </w:rPr>
        <w:t xml:space="preserve">פורום חומת מגן </w:t>
      </w:r>
      <w:r>
        <w:rPr>
          <w:rtl/>
        </w:rPr>
        <w:t xml:space="preserve">לישראל, ביקשו כי נורה למשיבי המדינה לגייס לשירות סדיר </w:t>
      </w:r>
      <w:r>
        <w:rPr>
          <w:rFonts w:ascii="Century" w:hAnsi="Century" w:cs="Miriam"/>
          <w:b/>
          <w:spacing w:val="0"/>
          <w:sz w:val="22"/>
          <w:szCs w:val="24"/>
          <w:rtl/>
        </w:rPr>
        <w:t>"את כלל 63,000 תלמידי הישיבות המחויבים בגיוס לפי חוק שירות בטחון"</w:t>
      </w:r>
      <w:r>
        <w:rPr>
          <w:rFonts w:ascii="Century" w:hAnsi="Century"/>
          <w:sz w:val="22"/>
          <w:rtl/>
        </w:rPr>
        <w:t>; ליישם את הוראות פסק הדין ב</w:t>
      </w:r>
      <w:r>
        <w:rPr>
          <w:rFonts w:ascii="Century" w:hAnsi="Century" w:cs="Miriam"/>
          <w:b/>
          <w:spacing w:val="0"/>
          <w:sz w:val="22"/>
          <w:szCs w:val="24"/>
          <w:rtl/>
        </w:rPr>
        <w:t>בג"ץ 6198/23</w:t>
      </w:r>
      <w:r>
        <w:rPr>
          <w:rFonts w:ascii="Century" w:hAnsi="Century"/>
          <w:sz w:val="22"/>
          <w:rtl/>
        </w:rPr>
        <w:t>, כך ש</w:t>
      </w:r>
      <w:r>
        <w:rPr>
          <w:rFonts w:ascii="Century" w:hAnsi="Century" w:cs="Miriam"/>
          <w:b/>
          <w:spacing w:val="0"/>
          <w:sz w:val="22"/>
          <w:szCs w:val="24"/>
          <w:rtl/>
        </w:rPr>
        <w:t>"יוציאו 15,000 צווים ראשונים לשנתון 2007 המחויבים בגיוס לפי הוראות חוק שירות בטחון"</w:t>
      </w:r>
      <w:r>
        <w:rPr>
          <w:rFonts w:ascii="Century" w:hAnsi="Century"/>
          <w:sz w:val="22"/>
          <w:rtl/>
        </w:rPr>
        <w:t>; ולאכוף את הוראות חוק שירות בטחון באופן שוויוני על כלל אזרחי המדינה. בעתירה נטען, בעיקרו של דבר, כי משיבי המדינה נמנעים מגיוס תלמידי ישיבות, ומאכיפה של הוראות חוק שירות בטחון. זאת, באופן החותר תחת הוראות פסק הדין ב</w:t>
      </w:r>
      <w:r>
        <w:rPr>
          <w:rFonts w:ascii="Century" w:hAnsi="Century" w:cs="Miriam"/>
          <w:b/>
          <w:spacing w:val="0"/>
          <w:sz w:val="22"/>
          <w:szCs w:val="24"/>
          <w:rtl/>
        </w:rPr>
        <w:t>בג"ץ 6198/23</w:t>
      </w:r>
      <w:r>
        <w:rPr>
          <w:rFonts w:ascii="Century" w:hAnsi="Century"/>
          <w:sz w:val="22"/>
          <w:rtl/>
        </w:rPr>
        <w:t xml:space="preserve">; בהעדר סמכות לעשות כן; תוך יצירת הפליה חמורה, ונקיטה במדיניות של אכיפה בררנית; ובהתעלם מצרכי הצבא בהגדלת היקף המשרתים, נוכח הימשכות המלחמה והכבדת הנטל על חיילי המילואים. </w:t>
      </w:r>
    </w:p>
    <w:p w14:paraId="313E9E81" w14:textId="77777777" w:rsidR="00613BC3" w:rsidRDefault="00613BC3" w:rsidP="00613BC3">
      <w:pPr>
        <w:pStyle w:val="Ruller4"/>
        <w:numPr>
          <w:ilvl w:val="0"/>
          <w:numId w:val="0"/>
        </w:numPr>
      </w:pPr>
    </w:p>
    <w:p w14:paraId="4A538378" w14:textId="77777777" w:rsidR="00613BC3" w:rsidRDefault="00613BC3" w:rsidP="00613BC3">
      <w:pPr>
        <w:pStyle w:val="Ruller4"/>
      </w:pPr>
      <w:r>
        <w:rPr>
          <w:rtl/>
        </w:rPr>
        <w:t xml:space="preserve">העותרת בבג"ץ 27156-08-24, עמותת </w:t>
      </w:r>
      <w:r>
        <w:rPr>
          <w:rFonts w:ascii="Century" w:hAnsi="Century" w:cs="Miriam"/>
          <w:b/>
          <w:spacing w:val="0"/>
          <w:sz w:val="22"/>
          <w:szCs w:val="24"/>
          <w:rtl/>
        </w:rPr>
        <w:t>ישראל חופשית</w:t>
      </w:r>
      <w:r>
        <w:rPr>
          <w:rtl/>
        </w:rPr>
        <w:t xml:space="preserve">, ביקשה גם היא כי נורה למשיבי המדינה לפעול לאכיפת חובת הגיוס, לפי חוק שירות בטחון, על תלמידי הישיבות, ובכלל זאת להוציא לכלל המיועדים לשירות ביטחון, בוגרי מוסדות חינוך חרדיים, צו ראשון, ולאלה שלא התייצבו לצו ראשון, צו התייצבות לשירות ביטחון בהתאם לסעיף 12 לחוק שירות בטחון. עוד התבקש, כי נורה למשיבי המדינה לפעול לאכיפת איסור היציאה מהארץ, בהתאם לסמכות המעוגנת בסעיף 43 לחוק שירות בטחון; ולהחיל בצה"ל מדיניות גיוס ושיבוץ שוויונית, שתתבסס על אמות מידה כלליות בלבד. בעתירה נטען, בין היתר, כי משיבי המדינה נוקטים מדיניות אכיפה מפלה, כך שסמכויות האכיפה הנתונות לרשויות הצבא לפי חוק שירות בטחון – בדגש על הוצאת 'צו 12', הטלת איסור יציאה מהארץ, ואף נקיטת הליכים פליליים – אינן מופעלות כלפי בני הציבור החרדי; ואף מלכתחילה, נשלח צו ראשון רק לחלק קטן מהם, </w:t>
      </w:r>
      <w:r>
        <w:rPr>
          <w:rFonts w:ascii="Century" w:hAnsi="Century" w:cs="Miriam"/>
          <w:b/>
          <w:spacing w:val="0"/>
          <w:sz w:val="22"/>
          <w:szCs w:val="24"/>
          <w:rtl/>
        </w:rPr>
        <w:t xml:space="preserve">"לפי 'סימונים' </w:t>
      </w:r>
      <w:proofErr w:type="spellStart"/>
      <w:r>
        <w:rPr>
          <w:rFonts w:ascii="Century" w:hAnsi="Century" w:cs="Miriam"/>
          <w:b/>
          <w:spacing w:val="0"/>
          <w:sz w:val="22"/>
          <w:szCs w:val="24"/>
          <w:rtl/>
        </w:rPr>
        <w:t>ו'טרגוטים</w:t>
      </w:r>
      <w:proofErr w:type="spellEnd"/>
      <w:r>
        <w:rPr>
          <w:rFonts w:ascii="Century" w:hAnsi="Century" w:cs="Miriam"/>
          <w:b/>
          <w:spacing w:val="0"/>
          <w:sz w:val="22"/>
          <w:szCs w:val="24"/>
          <w:rtl/>
        </w:rPr>
        <w:t>' פסולים בתכלית"</w:t>
      </w:r>
      <w:r>
        <w:rPr>
          <w:rFonts w:ascii="Century" w:hAnsi="Century"/>
          <w:sz w:val="22"/>
          <w:rtl/>
        </w:rPr>
        <w:t>,</w:t>
      </w:r>
      <w:r>
        <w:rPr>
          <w:rFonts w:ascii="Century" w:hAnsi="Century" w:cs="Miriam"/>
          <w:b/>
          <w:spacing w:val="0"/>
          <w:sz w:val="22"/>
          <w:szCs w:val="24"/>
          <w:rtl/>
        </w:rPr>
        <w:t xml:space="preserve"> </w:t>
      </w:r>
      <w:r>
        <w:rPr>
          <w:rtl/>
        </w:rPr>
        <w:t xml:space="preserve">להבדיל מן הציבור הכללי, שצו זה נשלח לכלל המיועדים </w:t>
      </w:r>
      <w:r>
        <w:rPr>
          <w:rtl/>
        </w:rPr>
        <w:lastRenderedPageBreak/>
        <w:t xml:space="preserve">לשירות ביטחון מקרבו. עוד נטען, כי הפרקטיקה שלפיה הצבא שולח צווים למועמדים לשירות ביטחון בוגרי מוסדות חינוך חרדיים, שלא באופן כולל ושוויוני, אלא לפי תבחינים שמטרתם 'לכוון' לאלה שהסיכוי כי יתגייסו לבסוף גבוה יותר – פסולה, מזיקה ונעדרת כל בסיס בדין. העותרות בבג"ץ 55368-08-24, העומדות </w:t>
      </w:r>
      <w:r>
        <w:rPr>
          <w:rFonts w:ascii="Century" w:hAnsi="Century" w:cs="Miriam"/>
          <w:b/>
          <w:spacing w:val="0"/>
          <w:sz w:val="22"/>
          <w:szCs w:val="24"/>
          <w:rtl/>
        </w:rPr>
        <w:t>"בראש תנועת 'אמא ערה'"</w:t>
      </w:r>
      <w:r>
        <w:rPr>
          <w:rFonts w:ascii="Century" w:hAnsi="Century"/>
          <w:sz w:val="22"/>
          <w:rtl/>
        </w:rPr>
        <w:t xml:space="preserve">, הצטרפו, בעיקרי הדברים, לטענות שעלו בעתירות האחרות. </w:t>
      </w:r>
    </w:p>
    <w:p w14:paraId="00E76CD0" w14:textId="77777777" w:rsidR="00613BC3" w:rsidRDefault="00613BC3" w:rsidP="00613BC3">
      <w:pPr>
        <w:pStyle w:val="Ruller41"/>
        <w:rPr>
          <w:rtl/>
        </w:rPr>
      </w:pPr>
    </w:p>
    <w:p w14:paraId="49460F59" w14:textId="77777777" w:rsidR="00613BC3" w:rsidRDefault="00613BC3" w:rsidP="00613BC3">
      <w:pPr>
        <w:pStyle w:val="Ruller4"/>
        <w:rPr>
          <w:rtl/>
        </w:rPr>
      </w:pPr>
      <w:r>
        <w:rPr>
          <w:rtl/>
        </w:rPr>
        <w:t xml:space="preserve">ביום 15.8.2024, הוגשה תגובה מקדמית מטעם </w:t>
      </w:r>
      <w:r>
        <w:rPr>
          <w:rFonts w:ascii="Century" w:hAnsi="Century" w:cs="Miriam"/>
          <w:b/>
          <w:spacing w:val="0"/>
          <w:sz w:val="22"/>
          <w:szCs w:val="24"/>
          <w:rtl/>
        </w:rPr>
        <w:t>איחוד הישיבות באר"י</w:t>
      </w:r>
      <w:r>
        <w:rPr>
          <w:rtl/>
        </w:rPr>
        <w:t xml:space="preserve"> (להלן: </w:t>
      </w:r>
      <w:r>
        <w:rPr>
          <w:rFonts w:ascii="Century" w:hAnsi="Century" w:cs="Miriam"/>
          <w:b/>
          <w:spacing w:val="0"/>
          <w:sz w:val="22"/>
          <w:szCs w:val="24"/>
          <w:rtl/>
        </w:rPr>
        <w:t>איחוד הישיבות</w:t>
      </w:r>
      <w:r>
        <w:rPr>
          <w:rtl/>
        </w:rPr>
        <w:t xml:space="preserve">). בתגובה צוין, כי איחוד הישיבות מתנגד לגיוס תלמידי הישיבות </w:t>
      </w:r>
      <w:r>
        <w:rPr>
          <w:rFonts w:ascii="Century" w:hAnsi="Century" w:cs="Miriam"/>
          <w:b/>
          <w:spacing w:val="0"/>
          <w:sz w:val="22"/>
          <w:szCs w:val="24"/>
          <w:rtl/>
        </w:rPr>
        <w:t>"באופן אבסולוטי מטעמי דת ועוד"</w:t>
      </w:r>
      <w:r>
        <w:rPr>
          <w:rFonts w:ascii="Century" w:hAnsi="Century"/>
          <w:sz w:val="22"/>
          <w:rtl/>
        </w:rPr>
        <w:t xml:space="preserve">. כמו כן נטען, כי </w:t>
      </w:r>
      <w:r>
        <w:rPr>
          <w:rFonts w:ascii="Century" w:hAnsi="Century" w:cs="Miriam"/>
          <w:b/>
          <w:spacing w:val="0"/>
          <w:sz w:val="22"/>
          <w:szCs w:val="24"/>
          <w:rtl/>
        </w:rPr>
        <w:t>"ביצוע פסק הדין אינו מציאותי"</w:t>
      </w:r>
      <w:r>
        <w:rPr>
          <w:rFonts w:ascii="Century" w:hAnsi="Century"/>
          <w:sz w:val="22"/>
          <w:rtl/>
        </w:rPr>
        <w:t xml:space="preserve">; כי העותרים מתעלמים מקיומו של שוני רלבנטי בין מועמדים לשירות בטחון (להלן: </w:t>
      </w:r>
      <w:proofErr w:type="spellStart"/>
      <w:r>
        <w:rPr>
          <w:rFonts w:ascii="Century" w:hAnsi="Century" w:cs="Miriam"/>
          <w:b/>
          <w:spacing w:val="0"/>
          <w:sz w:val="22"/>
          <w:szCs w:val="24"/>
          <w:rtl/>
        </w:rPr>
        <w:t>מלש"בים</w:t>
      </w:r>
      <w:proofErr w:type="spellEnd"/>
      <w:r>
        <w:rPr>
          <w:rFonts w:ascii="Century" w:hAnsi="Century"/>
          <w:sz w:val="22"/>
          <w:rtl/>
        </w:rPr>
        <w:t xml:space="preserve">) חרדים לבין שאר </w:t>
      </w:r>
      <w:proofErr w:type="spellStart"/>
      <w:r>
        <w:rPr>
          <w:rFonts w:ascii="Century" w:hAnsi="Century"/>
          <w:sz w:val="22"/>
          <w:rtl/>
        </w:rPr>
        <w:t>המלש"בים</w:t>
      </w:r>
      <w:proofErr w:type="spellEnd"/>
      <w:r>
        <w:rPr>
          <w:rFonts w:ascii="Century" w:hAnsi="Century"/>
          <w:sz w:val="22"/>
          <w:rtl/>
        </w:rPr>
        <w:t>, שוני אשר בא לידי ביטוי</w:t>
      </w:r>
      <w:r>
        <w:rPr>
          <w:rFonts w:ascii="Century" w:hAnsi="Century" w:cs="Miriam"/>
          <w:b/>
          <w:spacing w:val="0"/>
          <w:sz w:val="22"/>
          <w:szCs w:val="24"/>
          <w:rtl/>
        </w:rPr>
        <w:t xml:space="preserve"> </w:t>
      </w:r>
      <w:r>
        <w:rPr>
          <w:rFonts w:ascii="Century" w:hAnsi="Century"/>
          <w:sz w:val="22"/>
          <w:rtl/>
        </w:rPr>
        <w:t>בכך</w:t>
      </w:r>
      <w:r>
        <w:rPr>
          <w:rFonts w:ascii="Century" w:hAnsi="Century" w:cs="Miriam"/>
          <w:b/>
          <w:spacing w:val="0"/>
          <w:sz w:val="22"/>
          <w:szCs w:val="24"/>
          <w:rtl/>
        </w:rPr>
        <w:t xml:space="preserve"> "שלעמדת </w:t>
      </w:r>
      <w:proofErr w:type="spellStart"/>
      <w:r>
        <w:rPr>
          <w:rFonts w:ascii="Century" w:hAnsi="Century" w:cs="Miriam"/>
          <w:b/>
          <w:spacing w:val="0"/>
          <w:sz w:val="22"/>
          <w:szCs w:val="24"/>
          <w:rtl/>
        </w:rPr>
        <w:t>המלש"בים</w:t>
      </w:r>
      <w:proofErr w:type="spellEnd"/>
      <w:r>
        <w:rPr>
          <w:rFonts w:ascii="Century" w:hAnsi="Century" w:cs="Miriam"/>
          <w:b/>
          <w:spacing w:val="0"/>
          <w:sz w:val="22"/>
          <w:szCs w:val="24"/>
          <w:rtl/>
        </w:rPr>
        <w:t xml:space="preserve"> החרדים יש 'כוח עליון' שמגביל או אוסר את גיוסם מהטעמים של חופש הדת"</w:t>
      </w:r>
      <w:r>
        <w:rPr>
          <w:rFonts w:ascii="Century" w:hAnsi="Century"/>
          <w:sz w:val="22"/>
          <w:rtl/>
        </w:rPr>
        <w:t>; כי מדובר ב</w:t>
      </w:r>
      <w:r>
        <w:rPr>
          <w:rFonts w:ascii="Century" w:hAnsi="Century" w:cs="Miriam"/>
          <w:b/>
          <w:spacing w:val="0"/>
          <w:sz w:val="22"/>
          <w:szCs w:val="24"/>
          <w:rtl/>
        </w:rPr>
        <w:t>"אכיפה חלקית מטעמי משאבים"</w:t>
      </w:r>
      <w:r>
        <w:rPr>
          <w:rFonts w:ascii="Century" w:hAnsi="Century"/>
          <w:sz w:val="22"/>
          <w:rtl/>
        </w:rPr>
        <w:t>, שאינה עולה כדי הפליה אסורה; וכי אין מקום להתערבות בשיקול הדעת המקצועי של גורמי הצבא. עוד נטען, כי דין העתירות להידחות על הסף, משלל טעמים (ביום 2.2.2025 הוגשה מטעם איחוד הישיבות תגובה מקדמית משלימה, ובה התייחסויות לטענות נוספות שעלו בעתירות).</w:t>
      </w:r>
    </w:p>
    <w:p w14:paraId="1FC7B47C" w14:textId="77777777" w:rsidR="00613BC3" w:rsidRDefault="00613BC3" w:rsidP="00613BC3">
      <w:pPr>
        <w:pStyle w:val="Ruller4"/>
        <w:numPr>
          <w:ilvl w:val="0"/>
          <w:numId w:val="0"/>
        </w:numPr>
      </w:pPr>
    </w:p>
    <w:p w14:paraId="4B63AE3F" w14:textId="77777777" w:rsidR="00613BC3" w:rsidRDefault="00613BC3" w:rsidP="00613BC3">
      <w:pPr>
        <w:pStyle w:val="Ruller4"/>
      </w:pPr>
      <w:r>
        <w:rPr>
          <w:rFonts w:ascii="Century" w:hAnsi="Century"/>
          <w:sz w:val="22"/>
          <w:rtl/>
        </w:rPr>
        <w:t xml:space="preserve">בבוקרו של יום 8.1.2025, שבו התקיים הדיון הראשון בעתירות, הוגשה תגובה מקדמית מטעם משיבי המדינה. זאת, לאחר </w:t>
      </w:r>
      <w:proofErr w:type="spellStart"/>
      <w:r>
        <w:rPr>
          <w:rFonts w:ascii="Century" w:hAnsi="Century"/>
          <w:sz w:val="22"/>
          <w:rtl/>
        </w:rPr>
        <w:t>ארכות</w:t>
      </w:r>
      <w:proofErr w:type="spellEnd"/>
      <w:r>
        <w:rPr>
          <w:rFonts w:ascii="Century" w:hAnsi="Century"/>
          <w:sz w:val="22"/>
          <w:rtl/>
        </w:rPr>
        <w:t xml:space="preserve"> רבות שהתבקשו; גם כאלה שלא. במסגרת התגובה, דוּוח על פעולות שונות שמבצע צה"ל להרחבת היקף המגויסים לשירות צבאי מקרב בני הציבור החרדי, וליצירת התנאים שיאפשרו לבני </w:t>
      </w:r>
      <w:proofErr w:type="spellStart"/>
      <w:r>
        <w:rPr>
          <w:rFonts w:ascii="Century" w:hAnsi="Century"/>
          <w:sz w:val="22"/>
          <w:rtl/>
        </w:rPr>
        <w:t>אוכלוסיה</w:t>
      </w:r>
      <w:proofErr w:type="spellEnd"/>
      <w:r>
        <w:rPr>
          <w:rFonts w:ascii="Century" w:hAnsi="Century"/>
          <w:sz w:val="22"/>
          <w:rtl/>
        </w:rPr>
        <w:t xml:space="preserve"> זו להתגייס, תוך שמירה על אורחות חייהם. בכלל זאת, הודיעו משיבי המדינה על יצירת מסלולי שירות מותאמים במגוון יחידות; הקמת בסיס הכשרה </w:t>
      </w:r>
      <w:proofErr w:type="spellStart"/>
      <w:r>
        <w:rPr>
          <w:rFonts w:ascii="Century" w:hAnsi="Century"/>
          <w:sz w:val="22"/>
          <w:rtl/>
        </w:rPr>
        <w:t>יעודי</w:t>
      </w:r>
      <w:proofErr w:type="spellEnd"/>
      <w:r>
        <w:rPr>
          <w:rFonts w:ascii="Century" w:hAnsi="Century"/>
          <w:sz w:val="22"/>
          <w:rtl/>
        </w:rPr>
        <w:t xml:space="preserve"> לבני הציבור החרדי; פעולות להגברת המודעות לשירות בקרב </w:t>
      </w:r>
      <w:proofErr w:type="spellStart"/>
      <w:r>
        <w:rPr>
          <w:rFonts w:ascii="Century" w:hAnsi="Century"/>
          <w:sz w:val="22"/>
          <w:rtl/>
        </w:rPr>
        <w:t>מלש"בים</w:t>
      </w:r>
      <w:proofErr w:type="spellEnd"/>
      <w:r>
        <w:rPr>
          <w:rFonts w:ascii="Century" w:hAnsi="Century"/>
          <w:sz w:val="22"/>
          <w:rtl/>
        </w:rPr>
        <w:t xml:space="preserve"> חרדים; ביצוע התאמות בהליכי המיון, הקליטה וההתייצבות ועוד.</w:t>
      </w:r>
    </w:p>
    <w:p w14:paraId="4A207F60" w14:textId="77777777" w:rsidR="00613BC3" w:rsidRDefault="00613BC3" w:rsidP="00613BC3">
      <w:pPr>
        <w:pStyle w:val="Ruller4"/>
        <w:numPr>
          <w:ilvl w:val="0"/>
          <w:numId w:val="0"/>
        </w:numPr>
      </w:pPr>
    </w:p>
    <w:p w14:paraId="5BC37392" w14:textId="77777777" w:rsidR="00613BC3" w:rsidRDefault="00613BC3" w:rsidP="00613BC3">
      <w:pPr>
        <w:pStyle w:val="Ruller4"/>
      </w:pPr>
      <w:r>
        <w:rPr>
          <w:rFonts w:ascii="Century" w:hAnsi="Century"/>
          <w:sz w:val="22"/>
          <w:rtl/>
        </w:rPr>
        <w:t xml:space="preserve">כמו כן הובהר בתגובה, כי </w:t>
      </w:r>
      <w:r>
        <w:rPr>
          <w:rFonts w:ascii="Century" w:hAnsi="Century" w:cs="Miriam"/>
          <w:b/>
          <w:spacing w:val="0"/>
          <w:sz w:val="22"/>
          <w:szCs w:val="24"/>
          <w:rtl/>
        </w:rPr>
        <w:t>"</w:t>
      </w:r>
      <w:r>
        <w:rPr>
          <w:rFonts w:ascii="Century" w:hAnsi="Century" w:cs="Miriam"/>
          <w:b/>
          <w:spacing w:val="0"/>
          <w:sz w:val="22"/>
          <w:szCs w:val="24"/>
          <w:u w:val="single"/>
          <w:rtl/>
        </w:rPr>
        <w:t>גיוס חרדים לצה"ל מגלם בעת הזו צורך ביטחוני מובהק</w:t>
      </w:r>
      <w:r>
        <w:rPr>
          <w:rFonts w:ascii="Century" w:hAnsi="Century" w:cs="Miriam"/>
          <w:b/>
          <w:spacing w:val="0"/>
          <w:sz w:val="22"/>
          <w:szCs w:val="24"/>
          <w:rtl/>
        </w:rPr>
        <w:t xml:space="preserve">" </w:t>
      </w:r>
      <w:r>
        <w:rPr>
          <w:rFonts w:ascii="Century" w:hAnsi="Century"/>
          <w:sz w:val="22"/>
          <w:rtl/>
        </w:rPr>
        <w:t xml:space="preserve">(ההדגשה במקור). עוד צוין, כי בשנת הגיוס 2024, המסתיימת ביום 30.6.2025, יוכל צה"ל לקלוט לשורותיו כ-3,000 חרדים, נוסף על כ-1,800 חרדים שמתגייסים מדי שנה בממוצע (כ-4,800 בסך </w:t>
      </w:r>
      <w:proofErr w:type="spellStart"/>
      <w:r>
        <w:rPr>
          <w:rFonts w:ascii="Century" w:hAnsi="Century"/>
          <w:sz w:val="22"/>
          <w:rtl/>
        </w:rPr>
        <w:t>הכל</w:t>
      </w:r>
      <w:proofErr w:type="spellEnd"/>
      <w:r>
        <w:rPr>
          <w:rFonts w:ascii="Century" w:hAnsi="Century"/>
          <w:sz w:val="22"/>
          <w:rtl/>
        </w:rPr>
        <w:t xml:space="preserve">); כי בשנת הגיוס הבאה (שנת הגיוס 2025, המתחילה ביום 1.7.2025) יכולת הקליטה צפויה לגדול בכ-20%; וכי לאחר מכן, </w:t>
      </w:r>
      <w:r>
        <w:rPr>
          <w:rFonts w:ascii="Century" w:hAnsi="Century" w:cs="Miriam"/>
          <w:b/>
          <w:spacing w:val="0"/>
          <w:sz w:val="22"/>
          <w:szCs w:val="24"/>
          <w:rtl/>
        </w:rPr>
        <w:t>"לא צפויה להיות כל מגבלה על יכולת הקליטה של בני הציבור החרדי לצה"ל"</w:t>
      </w:r>
      <w:r>
        <w:rPr>
          <w:rFonts w:ascii="Century" w:hAnsi="Century"/>
          <w:sz w:val="22"/>
          <w:rtl/>
        </w:rPr>
        <w:t xml:space="preserve">. משיבי המדינה הוסיפו </w:t>
      </w:r>
      <w:r>
        <w:rPr>
          <w:rFonts w:ascii="Century" w:hAnsi="Century"/>
          <w:sz w:val="22"/>
          <w:rtl/>
        </w:rPr>
        <w:lastRenderedPageBreak/>
        <w:t xml:space="preserve">ודיווחו, כי בעוד שבעת תחולתו של פרק ג'1 לחוק שירות בטחון, </w:t>
      </w:r>
      <w:r>
        <w:rPr>
          <w:rFonts w:ascii="Century" w:hAnsi="Century" w:cs="Miriam"/>
          <w:b/>
          <w:spacing w:val="0"/>
          <w:sz w:val="22"/>
          <w:szCs w:val="24"/>
          <w:rtl/>
        </w:rPr>
        <w:t>"בני הציבור החרדי זומנו לביצוע צו ראשון מותאם, שעיקרו בהליכי בדיקה ורישום מקוצרים, והצהרה כי הם מתכוונים להמשיך בלימודיהם התורניים"</w:t>
      </w:r>
      <w:r>
        <w:rPr>
          <w:rFonts w:ascii="Century" w:hAnsi="Century"/>
          <w:sz w:val="22"/>
          <w:rtl/>
        </w:rPr>
        <w:t xml:space="preserve">, הרי שהיום מזומנים בני הציבור החרדי לצו ראשון </w:t>
      </w:r>
      <w:r>
        <w:rPr>
          <w:rFonts w:ascii="Century" w:hAnsi="Century" w:cs="Miriam"/>
          <w:b/>
          <w:spacing w:val="0"/>
          <w:sz w:val="22"/>
          <w:szCs w:val="24"/>
          <w:rtl/>
        </w:rPr>
        <w:t>"ככל מיועד אחר לשירות ביטחון"</w:t>
      </w:r>
      <w:r>
        <w:rPr>
          <w:rFonts w:ascii="Century" w:hAnsi="Century"/>
          <w:sz w:val="22"/>
          <w:rtl/>
        </w:rPr>
        <w:t xml:space="preserve">. בנוסף צוין, כי במהלך השליש הראשון של שנת הגיוס 2024 – קרי, מיולי עד אוקטובר 2024 – נשלח צו ראשון לכ-3,000 </w:t>
      </w:r>
      <w:proofErr w:type="spellStart"/>
      <w:r>
        <w:rPr>
          <w:rFonts w:ascii="Century" w:hAnsi="Century"/>
          <w:sz w:val="22"/>
          <w:rtl/>
        </w:rPr>
        <w:t>מלש"בים</w:t>
      </w:r>
      <w:proofErr w:type="spellEnd"/>
      <w:r>
        <w:rPr>
          <w:rFonts w:ascii="Century" w:hAnsi="Century"/>
          <w:sz w:val="22"/>
          <w:rtl/>
        </w:rPr>
        <w:t xml:space="preserve"> חרדים, אולם מתוכם התייצבו 413 </w:t>
      </w:r>
      <w:proofErr w:type="spellStart"/>
      <w:r>
        <w:rPr>
          <w:rFonts w:ascii="Century" w:hAnsi="Century"/>
          <w:sz w:val="22"/>
          <w:rtl/>
        </w:rPr>
        <w:t>מלש"בים</w:t>
      </w:r>
      <w:proofErr w:type="spellEnd"/>
      <w:r>
        <w:rPr>
          <w:rFonts w:ascii="Century" w:hAnsi="Century"/>
          <w:sz w:val="22"/>
          <w:rtl/>
        </w:rPr>
        <w:t xml:space="preserve"> בלבד; וכי בשליש השני נשלחו כ-7,000 צווים, אשר טרם הגיע מועד ההתייצבות לרובם.</w:t>
      </w:r>
      <w:r>
        <w:rPr>
          <w:rtl/>
        </w:rPr>
        <w:t xml:space="preserve"> עוד הוסיפו משיבי המדינה, כי מתקיימים דיוני מעקב עיתיים בראשות היועצת המשפטית לממשלה, ובהשתתפות כלל גורמי המקצוע הרלבנטיים, לשם קידום הטיפול בסוגיה, ויישׂום פסק הדין ב</w:t>
      </w:r>
      <w:r>
        <w:rPr>
          <w:rFonts w:ascii="Century" w:hAnsi="Century" w:cs="Miriam"/>
          <w:b/>
          <w:spacing w:val="0"/>
          <w:sz w:val="22"/>
          <w:szCs w:val="24"/>
          <w:rtl/>
        </w:rPr>
        <w:t>בג"ץ 6198/23</w:t>
      </w:r>
      <w:r>
        <w:rPr>
          <w:rtl/>
        </w:rPr>
        <w:t xml:space="preserve">. </w:t>
      </w:r>
    </w:p>
    <w:p w14:paraId="74357EE1" w14:textId="77777777" w:rsidR="00613BC3" w:rsidRDefault="00613BC3" w:rsidP="00613BC3">
      <w:pPr>
        <w:pStyle w:val="Ruller4"/>
        <w:numPr>
          <w:ilvl w:val="0"/>
          <w:numId w:val="0"/>
        </w:numPr>
      </w:pPr>
    </w:p>
    <w:p w14:paraId="43516B95" w14:textId="77777777" w:rsidR="00613BC3" w:rsidRDefault="00613BC3" w:rsidP="00613BC3">
      <w:pPr>
        <w:pStyle w:val="Ruller4"/>
      </w:pPr>
      <w:r>
        <w:rPr>
          <w:rtl/>
        </w:rPr>
        <w:t xml:space="preserve">בנוסף צוין בתגובה, כי לגבי </w:t>
      </w:r>
      <w:proofErr w:type="spellStart"/>
      <w:r>
        <w:rPr>
          <w:rtl/>
        </w:rPr>
        <w:t>מלש"ב</w:t>
      </w:r>
      <w:proofErr w:type="spellEnd"/>
      <w:r>
        <w:rPr>
          <w:rtl/>
        </w:rPr>
        <w:t xml:space="preserve"> חרדי שקיבל צו התייצבות אישי ולא התייצב להשלמת הליכי הצו הראשון, צפויים להינקט </w:t>
      </w:r>
      <w:r>
        <w:rPr>
          <w:rFonts w:cs="Miriam"/>
          <w:b/>
          <w:spacing w:val="0"/>
          <w:szCs w:val="24"/>
          <w:rtl/>
        </w:rPr>
        <w:t>"כל הצעדים החוקיים העומדים לרשות הצבא על מנת להבטיח התייצבות"</w:t>
      </w:r>
      <w:r>
        <w:rPr>
          <w:rtl/>
        </w:rPr>
        <w:t xml:space="preserve">. נוכח חשיבותם להמשך הדיון, אביא את הדברים כלשונם. כך, </w:t>
      </w:r>
      <w:proofErr w:type="spellStart"/>
      <w:r>
        <w:rPr>
          <w:rtl/>
        </w:rPr>
        <w:t>מלש"ב</w:t>
      </w:r>
      <w:proofErr w:type="spellEnd"/>
      <w:r>
        <w:rPr>
          <w:rtl/>
        </w:rPr>
        <w:t xml:space="preserve"> שלא התייצב לצו ראשון, </w:t>
      </w:r>
      <w:r>
        <w:rPr>
          <w:rFonts w:cs="Miriam"/>
          <w:b/>
          <w:spacing w:val="0"/>
          <w:szCs w:val="24"/>
          <w:rtl/>
        </w:rPr>
        <w:t>"י</w:t>
      </w:r>
      <w:r>
        <w:rPr>
          <w:rFonts w:ascii="Century" w:hAnsi="Century" w:cs="Miriam"/>
          <w:b/>
          <w:spacing w:val="0"/>
          <w:sz w:val="22"/>
          <w:szCs w:val="24"/>
          <w:rtl/>
        </w:rPr>
        <w:t xml:space="preserve">זומן פעם נוספת להשלמת הליכי הצו הראשון; אם הוא לא יתייצב גם לזימון השני, ייעשו ניסיונות לאתר אותו באופן טלפוני; ולאחר מכן, אם הוא לא יתייצב, בחלוף פרק הזמן הקבוע בנהלי רשויות הגיוס, יישלח אליו מכתב המזהיר כי אם לא יתייצב להשלמת הליכי צו ראשון </w:t>
      </w:r>
      <w:r>
        <w:rPr>
          <w:rFonts w:ascii="Century" w:hAnsi="Century"/>
          <w:sz w:val="22"/>
          <w:rtl/>
        </w:rPr>
        <w:t>–</w:t>
      </w:r>
      <w:r>
        <w:rPr>
          <w:rFonts w:ascii="Century" w:hAnsi="Century" w:cs="Miriam"/>
          <w:b/>
          <w:spacing w:val="0"/>
          <w:sz w:val="22"/>
          <w:szCs w:val="24"/>
          <w:rtl/>
        </w:rPr>
        <w:t xml:space="preserve"> יוצא בעניינו של </w:t>
      </w:r>
      <w:proofErr w:type="spellStart"/>
      <w:r>
        <w:rPr>
          <w:rFonts w:ascii="Century" w:hAnsi="Century" w:cs="Miriam"/>
          <w:b/>
          <w:spacing w:val="0"/>
          <w:sz w:val="22"/>
          <w:szCs w:val="24"/>
          <w:rtl/>
        </w:rPr>
        <w:t>המלש"ב</w:t>
      </w:r>
      <w:proofErr w:type="spellEnd"/>
      <w:r>
        <w:rPr>
          <w:rFonts w:ascii="Century" w:hAnsi="Century" w:cs="Miriam"/>
          <w:b/>
          <w:spacing w:val="0"/>
          <w:sz w:val="22"/>
          <w:szCs w:val="24"/>
          <w:rtl/>
        </w:rPr>
        <w:t xml:space="preserve"> צו התייצבות לשירות ביטחון מכוח סעיף 12 לחוק שירות בטחון, המאפשר לגייס את </w:t>
      </w:r>
      <w:proofErr w:type="spellStart"/>
      <w:r>
        <w:rPr>
          <w:rFonts w:ascii="Century" w:hAnsi="Century" w:cs="Miriam"/>
          <w:b/>
          <w:spacing w:val="0"/>
          <w:sz w:val="22"/>
          <w:szCs w:val="24"/>
          <w:rtl/>
        </w:rPr>
        <w:t>המלש"ב</w:t>
      </w:r>
      <w:proofErr w:type="spellEnd"/>
      <w:r>
        <w:rPr>
          <w:rFonts w:ascii="Century" w:hAnsi="Century" w:cs="Miriam"/>
          <w:b/>
          <w:spacing w:val="0"/>
          <w:sz w:val="22"/>
          <w:szCs w:val="24"/>
          <w:rtl/>
        </w:rPr>
        <w:t xml:space="preserve"> לשירות צבאי אף שכושרו הרפואי טרם נקבע. אם </w:t>
      </w:r>
      <w:proofErr w:type="spellStart"/>
      <w:r>
        <w:rPr>
          <w:rFonts w:ascii="Century" w:hAnsi="Century" w:cs="Miriam"/>
          <w:b/>
          <w:spacing w:val="0"/>
          <w:sz w:val="22"/>
          <w:szCs w:val="24"/>
          <w:rtl/>
        </w:rPr>
        <w:t>המלש"ב</w:t>
      </w:r>
      <w:proofErr w:type="spellEnd"/>
      <w:r>
        <w:rPr>
          <w:rFonts w:ascii="Century" w:hAnsi="Century" w:cs="Miriam"/>
          <w:b/>
          <w:spacing w:val="0"/>
          <w:sz w:val="22"/>
          <w:szCs w:val="24"/>
          <w:rtl/>
        </w:rPr>
        <w:t xml:space="preserve"> לא יתייצב על אף האמור במכתב ההתראה </w:t>
      </w:r>
      <w:r>
        <w:rPr>
          <w:rFonts w:ascii="Century" w:hAnsi="Century"/>
          <w:sz w:val="22"/>
          <w:rtl/>
        </w:rPr>
        <w:t>–</w:t>
      </w:r>
      <w:r>
        <w:rPr>
          <w:rFonts w:ascii="Century" w:hAnsi="Century" w:cs="Miriam"/>
          <w:b/>
          <w:spacing w:val="0"/>
          <w:sz w:val="22"/>
          <w:szCs w:val="24"/>
          <w:rtl/>
        </w:rPr>
        <w:t xml:space="preserve"> יוצא בעניינו צו גיוס (המכונה 'צו 12') ובהמשך, אם לא יתייצב, הוא יוכרז כ'משתמט'. לאחר הוצאת צו 12, ככלל, פרטי </w:t>
      </w:r>
      <w:proofErr w:type="spellStart"/>
      <w:r>
        <w:rPr>
          <w:rFonts w:ascii="Century" w:hAnsi="Century" w:cs="Miriam"/>
          <w:b/>
          <w:spacing w:val="0"/>
          <w:sz w:val="22"/>
          <w:szCs w:val="24"/>
          <w:rtl/>
        </w:rPr>
        <w:t>המלש"בים</w:t>
      </w:r>
      <w:proofErr w:type="spellEnd"/>
      <w:r>
        <w:rPr>
          <w:rFonts w:ascii="Century" w:hAnsi="Century" w:cs="Miriam"/>
          <w:b/>
          <w:spacing w:val="0"/>
          <w:sz w:val="22"/>
          <w:szCs w:val="24"/>
          <w:rtl/>
        </w:rPr>
        <w:t xml:space="preserve"> עוברים למשטרת ישראל לטובת אכיפת חובת ההתייצבות (בהתאם לסעיף 52 לחוק), וכן עוברים לרשות האוכלוסין וההגירה לצורך אכיפה של איסור יציאה מהארץ ללא קבלת היתר של רשויות הגיוס, בהתאם לסמכות המוקנית לכך בדין"</w:t>
      </w:r>
      <w:r>
        <w:rPr>
          <w:rFonts w:ascii="Century" w:hAnsi="Century"/>
          <w:sz w:val="22"/>
          <w:rtl/>
        </w:rPr>
        <w:t xml:space="preserve">. </w:t>
      </w:r>
      <w:r>
        <w:rPr>
          <w:rtl/>
        </w:rPr>
        <w:t xml:space="preserve">  </w:t>
      </w:r>
    </w:p>
    <w:p w14:paraId="2599180F" w14:textId="77777777" w:rsidR="00613BC3" w:rsidRDefault="00613BC3" w:rsidP="00613BC3">
      <w:pPr>
        <w:pStyle w:val="Ruller4"/>
        <w:numPr>
          <w:ilvl w:val="0"/>
          <w:numId w:val="0"/>
        </w:numPr>
      </w:pPr>
    </w:p>
    <w:p w14:paraId="7D3CC49F" w14:textId="77777777" w:rsidR="00613BC3" w:rsidRDefault="00613BC3" w:rsidP="00613BC3">
      <w:pPr>
        <w:pStyle w:val="Ruller4"/>
      </w:pPr>
      <w:r>
        <w:rPr>
          <w:rtl/>
        </w:rPr>
        <w:t xml:space="preserve">בתגובה דוּוח כי בחודש יולי 2024 גובשה רשימת תבחינים, שלאורם נקבע סדר העדיפויות להוצאת צו ראשון, ובהמשך גם לגיוס לשירות ביטחון. זאת, במטרה לזמן בשלב ראשון את </w:t>
      </w:r>
      <w:proofErr w:type="spellStart"/>
      <w:r>
        <w:rPr>
          <w:rtl/>
        </w:rPr>
        <w:t>המלש"בים</w:t>
      </w:r>
      <w:proofErr w:type="spellEnd"/>
      <w:r>
        <w:rPr>
          <w:rtl/>
        </w:rPr>
        <w:t xml:space="preserve"> שהסיכוי כי יתגייסו, להערכת גורמי הצבא, גבוה יותר. השימוש בתבחינים נעשה, כך צוין, </w:t>
      </w:r>
      <w:r>
        <w:rPr>
          <w:rFonts w:cs="Miriam"/>
          <w:b/>
          <w:spacing w:val="0"/>
          <w:szCs w:val="24"/>
          <w:rtl/>
        </w:rPr>
        <w:t>"</w:t>
      </w:r>
      <w:r>
        <w:rPr>
          <w:rFonts w:ascii="Century" w:hAnsi="Century" w:cs="Miriam"/>
          <w:b/>
          <w:spacing w:val="0"/>
          <w:sz w:val="22"/>
          <w:szCs w:val="24"/>
          <w:rtl/>
        </w:rPr>
        <w:t>בהתאם לעמדת גורמי המקצוע בצה"ל בלבד, ובניגוד לעמדת הגורמים הכלכליים הרלוונטיים במשרד האוצר"</w:t>
      </w:r>
      <w:r>
        <w:rPr>
          <w:rFonts w:ascii="Century" w:hAnsi="Century"/>
          <w:sz w:val="22"/>
          <w:rtl/>
        </w:rPr>
        <w:t xml:space="preserve">; ותוך שהודגש על-ידי הייעוץ המשפטי לממשלה, כי השימוש בתבחינים מעורר קושי, בפרט במונחי פגיעה בשוויון. במעלה הדרך, הופסק כליל השימוש בתבחינים, לכן לא ארחיב לגבי סוגיה זו (עתירה </w:t>
      </w:r>
      <w:r>
        <w:rPr>
          <w:rFonts w:ascii="Century" w:hAnsi="Century"/>
          <w:sz w:val="22"/>
          <w:rtl/>
        </w:rPr>
        <w:lastRenderedPageBreak/>
        <w:t>שהוגשה בעניין זה נמחקה, נוכח השינוי שחל במדיניות הצבא; ראו</w:t>
      </w:r>
      <w:r>
        <w:rPr>
          <w:rFonts w:ascii="Century" w:hAnsi="Century"/>
          <w:spacing w:val="0"/>
          <w:sz w:val="22"/>
          <w:rtl/>
        </w:rPr>
        <w:t>: בג"ץ</w:t>
      </w:r>
      <w:r>
        <w:rPr>
          <w:rFonts w:ascii="Century" w:hAnsi="Century"/>
          <w:sz w:val="22"/>
          <w:rtl/>
        </w:rPr>
        <w:t xml:space="preserve"> </w:t>
      </w:r>
      <w:r>
        <w:rPr>
          <w:rFonts w:ascii="Century" w:hAnsi="Century"/>
          <w:spacing w:val="0"/>
          <w:sz w:val="22"/>
          <w:rtl/>
        </w:rPr>
        <w:t>34177-02-25</w:t>
      </w:r>
      <w:r>
        <w:rPr>
          <w:rFonts w:ascii="Century" w:hAnsi="Century"/>
          <w:sz w:val="22"/>
          <w:rtl/>
        </w:rPr>
        <w:t xml:space="preserve"> </w:t>
      </w:r>
      <w:r>
        <w:rPr>
          <w:rFonts w:ascii="Century" w:hAnsi="Century" w:cs="Miriam"/>
          <w:b/>
          <w:spacing w:val="0"/>
          <w:sz w:val="22"/>
          <w:szCs w:val="24"/>
          <w:rtl/>
        </w:rPr>
        <w:t>אמת ליעקב בישראל בע"מ נ' שר הביטחון</w:t>
      </w:r>
      <w:r>
        <w:rPr>
          <w:rFonts w:ascii="Century" w:hAnsi="Century"/>
          <w:sz w:val="22"/>
          <w:rtl/>
        </w:rPr>
        <w:t xml:space="preserve"> (27.8.2025)).   </w:t>
      </w:r>
      <w:r>
        <w:rPr>
          <w:rtl/>
        </w:rPr>
        <w:t xml:space="preserve">  </w:t>
      </w:r>
    </w:p>
    <w:p w14:paraId="1F500B6A" w14:textId="77777777" w:rsidR="00613BC3" w:rsidRDefault="00613BC3" w:rsidP="00613BC3">
      <w:pPr>
        <w:pStyle w:val="Ruller41"/>
        <w:rPr>
          <w:rtl/>
        </w:rPr>
      </w:pPr>
    </w:p>
    <w:p w14:paraId="5CD29A87" w14:textId="77777777" w:rsidR="00613BC3" w:rsidRDefault="00613BC3" w:rsidP="00613BC3">
      <w:pPr>
        <w:pStyle w:val="Ruller4"/>
        <w:rPr>
          <w:rtl/>
        </w:rPr>
      </w:pPr>
      <w:r>
        <w:rPr>
          <w:rtl/>
        </w:rPr>
        <w:t>במישור המשפטי הובהר, כנקודת מוצא לדיון, כי משיבי המדינה אינם חולקים על כך ש</w:t>
      </w:r>
      <w:r>
        <w:rPr>
          <w:rFonts w:ascii="Century" w:hAnsi="Century" w:cs="Miriam"/>
          <w:b/>
          <w:spacing w:val="0"/>
          <w:sz w:val="22"/>
          <w:szCs w:val="24"/>
          <w:rtl/>
        </w:rPr>
        <w:t>"על-פי המצב החוקי הקיים, ובהתאם לפסק הדין בנושא גיוס בני הישיבות, אין בסיס חוקי להמשך מתן פטור גורף לתלמידי הישיבות ולהבחנה בינם לבין יתר חייבי הגיוס"</w:t>
      </w:r>
      <w:r>
        <w:rPr>
          <w:rFonts w:ascii="Century" w:hAnsi="Century"/>
          <w:sz w:val="22"/>
          <w:rtl/>
        </w:rPr>
        <w:t xml:space="preserve">; כי לצה"ל </w:t>
      </w:r>
      <w:r>
        <w:rPr>
          <w:rFonts w:ascii="Century" w:hAnsi="Century" w:cs="Miriam"/>
          <w:b/>
          <w:spacing w:val="0"/>
          <w:sz w:val="22"/>
          <w:szCs w:val="24"/>
          <w:rtl/>
        </w:rPr>
        <w:t>"צורך קריטי בחיילים"</w:t>
      </w:r>
      <w:r>
        <w:rPr>
          <w:rFonts w:ascii="Century" w:hAnsi="Century"/>
          <w:sz w:val="22"/>
          <w:rtl/>
        </w:rPr>
        <w:t xml:space="preserve">; וכי </w:t>
      </w:r>
      <w:r>
        <w:rPr>
          <w:rFonts w:ascii="Century" w:hAnsi="Century" w:cs="Miriam"/>
          <w:b/>
          <w:spacing w:val="0"/>
          <w:sz w:val="22"/>
          <w:szCs w:val="24"/>
          <w:rtl/>
        </w:rPr>
        <w:t>"אין חולק בדבר חשיבות ערך השוויון בגיוס לצה"ל"</w:t>
      </w:r>
      <w:r>
        <w:rPr>
          <w:rFonts w:ascii="Century" w:hAnsi="Century"/>
          <w:sz w:val="22"/>
          <w:rtl/>
        </w:rPr>
        <w:t xml:space="preserve">. לצד זאת נטען, כי ישנה חשיבות יתרה לכך שהשינוי במדיניות הגיוס של </w:t>
      </w:r>
      <w:proofErr w:type="spellStart"/>
      <w:r>
        <w:rPr>
          <w:rFonts w:ascii="Century" w:hAnsi="Century"/>
          <w:sz w:val="22"/>
          <w:rtl/>
        </w:rPr>
        <w:t>מלש"בים</w:t>
      </w:r>
      <w:proofErr w:type="spellEnd"/>
      <w:r>
        <w:rPr>
          <w:rFonts w:ascii="Century" w:hAnsi="Century"/>
          <w:sz w:val="22"/>
          <w:rtl/>
        </w:rPr>
        <w:t xml:space="preserve"> חרדים יתבצע בשׂוֹם שכל, בהדרגתיות, ותוך התחשבות ביכולות הקליטה של צה"ל. בתוך כך הודגש, כי לצבא יכולת היערכות מוגבלת בכל הנוגע לביצוע הליכי צו ראשון, מה שמשפיע על היקף הזימונים המוּצאים על-ידו; כמו גם יכולת מוגבלת לקלוט </w:t>
      </w:r>
      <w:proofErr w:type="spellStart"/>
      <w:r>
        <w:rPr>
          <w:rFonts w:ascii="Century" w:hAnsi="Century"/>
          <w:sz w:val="22"/>
          <w:rtl/>
        </w:rPr>
        <w:t>מלש"בים</w:t>
      </w:r>
      <w:proofErr w:type="spellEnd"/>
      <w:r>
        <w:rPr>
          <w:rFonts w:ascii="Century" w:hAnsi="Century"/>
          <w:sz w:val="22"/>
          <w:rtl/>
        </w:rPr>
        <w:t xml:space="preserve"> חרדים לשירות ביטחון בפועל, בשים לב למאפייני האוכלוסייה ולתשתיות הקיימות.</w:t>
      </w:r>
    </w:p>
    <w:p w14:paraId="167F0FA7" w14:textId="77777777" w:rsidR="00613BC3" w:rsidRDefault="00613BC3" w:rsidP="00613BC3">
      <w:pPr>
        <w:pStyle w:val="Ruller41"/>
        <w:rPr>
          <w:rFonts w:ascii="Century" w:hAnsi="Century" w:cs="Miriam"/>
          <w:b/>
          <w:spacing w:val="0"/>
          <w:szCs w:val="24"/>
        </w:rPr>
      </w:pPr>
    </w:p>
    <w:p w14:paraId="23882EA5" w14:textId="77777777" w:rsidR="00613BC3" w:rsidRDefault="00613BC3" w:rsidP="00613BC3">
      <w:pPr>
        <w:pStyle w:val="Ruller4"/>
        <w:rPr>
          <w:rtl/>
        </w:rPr>
      </w:pPr>
      <w:r>
        <w:rPr>
          <w:rtl/>
        </w:rPr>
        <w:t xml:space="preserve">ביני וביני הוגשו 4 בקשות הצטרפות להליך, הן על-ידי קבוצת </w:t>
      </w:r>
      <w:proofErr w:type="spellStart"/>
      <w:r>
        <w:rPr>
          <w:rtl/>
        </w:rPr>
        <w:t>מלש"בים</w:t>
      </w:r>
      <w:proofErr w:type="spellEnd"/>
      <w:r>
        <w:rPr>
          <w:rtl/>
        </w:rPr>
        <w:t xml:space="preserve">; הן על-ידי גופים שונים, בכלל זאת עמותת </w:t>
      </w:r>
      <w:r>
        <w:rPr>
          <w:rFonts w:ascii="Century" w:hAnsi="Century"/>
          <w:sz w:val="22"/>
          <w:rtl/>
        </w:rPr>
        <w:t xml:space="preserve">אחים ואחיות לנשק – למען הדמוקרטיה, תנועת </w:t>
      </w:r>
      <w:proofErr w:type="spellStart"/>
      <w:r>
        <w:rPr>
          <w:rFonts w:ascii="Century" w:hAnsi="Century"/>
          <w:sz w:val="22"/>
          <w:rtl/>
        </w:rPr>
        <w:t>אמהות</w:t>
      </w:r>
      <w:proofErr w:type="spellEnd"/>
      <w:r>
        <w:rPr>
          <w:rFonts w:ascii="Century" w:hAnsi="Century"/>
          <w:sz w:val="22"/>
          <w:rtl/>
        </w:rPr>
        <w:t xml:space="preserve"> בחזית, שדולת הנשים בישראל</w:t>
      </w:r>
      <w:r>
        <w:rPr>
          <w:rtl/>
        </w:rPr>
        <w:t xml:space="preserve"> ועמותות נוספות. מבקשי ההצטרפות עמדו כולם על הצורך בנקיטת פעולות אפקטיביות ליישׂוּם פסק הדין ב</w:t>
      </w:r>
      <w:r>
        <w:rPr>
          <w:rFonts w:ascii="Century" w:hAnsi="Century" w:cs="Miriam"/>
          <w:b/>
          <w:spacing w:val="0"/>
          <w:sz w:val="22"/>
          <w:szCs w:val="24"/>
          <w:rtl/>
        </w:rPr>
        <w:t>בג"ץ 6198/23</w:t>
      </w:r>
      <w:r>
        <w:rPr>
          <w:rFonts w:ascii="Century" w:hAnsi="Century"/>
          <w:sz w:val="22"/>
          <w:rtl/>
        </w:rPr>
        <w:t xml:space="preserve">. </w:t>
      </w:r>
    </w:p>
    <w:p w14:paraId="3A723387" w14:textId="77777777" w:rsidR="00613BC3" w:rsidRDefault="00613BC3" w:rsidP="00613BC3">
      <w:pPr>
        <w:pStyle w:val="Ruller41"/>
        <w:rPr>
          <w:rFonts w:ascii="Century" w:hAnsi="Century" w:cs="Miriam"/>
          <w:b/>
          <w:spacing w:val="0"/>
          <w:szCs w:val="24"/>
          <w:rtl/>
        </w:rPr>
      </w:pPr>
    </w:p>
    <w:p w14:paraId="4A2F95BD" w14:textId="77777777" w:rsidR="00613BC3" w:rsidRDefault="00613BC3" w:rsidP="00613BC3">
      <w:pPr>
        <w:pStyle w:val="Ruller4"/>
      </w:pPr>
      <w:r>
        <w:rPr>
          <w:rFonts w:ascii="Century" w:hAnsi="Century"/>
          <w:sz w:val="22"/>
          <w:rtl/>
        </w:rPr>
        <w:t>כאמור,</w:t>
      </w:r>
      <w:r>
        <w:rPr>
          <w:rtl/>
        </w:rPr>
        <w:t xml:space="preserve"> ביום 8.1.2025, התקיים הדיון הראשון בעתירות (לפני השופטת </w:t>
      </w:r>
      <w:r>
        <w:rPr>
          <w:rFonts w:ascii="Century" w:hAnsi="Century" w:cs="Miriam"/>
          <w:b/>
          <w:spacing w:val="0"/>
          <w:sz w:val="22"/>
          <w:szCs w:val="24"/>
          <w:rtl/>
        </w:rPr>
        <w:t>ד' ברק-ארז</w:t>
      </w:r>
      <w:r>
        <w:rPr>
          <w:rFonts w:ascii="Century" w:hAnsi="Century"/>
          <w:sz w:val="22"/>
          <w:rtl/>
        </w:rPr>
        <w:t xml:space="preserve">, השופט </w:t>
      </w:r>
      <w:r>
        <w:rPr>
          <w:rFonts w:ascii="Century" w:hAnsi="Century" w:cs="Miriam"/>
          <w:b/>
          <w:spacing w:val="0"/>
          <w:sz w:val="22"/>
          <w:szCs w:val="24"/>
          <w:rtl/>
        </w:rPr>
        <w:t>ד' מינץ</w:t>
      </w:r>
      <w:r>
        <w:rPr>
          <w:rFonts w:ascii="Century" w:hAnsi="Century"/>
          <w:sz w:val="22"/>
          <w:rtl/>
        </w:rPr>
        <w:t xml:space="preserve"> </w:t>
      </w:r>
      <w:proofErr w:type="spellStart"/>
      <w:r>
        <w:rPr>
          <w:rFonts w:ascii="Century" w:hAnsi="Century"/>
          <w:sz w:val="22"/>
          <w:rtl/>
        </w:rPr>
        <w:t>והח"מ</w:t>
      </w:r>
      <w:proofErr w:type="spellEnd"/>
      <w:r>
        <w:rPr>
          <w:rFonts w:ascii="Century" w:hAnsi="Century"/>
          <w:sz w:val="22"/>
          <w:rtl/>
        </w:rPr>
        <w:t xml:space="preserve">). לאחר הדיון, בהחלטה מיום 10.1.2025, התבקשו משיבי המדינה להגיש הודעה מעדכנת, שתתייחס, בין השאר, להיבטים הבאים: </w:t>
      </w:r>
    </w:p>
    <w:p w14:paraId="1E904961" w14:textId="77777777" w:rsidR="00613BC3" w:rsidRDefault="00613BC3" w:rsidP="00613BC3">
      <w:pPr>
        <w:pStyle w:val="Ruller4"/>
        <w:numPr>
          <w:ilvl w:val="0"/>
          <w:numId w:val="0"/>
        </w:numPr>
        <w:rPr>
          <w:rFonts w:ascii="Century" w:hAnsi="Century"/>
          <w:sz w:val="22"/>
        </w:rPr>
      </w:pPr>
    </w:p>
    <w:p w14:paraId="205BE049"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t>"1. האם מעתה ואילך יישלחו צווי גיוס לחייבי גיוס מן המגזר החרדי תוך התייחסות לנתוני גיל בלבד?</w:t>
      </w:r>
    </w:p>
    <w:p w14:paraId="7FB82662"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t>2. האם בכוונת המשיבים להיערך למשלוח צווי התייצבות (הידועים כ'צו ראשון') ללא הבחנה, כבר בשנת הגיוס הנוכחית</w:t>
      </w:r>
      <w:r>
        <w:rPr>
          <w:rtl/>
        </w:rPr>
        <w:t xml:space="preserve"> – </w:t>
      </w:r>
      <w:r>
        <w:rPr>
          <w:rFonts w:ascii="Century" w:hAnsi="Century" w:cs="Miriam"/>
          <w:b/>
          <w:spacing w:val="0"/>
          <w:szCs w:val="24"/>
          <w:rtl/>
        </w:rPr>
        <w:t>על מנת שקביעת סדרי העדיפות בגיוס תיעשה על סמך הנתונים האישיים של המועמדים לגיוס, כפי שיובהרו במסגרת זו?</w:t>
      </w:r>
    </w:p>
    <w:p w14:paraId="56A583F2"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t>3. באיזו מידה קיימת היערכות לשימוש באמצעי אכיפה שונים כלפי מועמדים לגיוס שאינם מתייצבים להליכי 'צו ראשון' וכלפי חייבי גיוס שאינם מתייצבים לשירות סדיר, כדוגמת העברת נתוניהם לרשות האוכלוסין וההגירה, באופן שיאפשר אכיפה בשלב ביקורת הגבולות?</w:t>
      </w:r>
    </w:p>
    <w:p w14:paraId="26C3CEFB"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t>4. מהי עמדתם של המשיבים ביחס לחייבי הגיוס שלא נשלחים אליהם צווים במהלך שתי שנות הגיוס הקרובות? האם הם ייכללו בגדר מי שיישלחו אליהם צווים החל בחודש יולי 2026?</w:t>
      </w:r>
    </w:p>
    <w:p w14:paraId="40E83485"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lastRenderedPageBreak/>
        <w:t xml:space="preserve">5. מהם הצעדים הנוספים שנעשים באשר למיצוי פוטנציאל המשרתים במילואים בעת הזאת, בשים לב לצרכי השעה?" </w:t>
      </w:r>
      <w:r>
        <w:rPr>
          <w:rFonts w:ascii="Century" w:hAnsi="Century" w:cs="Miriam"/>
          <w:b/>
          <w:spacing w:val="0"/>
          <w:szCs w:val="24"/>
        </w:rPr>
        <w:t xml:space="preserve">  </w:t>
      </w:r>
    </w:p>
    <w:p w14:paraId="2733BB25" w14:textId="77777777" w:rsidR="00613BC3" w:rsidRDefault="00613BC3" w:rsidP="00613BC3">
      <w:pPr>
        <w:pStyle w:val="Ruller5"/>
        <w:rPr>
          <w:rFonts w:ascii="Century" w:hAnsi="Century" w:cs="Miriam"/>
          <w:b/>
          <w:spacing w:val="0"/>
          <w:szCs w:val="24"/>
          <w:rtl/>
        </w:rPr>
      </w:pPr>
      <w:r>
        <w:rPr>
          <w:rFonts w:ascii="Century" w:hAnsi="Century" w:cs="Miriam"/>
          <w:b/>
          <w:spacing w:val="0"/>
          <w:szCs w:val="24"/>
          <w:rtl/>
        </w:rPr>
        <w:t xml:space="preserve">  </w:t>
      </w:r>
    </w:p>
    <w:p w14:paraId="069F3257" w14:textId="77777777" w:rsidR="00613BC3" w:rsidRDefault="00613BC3" w:rsidP="00613BC3">
      <w:pPr>
        <w:pStyle w:val="Ruller4"/>
        <w:rPr>
          <w:rtl/>
        </w:rPr>
      </w:pPr>
      <w:r>
        <w:rPr>
          <w:rtl/>
        </w:rPr>
        <w:t xml:space="preserve">הודעת עדכון אכן הוגשה, אולם בהחלטה מיום 26.2.2025, ציינו כי זו </w:t>
      </w:r>
      <w:r>
        <w:rPr>
          <w:rFonts w:ascii="Century" w:hAnsi="Century" w:cs="Miriam"/>
          <w:b/>
          <w:spacing w:val="0"/>
          <w:sz w:val="22"/>
          <w:szCs w:val="24"/>
          <w:rtl/>
        </w:rPr>
        <w:t>"לא הניחה את דעתנו"</w:t>
      </w:r>
      <w:r>
        <w:rPr>
          <w:rFonts w:ascii="Century" w:hAnsi="Century"/>
          <w:sz w:val="22"/>
          <w:rtl/>
        </w:rPr>
        <w:t xml:space="preserve">; משכך, התבקשו משיבי המדינה להגיש הודעה נוספת. בהודעה שהוגשה בהמשך, צוין כי מספר המתגייסים מקרב בני הציבור החרדי בשנת הגיוס 2024 (שהחלה ביולי 2024) עומד, נכון ליום 28.2.2025, על כ-1,721 מתגייסים; כאשר מתוכם, רק 177 </w:t>
      </w:r>
      <w:proofErr w:type="spellStart"/>
      <w:r>
        <w:rPr>
          <w:rFonts w:ascii="Century" w:hAnsi="Century"/>
          <w:sz w:val="22"/>
          <w:rtl/>
        </w:rPr>
        <w:t>מלש"בים</w:t>
      </w:r>
      <w:proofErr w:type="spellEnd"/>
      <w:r>
        <w:rPr>
          <w:rFonts w:ascii="Century" w:hAnsi="Century"/>
          <w:sz w:val="22"/>
          <w:rtl/>
        </w:rPr>
        <w:t xml:space="preserve"> נכללים ב-10,000 </w:t>
      </w:r>
      <w:proofErr w:type="spellStart"/>
      <w:r>
        <w:rPr>
          <w:rFonts w:ascii="Century" w:hAnsi="Century"/>
          <w:sz w:val="22"/>
          <w:rtl/>
        </w:rPr>
        <w:t>המלש"בים</w:t>
      </w:r>
      <w:proofErr w:type="spellEnd"/>
      <w:r>
        <w:rPr>
          <w:rFonts w:ascii="Century" w:hAnsi="Century"/>
          <w:sz w:val="22"/>
          <w:rtl/>
        </w:rPr>
        <w:t xml:space="preserve"> החרדים שקיבלו צווי זימון </w:t>
      </w:r>
      <w:proofErr w:type="spellStart"/>
      <w:r>
        <w:rPr>
          <w:rFonts w:ascii="Century" w:hAnsi="Century"/>
          <w:sz w:val="22"/>
          <w:rtl/>
        </w:rPr>
        <w:t>יעודיים</w:t>
      </w:r>
      <w:proofErr w:type="spellEnd"/>
      <w:r>
        <w:rPr>
          <w:rFonts w:ascii="Century" w:hAnsi="Century"/>
          <w:sz w:val="22"/>
          <w:rtl/>
        </w:rPr>
        <w:t xml:space="preserve"> בשני השלישים הראשונים של שנת הגיוס. כן דוּוח בהודעה, על שיעורי התייצבות נמוכים לצווי הזימון שהוצאו בשני השלישים הראשונים של השנה (549 מתוך 3,000 בשליש הראשון, ו-255 מתוך 7,014 בשליש השני), ועל כוונה להוציא 14,000 צווים נוספים בשליש השלישי. עוד צוין, כי ביום 6.3.2025 התקיים דיון בנושא בראשות שר הביטחון, שבו עמד השר על </w:t>
      </w:r>
      <w:r>
        <w:rPr>
          <w:rFonts w:ascii="Century" w:hAnsi="Century" w:cs="Miriam"/>
          <w:b/>
          <w:spacing w:val="0"/>
          <w:sz w:val="22"/>
          <w:szCs w:val="24"/>
          <w:rtl/>
        </w:rPr>
        <w:t xml:space="preserve">"הצורך הקריטי, לאור אירועי 7.10, המלחמה וערכי צה"ל </w:t>
      </w:r>
      <w:r>
        <w:rPr>
          <w:rFonts w:ascii="Century" w:hAnsi="Century"/>
          <w:sz w:val="22"/>
          <w:rtl/>
        </w:rPr>
        <w:t xml:space="preserve">– </w:t>
      </w:r>
      <w:r>
        <w:rPr>
          <w:rFonts w:ascii="Century" w:hAnsi="Century" w:cs="Miriam"/>
          <w:b/>
          <w:spacing w:val="0"/>
          <w:sz w:val="22"/>
          <w:szCs w:val="24"/>
          <w:rtl/>
        </w:rPr>
        <w:t>לגייס לשירות משמעותי לצה"ל [את] בני הציבור החרדי"</w:t>
      </w:r>
      <w:r>
        <w:rPr>
          <w:rFonts w:ascii="Century" w:hAnsi="Century"/>
          <w:sz w:val="22"/>
          <w:rtl/>
        </w:rPr>
        <w:t xml:space="preserve">, אך גם על כך שהדרך להגשים יעד זה אינה </w:t>
      </w:r>
      <w:r>
        <w:rPr>
          <w:rFonts w:ascii="Century" w:hAnsi="Century" w:cs="Miriam"/>
          <w:b/>
          <w:spacing w:val="0"/>
          <w:sz w:val="22"/>
          <w:szCs w:val="24"/>
          <w:rtl/>
        </w:rPr>
        <w:t>"במגרש של צה"ל"</w:t>
      </w:r>
      <w:r>
        <w:rPr>
          <w:rFonts w:ascii="Century" w:hAnsi="Century"/>
          <w:sz w:val="22"/>
          <w:rtl/>
        </w:rPr>
        <w:t xml:space="preserve">, אלא בקידום חקיקה בהסכמת הציבור החרדי.  </w:t>
      </w:r>
    </w:p>
    <w:p w14:paraId="245AFA6A" w14:textId="77777777" w:rsidR="00613BC3" w:rsidRDefault="00613BC3" w:rsidP="00613BC3">
      <w:pPr>
        <w:pStyle w:val="Ruller4"/>
        <w:numPr>
          <w:ilvl w:val="0"/>
          <w:numId w:val="0"/>
        </w:numPr>
        <w:rPr>
          <w:rtl/>
        </w:rPr>
      </w:pPr>
    </w:p>
    <w:p w14:paraId="514580EF" w14:textId="77777777" w:rsidR="00613BC3" w:rsidRDefault="00613BC3" w:rsidP="00613BC3">
      <w:pPr>
        <w:pStyle w:val="Ruller4"/>
        <w:rPr>
          <w:rtl/>
        </w:rPr>
      </w:pPr>
      <w:r>
        <w:rPr>
          <w:rtl/>
        </w:rPr>
        <w:t xml:space="preserve">במישור הליכי האכיפה נגד המשתמטים מחובת הגיוס, דוּוח, בין היתר, כי </w:t>
      </w:r>
      <w:r>
        <w:rPr>
          <w:rFonts w:ascii="Century" w:hAnsi="Century"/>
          <w:sz w:val="22"/>
          <w:rtl/>
        </w:rPr>
        <w:t xml:space="preserve">כלל גורמי המקצוע והמשפט שהשתתפו בדיון המעקב האחרון בראשות היועצת המשפטית לממשלה, </w:t>
      </w:r>
      <w:r>
        <w:rPr>
          <w:rFonts w:ascii="Century" w:hAnsi="Century" w:cs="Miriam"/>
          <w:b/>
          <w:spacing w:val="0"/>
          <w:sz w:val="22"/>
          <w:szCs w:val="24"/>
          <w:rtl/>
        </w:rPr>
        <w:t>"הדגישו כי לשם מילוי שורות הצבא, קיימת חשיבות רבה בהגברת צעדי אכיפה אישיים כלפי משתמטים, לרבות הרחבת סל הסנקציות המנהליות והכלכליות כלפי הפרט"</w:t>
      </w:r>
      <w:r>
        <w:rPr>
          <w:rFonts w:ascii="Century" w:hAnsi="Century"/>
          <w:sz w:val="22"/>
          <w:rtl/>
        </w:rPr>
        <w:t xml:space="preserve">; כי </w:t>
      </w:r>
      <w:r>
        <w:rPr>
          <w:rtl/>
        </w:rPr>
        <w:t xml:space="preserve">הוחלט על שינוי ברירת המחדל במעברי הגבול, כך שנקודת המוצא לגבי משתמט שייתפס במעבר גבול, תהיה למנוע את יציאתו מן הארץ ולעצרו (חלף הפעלת שיקול דעת פרטני, והחלטה אד-הוק של פוקד); וכי הוצגו על-ידי גורמי המקצוע מגוון הצעות לשיפור האכיפה </w:t>
      </w:r>
      <w:r>
        <w:rPr>
          <w:rFonts w:ascii="Century" w:hAnsi="Century" w:cs="Miriam"/>
          <w:b/>
          <w:spacing w:val="0"/>
          <w:sz w:val="22"/>
          <w:szCs w:val="24"/>
          <w:rtl/>
        </w:rPr>
        <w:t>"ולהרחבת סל הסנקציות ושלילת הטבות אישיות שמעניקה המדינה"</w:t>
      </w:r>
      <w:r>
        <w:rPr>
          <w:rtl/>
        </w:rPr>
        <w:t xml:space="preserve">. הצעות אלו, כך צוין, ניתנות ליישום באופן מיידי, ללא צורך בחקיקה, אולם </w:t>
      </w:r>
      <w:r>
        <w:rPr>
          <w:rFonts w:ascii="Century" w:hAnsi="Century" w:cs="Miriam"/>
          <w:b/>
          <w:spacing w:val="0"/>
          <w:sz w:val="22"/>
          <w:szCs w:val="24"/>
          <w:rtl/>
        </w:rPr>
        <w:t>"ההחלטה על כך נתונה בידי הדרג המדיני"</w:t>
      </w:r>
      <w:r>
        <w:rPr>
          <w:rFonts w:ascii="Century" w:hAnsi="Century"/>
          <w:sz w:val="22"/>
          <w:rtl/>
        </w:rPr>
        <w:t xml:space="preserve">. על רקע זה, פנתה היועצת המשפטית לממשלה לשר הביטחון, והדגישה כי קיים צורך לקיים דיון דחוף, לשם החלטה על קידום </w:t>
      </w:r>
      <w:r>
        <w:rPr>
          <w:rFonts w:ascii="Century" w:hAnsi="Century" w:cs="Miriam"/>
          <w:b/>
          <w:spacing w:val="0"/>
          <w:sz w:val="22"/>
          <w:szCs w:val="24"/>
          <w:rtl/>
        </w:rPr>
        <w:t>"אפשרויות האכיפה שבידי הדרג המדיני לקדם באופן מיידי"</w:t>
      </w:r>
      <w:r>
        <w:rPr>
          <w:rFonts w:ascii="Century" w:hAnsi="Century"/>
          <w:sz w:val="22"/>
          <w:rtl/>
        </w:rPr>
        <w:t>; זאת, בהתחשב בכך ש</w:t>
      </w:r>
      <w:r>
        <w:rPr>
          <w:rFonts w:ascii="Century" w:hAnsi="Century" w:cs="Miriam"/>
          <w:b/>
          <w:spacing w:val="0"/>
          <w:sz w:val="22"/>
          <w:szCs w:val="24"/>
          <w:rtl/>
        </w:rPr>
        <w:t>"נתוני הגיוס לשנה הנוכחית, כפי שנמסרו, רחוקים מלהלום את צרכי הצבא, את היעדים שנקבעו והוצגו בבג"ץ, ואת ערך השוויון"</w:t>
      </w:r>
      <w:r>
        <w:rPr>
          <w:rFonts w:ascii="Century" w:hAnsi="Century"/>
          <w:sz w:val="22"/>
          <w:rtl/>
        </w:rPr>
        <w:t xml:space="preserve">.  </w:t>
      </w:r>
      <w:r>
        <w:rPr>
          <w:rtl/>
        </w:rPr>
        <w:t xml:space="preserve"> </w:t>
      </w:r>
    </w:p>
    <w:p w14:paraId="72703527" w14:textId="77777777" w:rsidR="00613BC3" w:rsidRDefault="00613BC3" w:rsidP="00613BC3">
      <w:pPr>
        <w:pStyle w:val="Ruller41"/>
        <w:rPr>
          <w:rtl/>
        </w:rPr>
      </w:pPr>
    </w:p>
    <w:p w14:paraId="55B3FB53" w14:textId="77777777" w:rsidR="00613BC3" w:rsidRDefault="00613BC3" w:rsidP="00613BC3">
      <w:pPr>
        <w:pStyle w:val="Ruller4"/>
        <w:rPr>
          <w:rtl/>
        </w:rPr>
      </w:pPr>
      <w:r>
        <w:rPr>
          <w:rtl/>
        </w:rPr>
        <w:t>בהמשך להודעה מטעם משיבי המדינה, ביום 27.4.2025, הוצא צו על-תנאי, כדלקמן:</w:t>
      </w:r>
    </w:p>
    <w:p w14:paraId="74BD7731" w14:textId="77777777" w:rsidR="00613BC3" w:rsidRDefault="00613BC3" w:rsidP="00613BC3">
      <w:pPr>
        <w:pStyle w:val="Ruller41"/>
        <w:rPr>
          <w:rtl/>
        </w:rPr>
      </w:pPr>
    </w:p>
    <w:p w14:paraId="23927D0D" w14:textId="77777777" w:rsidR="00613BC3" w:rsidRDefault="00613BC3" w:rsidP="00613BC3">
      <w:pPr>
        <w:pStyle w:val="Ruller5"/>
      </w:pPr>
      <w:r>
        <w:rPr>
          <w:rtl/>
        </w:rPr>
        <w:lastRenderedPageBreak/>
        <w:t xml:space="preserve"> </w:t>
      </w:r>
      <w:r>
        <w:rPr>
          <w:rFonts w:ascii="Century" w:hAnsi="Century" w:cs="Miriam"/>
          <w:b/>
          <w:spacing w:val="0"/>
          <w:szCs w:val="24"/>
          <w:rtl/>
        </w:rPr>
        <w:t>"המשיבים יתייצבו ויתנו טעם מדוע לא יוציאו או יוסיפו להוציא צווי גיוס בעניינם של המועמדים לשירות ביטחון שעליהם נסבות העתירות, בהיקף המתאים לצורכי הצבא כפי שאלה מוצגים מעת לעת על-ידי הגורמים המקצועיים בצבא; ומדוע לא יפעלו לאכיפת הצווים שהוצאו גם על-ידי נקיטת צעדי אכיפה אישיים אפקטיביים כלפי מי שהוצאו להם צווי גיוס ולא התייצבו בהתאם"</w:t>
      </w:r>
      <w:r>
        <w:rPr>
          <w:rtl/>
        </w:rPr>
        <w:t xml:space="preserve">. </w:t>
      </w:r>
    </w:p>
    <w:p w14:paraId="45D42514" w14:textId="77777777" w:rsidR="00613BC3" w:rsidRDefault="00613BC3" w:rsidP="00613BC3">
      <w:pPr>
        <w:pStyle w:val="Ruller41"/>
        <w:rPr>
          <w:rtl/>
        </w:rPr>
      </w:pPr>
    </w:p>
    <w:p w14:paraId="769F436F" w14:textId="77777777" w:rsidR="00613BC3" w:rsidRDefault="00613BC3" w:rsidP="00613BC3">
      <w:pPr>
        <w:pStyle w:val="Ruller4"/>
        <w:rPr>
          <w:rtl/>
        </w:rPr>
      </w:pPr>
      <w:r>
        <w:rPr>
          <w:rtl/>
        </w:rPr>
        <w:t xml:space="preserve">ביום 6.8.2025 – ושוב, רק לאחר </w:t>
      </w:r>
      <w:proofErr w:type="spellStart"/>
      <w:r>
        <w:rPr>
          <w:rtl/>
        </w:rPr>
        <w:t>ארכות</w:t>
      </w:r>
      <w:proofErr w:type="spellEnd"/>
      <w:r>
        <w:rPr>
          <w:rtl/>
        </w:rPr>
        <w:t xml:space="preserve"> רבות – הוגש תצהיר התשובה מטעם משיבי המדינה, ובו הוּדע כי ביום 6.5.2025 הנחה הרמטכ"ל כי עד סוף חודש יולי 2025 ישלח צו ראשון (לחלופין גם: </w:t>
      </w:r>
      <w:r>
        <w:rPr>
          <w:rFonts w:ascii="Century" w:hAnsi="Century" w:cs="Miriam"/>
          <w:b/>
          <w:spacing w:val="0"/>
          <w:sz w:val="22"/>
          <w:szCs w:val="24"/>
          <w:rtl/>
        </w:rPr>
        <w:t>צו התייצבות</w:t>
      </w:r>
      <w:r>
        <w:rPr>
          <w:rFonts w:ascii="Century" w:hAnsi="Century"/>
          <w:sz w:val="22"/>
          <w:rtl/>
        </w:rPr>
        <w:t>)</w:t>
      </w:r>
      <w:r>
        <w:rPr>
          <w:rtl/>
        </w:rPr>
        <w:t xml:space="preserve"> לכל </w:t>
      </w:r>
      <w:proofErr w:type="spellStart"/>
      <w:r>
        <w:rPr>
          <w:rtl/>
        </w:rPr>
        <w:t>המלש"בים</w:t>
      </w:r>
      <w:proofErr w:type="spellEnd"/>
      <w:r>
        <w:rPr>
          <w:rtl/>
        </w:rPr>
        <w:t xml:space="preserve"> שגיוסם נדחה מכוח הוראות פרק ג'1, לפני פקיעת תוקפו, או הוקפא בהתאם להחלטת ממשלה 682. בהתאם להנחיה זו, נשלחו במהלך חודש יולי כלל הצווים לקבוצה זו (כ-54,000 צווים), כאשר מועדי ההתייצבות שנקבעו בהם פרוסים לאורך שנת הגיוס. לפיכך נטען, כי ראשו הראשון של הצו על-תנאי – התייתר. </w:t>
      </w:r>
    </w:p>
    <w:p w14:paraId="56EAEAFD" w14:textId="77777777" w:rsidR="00613BC3" w:rsidRDefault="00613BC3" w:rsidP="00613BC3">
      <w:pPr>
        <w:pStyle w:val="Ruller4"/>
        <w:numPr>
          <w:ilvl w:val="0"/>
          <w:numId w:val="0"/>
        </w:numPr>
      </w:pPr>
    </w:p>
    <w:p w14:paraId="0D45DAE2" w14:textId="77777777" w:rsidR="00613BC3" w:rsidRDefault="00613BC3" w:rsidP="00613BC3">
      <w:pPr>
        <w:pStyle w:val="Ruller4"/>
        <w:rPr>
          <w:rFonts w:ascii="Century" w:hAnsi="Century"/>
          <w:sz w:val="22"/>
        </w:rPr>
      </w:pPr>
      <w:r>
        <w:rPr>
          <w:rtl/>
        </w:rPr>
        <w:t xml:space="preserve">לגבי ראשו השני של הצו על-תנאי, דוּוח כי בחודש יולי 2025 החלה לפעול תכנית גיוס ואכיפה שקבע צה"ל. </w:t>
      </w:r>
      <w:proofErr w:type="spellStart"/>
      <w:r>
        <w:rPr>
          <w:rtl/>
        </w:rPr>
        <w:t>התכנית</w:t>
      </w:r>
      <w:proofErr w:type="spellEnd"/>
      <w:r>
        <w:rPr>
          <w:rtl/>
        </w:rPr>
        <w:t xml:space="preserve"> כוללת, בין היתר, ביטול של כלל הבדיקות הנוהגות כיום במקרה שבו </w:t>
      </w:r>
      <w:proofErr w:type="spellStart"/>
      <w:r>
        <w:rPr>
          <w:rtl/>
        </w:rPr>
        <w:t>מלש"ב</w:t>
      </w:r>
      <w:proofErr w:type="spellEnd"/>
      <w:r>
        <w:rPr>
          <w:rtl/>
        </w:rPr>
        <w:t xml:space="preserve"> אינו מתייצב לצווי הזימון, </w:t>
      </w:r>
      <w:r>
        <w:rPr>
          <w:rFonts w:ascii="Century" w:hAnsi="Century" w:cs="Miriam"/>
          <w:b/>
          <w:spacing w:val="0"/>
          <w:sz w:val="22"/>
          <w:szCs w:val="24"/>
          <w:rtl/>
        </w:rPr>
        <w:t>"למעט בדיקות המתחייבות בהתאם לדין או שנועדו לאפשר עמידה בהוראות הדין"</w:t>
      </w:r>
      <w:r>
        <w:rPr>
          <w:rFonts w:ascii="Century" w:hAnsi="Century"/>
          <w:sz w:val="22"/>
          <w:rtl/>
        </w:rPr>
        <w:t>; זאת, במטרה</w:t>
      </w:r>
      <w:r>
        <w:rPr>
          <w:rtl/>
        </w:rPr>
        <w:t xml:space="preserve"> </w:t>
      </w:r>
      <w:r>
        <w:rPr>
          <w:rFonts w:ascii="Century" w:hAnsi="Century"/>
          <w:sz w:val="22"/>
          <w:rtl/>
        </w:rPr>
        <w:t>להביא לקיצור משמעותי של משך הזמן עד להוצאת צו לפי סעיף 12 לחוק שירות בטחון והכרזה על השתמטות</w:t>
      </w:r>
      <w:r>
        <w:rPr>
          <w:rtl/>
        </w:rPr>
        <w:t xml:space="preserve">. בהקשר זה הובהר, כי </w:t>
      </w:r>
      <w:r>
        <w:rPr>
          <w:rFonts w:ascii="Century" w:hAnsi="Century" w:cs="Miriam"/>
          <w:b/>
          <w:spacing w:val="0"/>
          <w:sz w:val="22"/>
          <w:szCs w:val="24"/>
          <w:rtl/>
        </w:rPr>
        <w:t xml:space="preserve">"תהליך אי-שיתוף הפעולה המתואר לעיל יחול באופן שוויוני על כלל אוכלוסיית </w:t>
      </w:r>
      <w:proofErr w:type="spellStart"/>
      <w:r>
        <w:rPr>
          <w:rFonts w:ascii="Century" w:hAnsi="Century" w:cs="Miriam"/>
          <w:b/>
          <w:spacing w:val="0"/>
          <w:sz w:val="22"/>
          <w:szCs w:val="24"/>
          <w:rtl/>
        </w:rPr>
        <w:t>המלש"בים</w:t>
      </w:r>
      <w:proofErr w:type="spellEnd"/>
      <w:r>
        <w:rPr>
          <w:rFonts w:ascii="Century" w:hAnsi="Century" w:cs="Miriam"/>
          <w:b/>
          <w:spacing w:val="0"/>
          <w:sz w:val="22"/>
          <w:szCs w:val="24"/>
          <w:rtl/>
        </w:rPr>
        <w:t xml:space="preserve"> במדינת ישראל, ולא רק ביחס </w:t>
      </w:r>
      <w:proofErr w:type="spellStart"/>
      <w:r>
        <w:rPr>
          <w:rFonts w:ascii="Century" w:hAnsi="Century" w:cs="Miriam"/>
          <w:b/>
          <w:spacing w:val="0"/>
          <w:sz w:val="22"/>
          <w:szCs w:val="24"/>
          <w:rtl/>
        </w:rPr>
        <w:t>למלש"בים</w:t>
      </w:r>
      <w:proofErr w:type="spellEnd"/>
      <w:r>
        <w:rPr>
          <w:rFonts w:ascii="Century" w:hAnsi="Century" w:cs="Miriam"/>
          <w:b/>
          <w:spacing w:val="0"/>
          <w:sz w:val="22"/>
          <w:szCs w:val="24"/>
          <w:rtl/>
        </w:rPr>
        <w:t xml:space="preserve"> בני הציבור החרדי"</w:t>
      </w:r>
      <w:r>
        <w:rPr>
          <w:rFonts w:ascii="Century" w:hAnsi="Century"/>
          <w:sz w:val="22"/>
          <w:rtl/>
        </w:rPr>
        <w:t xml:space="preserve">; וכי </w:t>
      </w:r>
      <w:r>
        <w:rPr>
          <w:rFonts w:ascii="Century" w:hAnsi="Century" w:cs="Miriam"/>
          <w:b/>
          <w:spacing w:val="0"/>
          <w:sz w:val="22"/>
          <w:szCs w:val="24"/>
          <w:rtl/>
        </w:rPr>
        <w:t>"פרקי הזמן המינימליים שנקבעו במדיניות הצבא לצורך מתן התראה מספקת בין זימון לזימון, ייוותרו ללא שינוי, גם במסגרת התהליך המקוצר"</w:t>
      </w:r>
      <w:r>
        <w:rPr>
          <w:rFonts w:ascii="Century" w:hAnsi="Century"/>
          <w:sz w:val="22"/>
          <w:rtl/>
        </w:rPr>
        <w:t>.</w:t>
      </w:r>
      <w:r>
        <w:rPr>
          <w:rtl/>
        </w:rPr>
        <w:t xml:space="preserve"> להערכת גורמי המקצוע בצבא, ללא ביצוע ההתאמות האמורות בתהליך, משך הזמן הממוצע מעת הזימון לצו ראשון ועד להכרזה על השתמטות, היה ארוך בהרבה, </w:t>
      </w:r>
      <w:r>
        <w:rPr>
          <w:rFonts w:ascii="Century" w:hAnsi="Century" w:cs="Miriam"/>
          <w:b/>
          <w:spacing w:val="0"/>
          <w:sz w:val="22"/>
          <w:szCs w:val="24"/>
          <w:rtl/>
        </w:rPr>
        <w:t>"ואף היה צפוי להגיע למספר שנים"</w:t>
      </w:r>
      <w:r>
        <w:rPr>
          <w:rFonts w:ascii="Century" w:hAnsi="Century"/>
          <w:sz w:val="22"/>
          <w:rtl/>
        </w:rPr>
        <w:t>.</w:t>
      </w:r>
    </w:p>
    <w:p w14:paraId="4BEAC3F4" w14:textId="77777777" w:rsidR="00613BC3" w:rsidRDefault="00613BC3" w:rsidP="00613BC3">
      <w:pPr>
        <w:pStyle w:val="Ruller4"/>
        <w:numPr>
          <w:ilvl w:val="0"/>
          <w:numId w:val="0"/>
        </w:numPr>
        <w:rPr>
          <w:rtl/>
        </w:rPr>
      </w:pPr>
    </w:p>
    <w:p w14:paraId="086C35CB" w14:textId="77777777" w:rsidR="00613BC3" w:rsidRDefault="00613BC3" w:rsidP="00613BC3">
      <w:pPr>
        <w:pStyle w:val="Ruller4"/>
      </w:pPr>
      <w:r>
        <w:rPr>
          <w:rFonts w:ascii="Century" w:hAnsi="Century"/>
          <w:sz w:val="22"/>
          <w:rtl/>
        </w:rPr>
        <w:t xml:space="preserve">עוד כוללת </w:t>
      </w:r>
      <w:proofErr w:type="spellStart"/>
      <w:r>
        <w:rPr>
          <w:rFonts w:ascii="Century" w:hAnsi="Century"/>
          <w:sz w:val="22"/>
          <w:rtl/>
        </w:rPr>
        <w:t>התכנית</w:t>
      </w:r>
      <w:proofErr w:type="spellEnd"/>
      <w:r>
        <w:rPr>
          <w:rFonts w:ascii="Century" w:hAnsi="Century"/>
          <w:sz w:val="22"/>
          <w:rtl/>
        </w:rPr>
        <w:t>,</w:t>
      </w:r>
      <w:r>
        <w:rPr>
          <w:rFonts w:ascii="Century" w:hAnsi="Century" w:cs="Miriam"/>
          <w:b/>
          <w:spacing w:val="0"/>
          <w:sz w:val="22"/>
          <w:szCs w:val="24"/>
          <w:rtl/>
        </w:rPr>
        <w:t xml:space="preserve"> "הגברה וטיוב של האכיפה במעברי הגבול, במחסומים בכל הארץ, בשיתוף רשות האוכלוסין וההגירה ומשטרת ישראל, ובתוך כך גם הידוק התיאום עם משטרת ישראל לעניין מעצרים מזדמנים"</w:t>
      </w:r>
      <w:r>
        <w:rPr>
          <w:rtl/>
        </w:rPr>
        <w:t xml:space="preserve">; ביצוע </w:t>
      </w:r>
      <w:r>
        <w:rPr>
          <w:rFonts w:ascii="Century" w:hAnsi="Century" w:cs="Miriam"/>
          <w:b/>
          <w:spacing w:val="0"/>
          <w:sz w:val="22"/>
          <w:szCs w:val="24"/>
          <w:rtl/>
        </w:rPr>
        <w:t>"פעולות אכיפה יזומות מוכוונות מודיעין"</w:t>
      </w:r>
      <w:r>
        <w:rPr>
          <w:rtl/>
        </w:rPr>
        <w:t xml:space="preserve">; </w:t>
      </w:r>
      <w:r>
        <w:rPr>
          <w:rFonts w:ascii="Century" w:hAnsi="Century"/>
          <w:sz w:val="22"/>
          <w:rtl/>
        </w:rPr>
        <w:t xml:space="preserve">והשקה של </w:t>
      </w:r>
      <w:r>
        <w:rPr>
          <w:rFonts w:ascii="Century" w:hAnsi="Century" w:cs="Miriam"/>
          <w:b/>
          <w:spacing w:val="0"/>
          <w:sz w:val="22"/>
          <w:szCs w:val="24"/>
          <w:rtl/>
        </w:rPr>
        <w:t>"תוכנית</w:t>
      </w:r>
      <w:r>
        <w:rPr>
          <w:rtl/>
        </w:rPr>
        <w:t xml:space="preserve"> </w:t>
      </w:r>
      <w:r>
        <w:rPr>
          <w:rFonts w:ascii="Century" w:hAnsi="Century" w:cs="Miriam"/>
          <w:b/>
          <w:spacing w:val="0"/>
          <w:sz w:val="22"/>
          <w:szCs w:val="24"/>
          <w:rtl/>
        </w:rPr>
        <w:t>'מתחילים מחדש' שתיתן הזדמנות קצובה ומוגבלת בזמן למשתמטים להתייצב ולהתחיל מיד בשירות צבאי, בלי להיעצר"</w:t>
      </w:r>
      <w:r>
        <w:rPr>
          <w:rtl/>
        </w:rPr>
        <w:t xml:space="preserve">. </w:t>
      </w:r>
    </w:p>
    <w:p w14:paraId="3A587188" w14:textId="77777777" w:rsidR="00613BC3" w:rsidRDefault="00613BC3" w:rsidP="00613BC3">
      <w:pPr>
        <w:pStyle w:val="Ruller41"/>
        <w:rPr>
          <w:rtl/>
        </w:rPr>
      </w:pPr>
    </w:p>
    <w:p w14:paraId="6E083E81" w14:textId="77777777" w:rsidR="00613BC3" w:rsidRDefault="00613BC3" w:rsidP="00613BC3">
      <w:pPr>
        <w:pStyle w:val="Ruller4"/>
        <w:rPr>
          <w:rtl/>
        </w:rPr>
      </w:pPr>
      <w:r>
        <w:rPr>
          <w:rtl/>
        </w:rPr>
        <w:lastRenderedPageBreak/>
        <w:t xml:space="preserve">בתצהיר התשובה נטען, כי לגורמים שונים ברשות המבצעת נתונות סמכויות, המאפשרות להם להשפיע על מערך התמריצים של </w:t>
      </w:r>
      <w:proofErr w:type="spellStart"/>
      <w:r>
        <w:rPr>
          <w:rtl/>
        </w:rPr>
        <w:t>מלש"בים</w:t>
      </w:r>
      <w:proofErr w:type="spellEnd"/>
      <w:r>
        <w:rPr>
          <w:rtl/>
        </w:rPr>
        <w:t xml:space="preserve">, בכל הנוגע לציות לצווי הגיוס הנשלחים אליהם. הודגש, כי בשים לב לצרכי הצבא, יש לפעול לשיפור האכיפה באמצעות שלילת הטבות והטלת סנקציות אישיות כלפי משתמטים. בהקשר זה צוין, כי היועצת המשפטית לממשלה פנתה מספר פעמים לראש הממשלה ולשר הביטחון, בציינהּ כי </w:t>
      </w:r>
      <w:r>
        <w:rPr>
          <w:rFonts w:ascii="Century" w:hAnsi="Century"/>
          <w:sz w:val="22"/>
          <w:rtl/>
        </w:rPr>
        <w:t xml:space="preserve">נוכח המצב החוקי, בהתחשב בהכבדה המשמעותית בנטל השירות הצבאי, ובשים לב לצרכי הצבא ולמספר המתגייסים מקרב בני הציבור החרדי, נדרש </w:t>
      </w:r>
      <w:r>
        <w:rPr>
          <w:rFonts w:ascii="Century" w:hAnsi="Century" w:cs="Miriam"/>
          <w:b/>
          <w:spacing w:val="0"/>
          <w:sz w:val="22"/>
          <w:szCs w:val="24"/>
          <w:rtl/>
        </w:rPr>
        <w:t xml:space="preserve">"להציג בטווח הזמן המיידי תוכנית להגברת האכיפה, לרבות באמצעות החלטות ממשלה </w:t>
      </w:r>
      <w:proofErr w:type="spellStart"/>
      <w:r>
        <w:rPr>
          <w:rFonts w:ascii="Century" w:hAnsi="Century" w:cs="Miriam"/>
          <w:b/>
          <w:spacing w:val="0"/>
          <w:sz w:val="22"/>
          <w:szCs w:val="24"/>
          <w:rtl/>
        </w:rPr>
        <w:t>ומינהל</w:t>
      </w:r>
      <w:proofErr w:type="spellEnd"/>
      <w:r>
        <w:rPr>
          <w:rFonts w:ascii="Century" w:hAnsi="Century" w:cs="Miriam"/>
          <w:b/>
          <w:spacing w:val="0"/>
          <w:sz w:val="22"/>
          <w:szCs w:val="24"/>
          <w:rtl/>
        </w:rPr>
        <w:t>, שהן האמצעי העומד לרשות הממשלה, אף ללא צורך בקידומה של חקיקה חדשה"</w:t>
      </w:r>
      <w:r>
        <w:rPr>
          <w:rFonts w:ascii="Century" w:hAnsi="Century"/>
          <w:sz w:val="22"/>
          <w:rtl/>
        </w:rPr>
        <w:t>. פניות אלה, כך דוּוח – לא נענו, ולמצער לא התקיים באמור בהן דיון לגופו של עניין.</w:t>
      </w:r>
      <w:r>
        <w:rPr>
          <w:rtl/>
        </w:rPr>
        <w:t xml:space="preserve"> </w:t>
      </w:r>
    </w:p>
    <w:p w14:paraId="4D52BB5F" w14:textId="77777777" w:rsidR="00613BC3" w:rsidRDefault="00613BC3" w:rsidP="00613BC3">
      <w:pPr>
        <w:pStyle w:val="Ruller4"/>
        <w:numPr>
          <w:ilvl w:val="0"/>
          <w:numId w:val="0"/>
        </w:numPr>
      </w:pPr>
    </w:p>
    <w:p w14:paraId="79EB038D" w14:textId="77777777" w:rsidR="00613BC3" w:rsidRDefault="00613BC3" w:rsidP="00613BC3">
      <w:pPr>
        <w:pStyle w:val="Ruller4"/>
      </w:pPr>
      <w:r>
        <w:rPr>
          <w:rtl/>
        </w:rPr>
        <w:t xml:space="preserve">בתצהיר התשובה מטעם איחוד הישיבות נטען, כי בהתאם להלכה הפסוקה, </w:t>
      </w:r>
      <w:r>
        <w:rPr>
          <w:rFonts w:ascii="Century" w:hAnsi="Century" w:cs="Miriam"/>
          <w:b/>
          <w:spacing w:val="0"/>
          <w:sz w:val="22"/>
          <w:szCs w:val="24"/>
          <w:rtl/>
        </w:rPr>
        <w:t xml:space="preserve">"מקום שהמדינה מבהירה שאין מחלוקת משפטית וכי היא פועלת כמיטב יכולתה לבצע את הסעד המבוקש בעתירה </w:t>
      </w:r>
      <w:r>
        <w:rPr>
          <w:rFonts w:ascii="Century" w:hAnsi="Century"/>
          <w:sz w:val="22"/>
          <w:rtl/>
        </w:rPr>
        <w:t xml:space="preserve">– </w:t>
      </w:r>
      <w:r>
        <w:rPr>
          <w:rFonts w:ascii="Century" w:hAnsi="Century" w:cs="Miriam"/>
          <w:b/>
          <w:spacing w:val="0"/>
          <w:sz w:val="22"/>
          <w:szCs w:val="24"/>
          <w:rtl/>
        </w:rPr>
        <w:t>אין מקום להתערבות שיפוטית"</w:t>
      </w:r>
      <w:r>
        <w:rPr>
          <w:rFonts w:ascii="Century" w:hAnsi="Century"/>
          <w:sz w:val="22"/>
          <w:rtl/>
        </w:rPr>
        <w:t xml:space="preserve">. אשר לראש הראשון של הצו על-תנאי, נטען כי הפיכת הצו למוחלט דווקא היא </w:t>
      </w:r>
      <w:r>
        <w:rPr>
          <w:rFonts w:ascii="Century" w:hAnsi="Century" w:cs="Miriam"/>
          <w:b/>
          <w:spacing w:val="0"/>
          <w:sz w:val="22"/>
          <w:szCs w:val="24"/>
          <w:rtl/>
        </w:rPr>
        <w:t>"תפגע בתחולתו האחידה והשוויונית של חוק שירות בטחון"</w:t>
      </w:r>
      <w:r>
        <w:rPr>
          <w:rFonts w:ascii="Century" w:hAnsi="Century"/>
          <w:sz w:val="22"/>
          <w:rtl/>
        </w:rPr>
        <w:t>, ותעלה כדי הפליה אסורה – מצב דברים שעִמו, כך לפי איחוד הישיבות, אין להסכין. עוד גורס האיחוד, כי הדבר אף יוביל לפגיעה בעקרון הכפיפות של הצבא לממשלה</w:t>
      </w:r>
      <w:r>
        <w:rPr>
          <w:rtl/>
        </w:rPr>
        <w:t>, באופן המנוגד ל</w:t>
      </w:r>
      <w:r>
        <w:rPr>
          <w:rFonts w:ascii="Century" w:hAnsi="Century" w:cs="Miriam"/>
          <w:b/>
          <w:spacing w:val="0"/>
          <w:sz w:val="22"/>
          <w:szCs w:val="24"/>
          <w:rtl/>
        </w:rPr>
        <w:t>"יסודות המשטר הדמוקרטי"</w:t>
      </w:r>
      <w:r>
        <w:rPr>
          <w:rFonts w:ascii="Century" w:hAnsi="Century"/>
          <w:sz w:val="22"/>
          <w:rtl/>
        </w:rPr>
        <w:t xml:space="preserve">. אשר לראשו השני של הצו על-תנאי, נטען, כי </w:t>
      </w:r>
      <w:r>
        <w:rPr>
          <w:rFonts w:ascii="Century" w:hAnsi="Century" w:cs="Miriam"/>
          <w:b/>
          <w:spacing w:val="0"/>
          <w:sz w:val="22"/>
          <w:szCs w:val="24"/>
          <w:rtl/>
        </w:rPr>
        <w:t>"הצו מוביל לדיון בסוגיה אמורפית ללא תשתית עובדתית ומשפטית מספקת"</w:t>
      </w:r>
      <w:r>
        <w:rPr>
          <w:rFonts w:ascii="Century" w:hAnsi="Century"/>
          <w:sz w:val="22"/>
          <w:rtl/>
        </w:rPr>
        <w:t xml:space="preserve">; כמו כן, הועלו טענות שונות נגד סנקציות ספציפיות. </w:t>
      </w:r>
      <w:r>
        <w:rPr>
          <w:rFonts w:ascii="Century" w:hAnsi="Century" w:cs="Miriam"/>
          <w:b/>
          <w:spacing w:val="0"/>
          <w:sz w:val="22"/>
          <w:szCs w:val="24"/>
          <w:rtl/>
        </w:rPr>
        <w:t xml:space="preserve"> </w:t>
      </w:r>
      <w:r>
        <w:rPr>
          <w:rtl/>
        </w:rPr>
        <w:t xml:space="preserve"> </w:t>
      </w:r>
    </w:p>
    <w:p w14:paraId="47F42279" w14:textId="77777777" w:rsidR="00613BC3" w:rsidRDefault="00613BC3" w:rsidP="00613BC3">
      <w:pPr>
        <w:pStyle w:val="Ruller4"/>
        <w:numPr>
          <w:ilvl w:val="0"/>
          <w:numId w:val="0"/>
        </w:numPr>
        <w:rPr>
          <w:rtl/>
        </w:rPr>
      </w:pPr>
    </w:p>
    <w:p w14:paraId="7BDB454F" w14:textId="77777777" w:rsidR="00613BC3" w:rsidRDefault="00613BC3" w:rsidP="00613BC3">
      <w:pPr>
        <w:pStyle w:val="Ruller4"/>
        <w:rPr>
          <w:rtl/>
        </w:rPr>
      </w:pPr>
      <w:r>
        <w:rPr>
          <w:rtl/>
        </w:rPr>
        <w:t xml:space="preserve">בהחלטה מיום 8.9.2025, החלטנו (השופט </w:t>
      </w:r>
      <w:r>
        <w:rPr>
          <w:rFonts w:ascii="Century" w:hAnsi="Century" w:cs="Miriam"/>
          <w:b/>
          <w:spacing w:val="0"/>
          <w:sz w:val="22"/>
          <w:szCs w:val="24"/>
          <w:rtl/>
        </w:rPr>
        <w:t>ד' מינץ</w:t>
      </w:r>
      <w:r>
        <w:rPr>
          <w:rFonts w:ascii="Century" w:hAnsi="Century"/>
          <w:sz w:val="22"/>
          <w:rtl/>
        </w:rPr>
        <w:t xml:space="preserve">, השופטת </w:t>
      </w:r>
      <w:r>
        <w:rPr>
          <w:rFonts w:ascii="Century" w:hAnsi="Century" w:cs="Miriam"/>
          <w:b/>
          <w:spacing w:val="0"/>
          <w:sz w:val="22"/>
          <w:szCs w:val="24"/>
          <w:rtl/>
        </w:rPr>
        <w:t>י' וילנר</w:t>
      </w:r>
      <w:r>
        <w:rPr>
          <w:rFonts w:ascii="Century" w:hAnsi="Century"/>
          <w:sz w:val="22"/>
          <w:rtl/>
        </w:rPr>
        <w:t xml:space="preserve"> </w:t>
      </w:r>
      <w:proofErr w:type="spellStart"/>
      <w:r>
        <w:rPr>
          <w:rFonts w:ascii="Century" w:hAnsi="Century"/>
          <w:sz w:val="22"/>
          <w:rtl/>
        </w:rPr>
        <w:t>והח"מ</w:t>
      </w:r>
      <w:proofErr w:type="spellEnd"/>
      <w:r>
        <w:rPr>
          <w:rFonts w:ascii="Century" w:hAnsi="Century"/>
          <w:sz w:val="22"/>
          <w:rtl/>
        </w:rPr>
        <w:t>), בהתאם לסמכותנו שלפי סעיף 26(2) לחוק בתי המשפט [נוסח משולב], התשמ"ד-1984, מחמת כובד המשקל של העניין שעל הפרק, להורות על הרחבת המותב, כך שהמשך הדיון יהיה לפני 5 שופטים. אי לכך,</w:t>
      </w:r>
      <w:r>
        <w:rPr>
          <w:rtl/>
        </w:rPr>
        <w:t xml:space="preserve"> נקבע שלהרכב יצטרפו השופטת </w:t>
      </w:r>
      <w:r>
        <w:rPr>
          <w:rFonts w:ascii="Century" w:hAnsi="Century" w:cs="Miriam"/>
          <w:b/>
          <w:spacing w:val="0"/>
          <w:sz w:val="22"/>
          <w:szCs w:val="24"/>
          <w:rtl/>
        </w:rPr>
        <w:t>ד' ברק-ארז</w:t>
      </w:r>
      <w:r>
        <w:rPr>
          <w:rFonts w:ascii="Century" w:hAnsi="Century"/>
          <w:sz w:val="22"/>
          <w:rtl/>
        </w:rPr>
        <w:t xml:space="preserve"> והשופט </w:t>
      </w:r>
      <w:r>
        <w:rPr>
          <w:rFonts w:ascii="Century" w:hAnsi="Century" w:cs="Miriam"/>
          <w:b/>
          <w:spacing w:val="0"/>
          <w:sz w:val="22"/>
          <w:szCs w:val="24"/>
          <w:rtl/>
        </w:rPr>
        <w:t>ע' גרוסקופף</w:t>
      </w:r>
      <w:r>
        <w:rPr>
          <w:rFonts w:ascii="Century" w:hAnsi="Century"/>
          <w:sz w:val="22"/>
          <w:rtl/>
        </w:rPr>
        <w:t>.</w:t>
      </w:r>
    </w:p>
    <w:p w14:paraId="25FEE13C" w14:textId="77777777" w:rsidR="00613BC3" w:rsidRDefault="00613BC3" w:rsidP="00613BC3">
      <w:pPr>
        <w:pStyle w:val="Ruller4"/>
        <w:numPr>
          <w:ilvl w:val="0"/>
          <w:numId w:val="0"/>
        </w:numPr>
      </w:pPr>
    </w:p>
    <w:p w14:paraId="3E138640" w14:textId="77777777" w:rsidR="00613BC3" w:rsidRDefault="00613BC3" w:rsidP="00613BC3">
      <w:pPr>
        <w:pStyle w:val="Ruller4"/>
      </w:pPr>
      <w:r>
        <w:rPr>
          <w:rFonts w:ascii="Century" w:hAnsi="Century"/>
          <w:sz w:val="22"/>
          <w:rtl/>
        </w:rPr>
        <w:t xml:space="preserve">ביני וביני, הוגשה בקשה למתן פרטים נוספים על-ידי העותרים בבג"ץ 5819/24. העותרת בבג"ץ 27156-08-24 הגישה הודעת עדכון, שבה נטען כי מפכ"ל המשטרה הורה לשוטרים להימנע מעיכוב משתמטים או עריקים מן המגזר החרדי, וחלף זאת, הורה לשחררם תוך תיאום מועד התייצבות במשטרה הצבאית. זאת, בניגוד לסיכום קודם – שנקבע בדיוני המעקב שהתקיימו בראשות היועצת המשפטית לממשלה – שלפיו </w:t>
      </w:r>
      <w:r>
        <w:rPr>
          <w:rFonts w:ascii="Century" w:hAnsi="Century" w:cs="Miriam"/>
          <w:b/>
          <w:spacing w:val="0"/>
          <w:sz w:val="22"/>
          <w:szCs w:val="24"/>
          <w:rtl/>
        </w:rPr>
        <w:lastRenderedPageBreak/>
        <w:t>"המשטרה תעכב כל משתמט או עריק שהיה עמו מפגש אקראי למשך פרק זמן קצר, עד להגעת כוחות המשטרה הצבאית להמשך טיפול"</w:t>
      </w:r>
      <w:r>
        <w:rPr>
          <w:rFonts w:ascii="Century" w:hAnsi="Century"/>
          <w:sz w:val="22"/>
          <w:rtl/>
        </w:rPr>
        <w:t>.</w:t>
      </w:r>
    </w:p>
    <w:p w14:paraId="0E121BB8" w14:textId="77777777" w:rsidR="00613BC3" w:rsidRDefault="00613BC3" w:rsidP="00613BC3">
      <w:pPr>
        <w:pStyle w:val="Ruller4"/>
        <w:numPr>
          <w:ilvl w:val="0"/>
          <w:numId w:val="0"/>
        </w:numPr>
      </w:pPr>
    </w:p>
    <w:p w14:paraId="67BE2CD8" w14:textId="77777777" w:rsidR="00613BC3" w:rsidRDefault="00613BC3" w:rsidP="00613BC3">
      <w:pPr>
        <w:pStyle w:val="Ruller4"/>
      </w:pPr>
      <w:r>
        <w:rPr>
          <w:rFonts w:ascii="Century" w:hAnsi="Century"/>
          <w:sz w:val="22"/>
          <w:rtl/>
        </w:rPr>
        <w:t xml:space="preserve">ביום 27.10.2025, הוגש מענה לבקשה למתן פרטים נוספים, לצד הודעת עדכון ועיקרי טיעון מטעם משיבי המדינה. במענה נמסר, בין היתר, כי נכון ליום 15.10.2025, מתוך כ-24,000 צווי התייצבות להשלמת הליכי צו ראשון, שנשלחו במהלך שנת הגיוס 2024 – כלומר, בהתאם למתכונת עבודתו של הצבא, בין יולי 2024 ליוני 2025 – התייצבו בסך </w:t>
      </w:r>
      <w:proofErr w:type="spellStart"/>
      <w:r>
        <w:rPr>
          <w:rFonts w:ascii="Century" w:hAnsi="Century"/>
          <w:sz w:val="22"/>
          <w:rtl/>
        </w:rPr>
        <w:t>הכל</w:t>
      </w:r>
      <w:proofErr w:type="spellEnd"/>
      <w:r>
        <w:rPr>
          <w:rFonts w:ascii="Century" w:hAnsi="Century"/>
          <w:sz w:val="22"/>
          <w:rtl/>
        </w:rPr>
        <w:t xml:space="preserve"> 2,737 </w:t>
      </w:r>
      <w:proofErr w:type="spellStart"/>
      <w:r>
        <w:rPr>
          <w:rFonts w:ascii="Century" w:hAnsi="Century"/>
          <w:sz w:val="22"/>
          <w:rtl/>
        </w:rPr>
        <w:t>מלש"בים</w:t>
      </w:r>
      <w:proofErr w:type="spellEnd"/>
      <w:r>
        <w:rPr>
          <w:rFonts w:ascii="Century" w:hAnsi="Century"/>
          <w:sz w:val="22"/>
          <w:rtl/>
        </w:rPr>
        <w:t xml:space="preserve"> בני הציבור החרדי. בתוך כך, 1,508 </w:t>
      </w:r>
      <w:proofErr w:type="spellStart"/>
      <w:r>
        <w:rPr>
          <w:rFonts w:ascii="Century" w:hAnsi="Century"/>
          <w:sz w:val="22"/>
          <w:rtl/>
        </w:rPr>
        <w:t>מלש"בים</w:t>
      </w:r>
      <w:proofErr w:type="spellEnd"/>
      <w:r>
        <w:rPr>
          <w:rFonts w:ascii="Century" w:hAnsi="Century"/>
          <w:sz w:val="22"/>
          <w:rtl/>
        </w:rPr>
        <w:t xml:space="preserve"> השלימו את הליכי הצו הראשון; 798 חוילו; ונקבע מועד לגיוסם  של עוד 432 </w:t>
      </w:r>
      <w:proofErr w:type="spellStart"/>
      <w:r>
        <w:rPr>
          <w:rFonts w:ascii="Century" w:hAnsi="Century"/>
          <w:sz w:val="22"/>
          <w:rtl/>
        </w:rPr>
        <w:t>מלש"בים</w:t>
      </w:r>
      <w:proofErr w:type="spellEnd"/>
      <w:r>
        <w:rPr>
          <w:rFonts w:ascii="Century" w:hAnsi="Century"/>
          <w:sz w:val="22"/>
          <w:rtl/>
        </w:rPr>
        <w:t xml:space="preserve">. אשר לשנת הגיוס 2025, שהחלה בחודש יולי האחרון, דוּוח כי מתוך 53,741 צווי ההתייצבות שהוצאו לשנה זו, הגיע מועד התייצבותם של 15,983 </w:t>
      </w:r>
      <w:proofErr w:type="spellStart"/>
      <w:r>
        <w:rPr>
          <w:rFonts w:ascii="Century" w:hAnsi="Century"/>
          <w:sz w:val="22"/>
          <w:rtl/>
        </w:rPr>
        <w:t>מלש"בים</w:t>
      </w:r>
      <w:proofErr w:type="spellEnd"/>
      <w:r>
        <w:rPr>
          <w:rFonts w:ascii="Century" w:hAnsi="Century"/>
          <w:sz w:val="22"/>
          <w:rtl/>
        </w:rPr>
        <w:t xml:space="preserve">, אולם מתוכם התייצבו לצו ראשון 701 בלבד. </w:t>
      </w:r>
    </w:p>
    <w:p w14:paraId="05CB53DB" w14:textId="77777777" w:rsidR="00613BC3" w:rsidRDefault="00613BC3" w:rsidP="00613BC3">
      <w:pPr>
        <w:pStyle w:val="Ruller4"/>
        <w:numPr>
          <w:ilvl w:val="0"/>
          <w:numId w:val="0"/>
        </w:numPr>
        <w:rPr>
          <w:rtl/>
        </w:rPr>
      </w:pPr>
    </w:p>
    <w:p w14:paraId="645CB5EC" w14:textId="77777777" w:rsidR="00613BC3" w:rsidRDefault="00613BC3" w:rsidP="00613BC3">
      <w:pPr>
        <w:pStyle w:val="Ruller4"/>
        <w:rPr>
          <w:rtl/>
        </w:rPr>
      </w:pPr>
      <w:r>
        <w:rPr>
          <w:rFonts w:ascii="Century" w:hAnsi="Century"/>
          <w:sz w:val="22"/>
          <w:rtl/>
        </w:rPr>
        <w:t xml:space="preserve">עוד נמסר, כי לפי הערכת גורמי המקצוע בצה"ל, בהתאם לצרכי הצבא העדכניים, נדרשים לצורך מילוי השורות כ-12,000 חיילים נוספים בשירות חובה, מתוכם כ-7,500-6,000 לתפקידי לחימה; וכי נכון לאותו מועד, הוכרזו 6,975 משתמטים. כמו כן נמסר, כי בעקבות הגברת מאמצי האכיפה, במסגרת תכנית האכיפה שגובשה, מאז יולי 2025, שאז הוּחל ביישׂוּם </w:t>
      </w:r>
      <w:proofErr w:type="spellStart"/>
      <w:r>
        <w:rPr>
          <w:rFonts w:ascii="Century" w:hAnsi="Century"/>
          <w:sz w:val="22"/>
          <w:rtl/>
        </w:rPr>
        <w:t>התכנית</w:t>
      </w:r>
      <w:proofErr w:type="spellEnd"/>
      <w:r>
        <w:rPr>
          <w:rFonts w:ascii="Century" w:hAnsi="Century"/>
          <w:sz w:val="22"/>
          <w:rtl/>
        </w:rPr>
        <w:t xml:space="preserve">, נעצרו 425 עריקים ומשתמטים; זאת, לעומת 196 בחציון הראשון של השנה. לצד זאת, דיווחו משיבי המדינה, כי הנטל על משרתי המילואים גבר במידה ניכרת מאז פרוץ המלחמה, ואף לא השתנה משמעותית במהלכה, חרף שאיפת הצבא להגיע לידי כך: </w:t>
      </w:r>
      <w:r>
        <w:rPr>
          <w:rFonts w:ascii="Century" w:hAnsi="Century" w:cs="Miriam"/>
          <w:b/>
          <w:spacing w:val="0"/>
          <w:sz w:val="22"/>
          <w:szCs w:val="24"/>
          <w:rtl/>
        </w:rPr>
        <w:t>"יעד המילואים לשנת 2025 שעמד על כ-70 ימי מילואים לכל גדוד מילואים [...] נפרץ והצפי העדכני הוא כ-110 ימי מילואים לגדוד"</w:t>
      </w:r>
      <w:r>
        <w:rPr>
          <w:rFonts w:ascii="Century" w:hAnsi="Century"/>
          <w:sz w:val="22"/>
          <w:rtl/>
        </w:rPr>
        <w:t xml:space="preserve">. לצורך נרחב זה בחיילי מילואים, מטבע הדברים, עלות כלכלית גבוהה ביותר, המוערכת בכ-130 מיליארד ₪ בגין אובדן פעילות כלכלית למשק, ומעל ל-70 מיליארד ₪ שהועברו ישירות למימון שירות המילואים מאז תחילת המלחמה. אשר לטענה הנוגעת להחלטת מפכ"ל המשטרה להימנע ממעצר של עריקים או משתמטים עד להגעת המשטרה הצבאית, נמסר כי אכן, קיימת מחלוקת בין גורמי הצבא והמשטרה, וכי מתקיים שיח בין הגורמים הרלבנטיים, אולם </w:t>
      </w:r>
      <w:proofErr w:type="spellStart"/>
      <w:r>
        <w:rPr>
          <w:rFonts w:ascii="Century" w:hAnsi="Century"/>
          <w:sz w:val="22"/>
          <w:rtl/>
        </w:rPr>
        <w:t>הסוגיה</w:t>
      </w:r>
      <w:proofErr w:type="spellEnd"/>
      <w:r>
        <w:rPr>
          <w:rFonts w:ascii="Century" w:hAnsi="Century"/>
          <w:sz w:val="22"/>
          <w:rtl/>
        </w:rPr>
        <w:t xml:space="preserve"> טרם באה על פתרונה.</w:t>
      </w:r>
    </w:p>
    <w:p w14:paraId="53BC15DF" w14:textId="77777777" w:rsidR="00613BC3" w:rsidRDefault="00613BC3" w:rsidP="00613BC3">
      <w:pPr>
        <w:pStyle w:val="Ruller41"/>
        <w:rPr>
          <w:rtl/>
        </w:rPr>
      </w:pPr>
    </w:p>
    <w:p w14:paraId="719FDE81" w14:textId="77777777" w:rsidR="00613BC3" w:rsidRDefault="00613BC3" w:rsidP="00613BC3">
      <w:pPr>
        <w:pStyle w:val="Ruller4"/>
        <w:rPr>
          <w:rtl/>
        </w:rPr>
      </w:pPr>
      <w:r>
        <w:rPr>
          <w:rtl/>
        </w:rPr>
        <w:t xml:space="preserve">להודעה צורף גם מענה מטעם מזכיר הממשלה לפניית היועצת המשפטית לממשלה אל ראש הממשלה, בדבר הצורך בגיבוש תכנית ממשלתית לאכיפת חובת הגיוס. כך נכתב במענה (שנשלח ביום 23.10.2025): </w:t>
      </w:r>
    </w:p>
    <w:p w14:paraId="1D27FA8B" w14:textId="77777777" w:rsidR="00613BC3" w:rsidRDefault="00613BC3" w:rsidP="00613BC3">
      <w:pPr>
        <w:pStyle w:val="Ruller4"/>
        <w:numPr>
          <w:ilvl w:val="0"/>
          <w:numId w:val="0"/>
        </w:numPr>
      </w:pPr>
    </w:p>
    <w:p w14:paraId="21C36DC1" w14:textId="77777777" w:rsidR="00613BC3" w:rsidRDefault="00613BC3" w:rsidP="00613BC3">
      <w:pPr>
        <w:pStyle w:val="Ruller5"/>
      </w:pPr>
      <w:r>
        <w:rPr>
          <w:rFonts w:ascii="Century" w:hAnsi="Century" w:cs="Miriam"/>
          <w:b/>
          <w:spacing w:val="0"/>
          <w:szCs w:val="24"/>
          <w:rtl/>
        </w:rPr>
        <w:lastRenderedPageBreak/>
        <w:t>"עמדת הממשלה, הנתמכת על ידי מערכת הביטחון, הינה כי יש להשלים בהקדם האפשרי את הליך החקיקה של הצעת חוק שירות בטחון (תיקון מס' 26) בקריאה שנייה ושלישית [...] אשר קודמה במרחבי הסכמה עם הנהגת הציבור החרדי וכי זו הדרך היחידה להביא לגרף עלייה קבוע בגיוס לצה"ל מקרב הציבור החרדי בהתאם ליעדים שנקבעו בחוק, אל מול תמריצים, סנקציות והגבלות שונות הנכללים בחוק [...] ודוק, הממשלה לא הגישה עד כה עמדה ואין בכוונתה להגיש עמדה בעתירות היישומיות לבג"ץ, שעוסקות באכיפת גיוס חרדים משום שהסמכות והאחריות בנושא האכיפה היא של רשויות צה"ל (ולא של הייעוץ המשפטי לממשלה), שהן גם משיבות לעתירות"</w:t>
      </w:r>
      <w:r>
        <w:rPr>
          <w:rtl/>
        </w:rPr>
        <w:t xml:space="preserve">. </w:t>
      </w:r>
    </w:p>
    <w:p w14:paraId="615654FC" w14:textId="77777777" w:rsidR="00613BC3" w:rsidRDefault="00613BC3" w:rsidP="00613BC3">
      <w:pPr>
        <w:pStyle w:val="Ruller41"/>
        <w:rPr>
          <w:rtl/>
        </w:rPr>
      </w:pPr>
    </w:p>
    <w:p w14:paraId="48073983" w14:textId="77777777" w:rsidR="00613BC3" w:rsidRDefault="00613BC3" w:rsidP="00613BC3">
      <w:pPr>
        <w:pStyle w:val="Ruller4"/>
        <w:rPr>
          <w:rtl/>
        </w:rPr>
      </w:pPr>
      <w:r>
        <w:rPr>
          <w:rtl/>
        </w:rPr>
        <w:t xml:space="preserve">איחוד הישיבות, בעיקרי הטיעון שהוגשו מטעמו, טען כי נוכח הוצאת צווי ההתייצבות לכלל תלמידי הישיבות </w:t>
      </w:r>
      <w:proofErr w:type="spellStart"/>
      <w:r>
        <w:rPr>
          <w:rtl/>
        </w:rPr>
        <w:t>והמלש"בים</w:t>
      </w:r>
      <w:proofErr w:type="spellEnd"/>
      <w:r>
        <w:rPr>
          <w:rtl/>
        </w:rPr>
        <w:t xml:space="preserve"> בני הציבור החרדי, התייתר ראשו הראשון של הצו על-תנאי. באשר לראש השני, נטען כי הוא </w:t>
      </w:r>
      <w:r>
        <w:rPr>
          <w:rFonts w:ascii="Century" w:hAnsi="Century" w:cs="Miriam"/>
          <w:b/>
          <w:spacing w:val="0"/>
          <w:sz w:val="22"/>
          <w:szCs w:val="24"/>
          <w:rtl/>
        </w:rPr>
        <w:t>"חסר תשתית עובדתית ומשפטית לגבי אותן 'פעולות אכיפה אמורפיות'"</w:t>
      </w:r>
      <w:r>
        <w:rPr>
          <w:rFonts w:ascii="Century" w:hAnsi="Century"/>
          <w:sz w:val="22"/>
          <w:rtl/>
        </w:rPr>
        <w:t>; כי מדובר בסעד כוללני, כאשר ראוי כי הדיון בכל סנקציה יתברר בעתירה נפרדת</w:t>
      </w:r>
      <w:r>
        <w:rPr>
          <w:rtl/>
        </w:rPr>
        <w:t xml:space="preserve">; כי לא מתקיימים בענייננו התנאים להתערבות בשיקול הדעת של רשויות אכיפת החוק; וכי התשתית העובדתית שבבסיס 'הנחת היסוד' של המדינה השתנתה, </w:t>
      </w:r>
      <w:r>
        <w:rPr>
          <w:rFonts w:ascii="Century" w:hAnsi="Century" w:cs="Miriam"/>
          <w:b/>
          <w:spacing w:val="0"/>
          <w:sz w:val="22"/>
          <w:szCs w:val="24"/>
          <w:rtl/>
        </w:rPr>
        <w:t>"עת לא מתקיימת מלחמה בשבע חזיתות, ומידת הצורך בכוח אדם כנראה והשתנתה"</w:t>
      </w:r>
      <w:r>
        <w:rPr>
          <w:rFonts w:ascii="Century" w:hAnsi="Century"/>
          <w:sz w:val="22"/>
          <w:rtl/>
        </w:rPr>
        <w:t>.</w:t>
      </w:r>
      <w:r>
        <w:rPr>
          <w:rtl/>
        </w:rPr>
        <w:t xml:space="preserve"> </w:t>
      </w:r>
    </w:p>
    <w:p w14:paraId="58363AFE" w14:textId="77777777" w:rsidR="00613BC3" w:rsidRDefault="00613BC3" w:rsidP="00613BC3">
      <w:pPr>
        <w:pStyle w:val="Ruller41"/>
        <w:rPr>
          <w:rtl/>
        </w:rPr>
      </w:pPr>
    </w:p>
    <w:p w14:paraId="33820B66" w14:textId="77777777" w:rsidR="00613BC3" w:rsidRDefault="00613BC3" w:rsidP="00613BC3">
      <w:pPr>
        <w:pStyle w:val="Ruller4"/>
        <w:rPr>
          <w:rFonts w:ascii="Century" w:hAnsi="Century"/>
          <w:sz w:val="22"/>
        </w:rPr>
      </w:pPr>
      <w:r>
        <w:rPr>
          <w:rtl/>
        </w:rPr>
        <w:t xml:space="preserve">בעיקרי הטיעון שהוגשו מטעם העותרות – הן בבג"ץ 27156-08-24, הן בבג"ץ 55368-08-25 – נטען כי בניגוד לטענת המשיבים, ראשו הראשון של הצו על-תנאי – לא התייתר; כי הפעולות שבוצעו עד כה על-ידי הצבא אינן מספיקות, אף לא קרוב לכך; וכי יש מקום לדרוש ממשיבי המדינה להמציא פרטים נוספים שנעלמו מהודעותיהם הקודמות, ולבצע פעולות שונות ומגוונות להגברת האפקטיביות וטיוב האכיפה. בהתאם לכך נטען, כי מוטב שלא ליתן צו מוחלט בשלב זה, שכן נדרש המשך פיקוח שיפוטי. העותרים בבג"ץ 5189/24, לעומת זאת, סברו כי יש להפוך את הצו על-תנאי למוחלט, </w:t>
      </w:r>
      <w:r>
        <w:rPr>
          <w:rFonts w:ascii="Century" w:hAnsi="Century"/>
          <w:sz w:val="22"/>
          <w:rtl/>
        </w:rPr>
        <w:t>ו</w:t>
      </w:r>
      <w:r>
        <w:rPr>
          <w:rFonts w:ascii="Century" w:hAnsi="Century" w:cs="Miriam"/>
          <w:b/>
          <w:spacing w:val="0"/>
          <w:sz w:val="22"/>
          <w:szCs w:val="24"/>
          <w:rtl/>
        </w:rPr>
        <w:t>"לחייב את המשיבים לפעול להוצאה מיידית של צווי גיוס לכלל הציבור החרדי באופן המספק את צורכי הצבא, וכן לפעול באופן מיידי ל'נקיטת צעדי אכיפה אישיים אפקטיביים', תוך הרחבת סל הסנקציות הקיימות באופן מיידי שאינו מצריך חקיקה, בהתאם להמלצת גורמי המקצוע"</w:t>
      </w:r>
      <w:r>
        <w:rPr>
          <w:rFonts w:ascii="Century" w:hAnsi="Century"/>
          <w:sz w:val="22"/>
          <w:rtl/>
        </w:rPr>
        <w:t xml:space="preserve">. </w:t>
      </w:r>
    </w:p>
    <w:p w14:paraId="1EFC1BD4" w14:textId="77777777" w:rsidR="00613BC3" w:rsidRDefault="00613BC3" w:rsidP="00613BC3">
      <w:pPr>
        <w:pStyle w:val="Ruller41"/>
        <w:rPr>
          <w:rtl/>
        </w:rPr>
      </w:pPr>
    </w:p>
    <w:p w14:paraId="48C44A57" w14:textId="77777777" w:rsidR="00613BC3" w:rsidRDefault="00613BC3" w:rsidP="00613BC3">
      <w:pPr>
        <w:pStyle w:val="Ruller4"/>
        <w:rPr>
          <w:rtl/>
        </w:rPr>
      </w:pPr>
      <w:r>
        <w:rPr>
          <w:rtl/>
        </w:rPr>
        <w:t xml:space="preserve">ביום 29.10.2025, קיימנו דיון על-פה בהתנגדות לצו על-תנאי. במהלך הדיון נתבשׂרנו, מפי ב"כ משיבי המדינה, כי החל משנת הגיוס 2026 (שתחילתה בחודש יולי 2026) – לא תהיה לצה"ל מגבלה על יכולת קליטת החרדים לשורותיו. מלבד זאת, שבו </w:t>
      </w:r>
      <w:r>
        <w:rPr>
          <w:rtl/>
        </w:rPr>
        <w:lastRenderedPageBreak/>
        <w:t xml:space="preserve">הצדדים על טענותיהם, וענו כמיטב יכולתם על שאלותינו; גם המבקשים להצטרף נשמעו. כלל הטענות מונחות אפוא לפנינו; בשלה העת להכרעה בעתירות.  </w:t>
      </w:r>
    </w:p>
    <w:p w14:paraId="2D64B988" w14:textId="77777777" w:rsidR="00613BC3" w:rsidRDefault="00613BC3" w:rsidP="00613BC3">
      <w:pPr>
        <w:pStyle w:val="Ruller4"/>
        <w:numPr>
          <w:ilvl w:val="0"/>
          <w:numId w:val="0"/>
        </w:numPr>
        <w:rPr>
          <w:rFonts w:ascii="Century" w:hAnsi="Century"/>
          <w:sz w:val="22"/>
          <w:rtl/>
        </w:rPr>
      </w:pPr>
    </w:p>
    <w:p w14:paraId="0C2E6CA7"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דיון והכרעה</w:t>
      </w:r>
    </w:p>
    <w:p w14:paraId="6C0AF8C4" w14:textId="77777777" w:rsidR="00613BC3" w:rsidRDefault="00613BC3" w:rsidP="00613BC3">
      <w:pPr>
        <w:pStyle w:val="Ruller4"/>
        <w:rPr>
          <w:rtl/>
        </w:rPr>
      </w:pPr>
      <w:r>
        <w:rPr>
          <w:rtl/>
        </w:rPr>
        <w:t xml:space="preserve">לאחר שבחנתי את טענות הצדדים, אלו שבכתב ואלו שבעל-פה, באתי לכלל מסקנה כי דין העתירות, בעיקרו של דבר – להתקבל. תחילה, אדון בראשו הראשון של הצו על-תנאי, אשר לגביו דומני כי לא נדרש עוד סעד אופרטיבי מצדנו. לאחר מכן, אדון בראשו השני של הצו על-תנאי, על שני חלקיו – הפלילי והאזרחי – ואפרוט את הנימוקים שבגינם יש להפוך את הצו למוחלט. טרם אפנה לדון בטענות לגופן, אפרושׂ בקצרה את נקודות המוצא לדיון. </w:t>
      </w:r>
    </w:p>
    <w:p w14:paraId="7BF65695" w14:textId="77777777" w:rsidR="00613BC3" w:rsidRDefault="00613BC3" w:rsidP="00613BC3">
      <w:pPr>
        <w:pStyle w:val="Ruller41"/>
        <w:rPr>
          <w:rtl/>
        </w:rPr>
      </w:pPr>
    </w:p>
    <w:p w14:paraId="34649B2C" w14:textId="77777777" w:rsidR="00613BC3" w:rsidRDefault="00613BC3" w:rsidP="00613BC3">
      <w:pPr>
        <w:pStyle w:val="Ruller4"/>
        <w:rPr>
          <w:rFonts w:ascii="Century" w:hAnsi="Century"/>
          <w:sz w:val="22"/>
          <w:rtl/>
        </w:rPr>
      </w:pPr>
      <w:r>
        <w:rPr>
          <w:rtl/>
        </w:rPr>
        <w:t xml:space="preserve">נקודת מוצא ראשונה היא כי בהתאם למצב החוקי הנוהג, חוק שירות בטחון – וחובת הגיוס שהוא מטיל – חל באופן שוויוני, גם על בני הציבור החרדי. אכן, </w:t>
      </w:r>
      <w:r>
        <w:rPr>
          <w:rFonts w:ascii="Century" w:hAnsi="Century" w:cs="Miriam"/>
          <w:b/>
          <w:spacing w:val="0"/>
          <w:sz w:val="22"/>
          <w:szCs w:val="24"/>
          <w:rtl/>
        </w:rPr>
        <w:t>"חובה זו מוטלת באורח שוויוני, ועל כל האזרחים לשאת בה"</w:t>
      </w:r>
      <w:r>
        <w:rPr>
          <w:rtl/>
        </w:rPr>
        <w:t xml:space="preserve"> </w:t>
      </w:r>
      <w:r>
        <w:rPr>
          <w:rFonts w:ascii="Century" w:hAnsi="Century"/>
          <w:sz w:val="22"/>
          <w:rtl/>
        </w:rPr>
        <w:t xml:space="preserve">(בג"ץ 2383/04 </w:t>
      </w:r>
      <w:r>
        <w:rPr>
          <w:rFonts w:ascii="Century" w:hAnsi="Century" w:cs="Miriam"/>
          <w:b/>
          <w:spacing w:val="0"/>
          <w:sz w:val="22"/>
          <w:szCs w:val="24"/>
          <w:rtl/>
        </w:rPr>
        <w:t>מילוא נ' שר הביטחון</w:t>
      </w:r>
      <w:r>
        <w:rPr>
          <w:rFonts w:ascii="Century" w:hAnsi="Century"/>
          <w:sz w:val="22"/>
          <w:rtl/>
        </w:rPr>
        <w:t>, פ"ד נט(1) 166, 175 (2004)</w:t>
      </w:r>
      <w:r>
        <w:rPr>
          <w:rtl/>
        </w:rPr>
        <w:t xml:space="preserve">; ראו גם: </w:t>
      </w:r>
      <w:r>
        <w:rPr>
          <w:rFonts w:ascii="Century" w:hAnsi="Century" w:cs="Miriam"/>
          <w:b/>
          <w:spacing w:val="0"/>
          <w:sz w:val="22"/>
          <w:szCs w:val="24"/>
          <w:rtl/>
        </w:rPr>
        <w:t>בג"ץ 6427/02</w:t>
      </w:r>
      <w:r>
        <w:rPr>
          <w:rFonts w:ascii="Century" w:hAnsi="Century"/>
          <w:sz w:val="22"/>
          <w:rtl/>
        </w:rPr>
        <w:t>, עמוד 678;</w:t>
      </w:r>
      <w:r>
        <w:rPr>
          <w:rtl/>
        </w:rPr>
        <w:t xml:space="preserve"> סעיף 2 ל</w:t>
      </w:r>
      <w:r>
        <w:rPr>
          <w:rFonts w:ascii="FrankRuehl" w:hAnsi="FrankRuehl"/>
          <w:color w:val="000000"/>
          <w:sz w:val="28"/>
          <w:rtl/>
        </w:rPr>
        <w:t>פקודת צבא הגנה-לישראל, התש"ח-1948</w:t>
      </w:r>
      <w:r>
        <w:rPr>
          <w:rtl/>
        </w:rPr>
        <w:t xml:space="preserve"> (להלן: </w:t>
      </w:r>
      <w:r>
        <w:rPr>
          <w:rFonts w:ascii="Century" w:hAnsi="Century" w:cs="Miriam"/>
          <w:b/>
          <w:spacing w:val="0"/>
          <w:sz w:val="22"/>
          <w:szCs w:val="24"/>
          <w:rtl/>
        </w:rPr>
        <w:t>פקודת צבא-הגנה לישראל</w:t>
      </w:r>
      <w:r>
        <w:rPr>
          <w:rFonts w:ascii="Century" w:hAnsi="Century"/>
          <w:sz w:val="22"/>
          <w:rtl/>
        </w:rPr>
        <w:t>)</w:t>
      </w:r>
      <w:r>
        <w:rPr>
          <w:rtl/>
        </w:rPr>
        <w:t xml:space="preserve">). זאת ועוד, כפי שנקבע כבר בעניין </w:t>
      </w:r>
      <w:r>
        <w:rPr>
          <w:rFonts w:ascii="Century" w:hAnsi="Century" w:cs="Miriam"/>
          <w:b/>
          <w:spacing w:val="0"/>
          <w:sz w:val="22"/>
          <w:szCs w:val="24"/>
          <w:rtl/>
        </w:rPr>
        <w:t>רובינשטיין</w:t>
      </w:r>
      <w:r>
        <w:rPr>
          <w:rFonts w:ascii="Century" w:hAnsi="Century"/>
          <w:sz w:val="22"/>
          <w:rtl/>
        </w:rPr>
        <w:t>, ונשנה ב</w:t>
      </w:r>
      <w:r>
        <w:rPr>
          <w:rFonts w:ascii="Century" w:hAnsi="Century" w:cs="Miriam"/>
          <w:b/>
          <w:spacing w:val="0"/>
          <w:sz w:val="22"/>
          <w:szCs w:val="24"/>
          <w:rtl/>
        </w:rPr>
        <w:t>בג"ץ 6198/23</w:t>
      </w:r>
      <w:r>
        <w:rPr>
          <w:rFonts w:ascii="Century" w:hAnsi="Century"/>
          <w:sz w:val="22"/>
          <w:rtl/>
        </w:rPr>
        <w:t xml:space="preserve">, בהעדר מסגרת חקיקתית מתאימה, לממשלה אין כלל </w:t>
      </w:r>
      <w:r>
        <w:rPr>
          <w:rFonts w:ascii="Century" w:hAnsi="Century" w:cs="Miriam"/>
          <w:b/>
          <w:spacing w:val="0"/>
          <w:sz w:val="22"/>
          <w:szCs w:val="24"/>
          <w:rtl/>
        </w:rPr>
        <w:t xml:space="preserve">סמכות </w:t>
      </w:r>
      <w:r>
        <w:rPr>
          <w:rFonts w:ascii="Century" w:hAnsi="Century"/>
          <w:sz w:val="22"/>
          <w:rtl/>
        </w:rPr>
        <w:t xml:space="preserve">לקבוע פטור גורף מחובת הגיוס </w:t>
      </w:r>
      <w:proofErr w:type="spellStart"/>
      <w:r>
        <w:rPr>
          <w:rFonts w:ascii="Century" w:hAnsi="Century"/>
          <w:sz w:val="22"/>
          <w:rtl/>
        </w:rPr>
        <w:t>למלש"בים</w:t>
      </w:r>
      <w:proofErr w:type="spellEnd"/>
      <w:r>
        <w:rPr>
          <w:rFonts w:ascii="Century" w:hAnsi="Century"/>
          <w:sz w:val="22"/>
          <w:rtl/>
        </w:rPr>
        <w:t xml:space="preserve"> המשתייכים לקבוצה מסוימת בכלל, ולקבוצת תלמידי הישיבות בפרט. הדברים ידועים וברורים, מעוגנים היטב בחקיקה ובפסיקה, ואין עוד צורך להוסיף עליהם; אכן, בהקשר זה, </w:t>
      </w:r>
      <w:r>
        <w:rPr>
          <w:rFonts w:ascii="Century" w:hAnsi="Century" w:cs="Miriam"/>
          <w:b/>
          <w:spacing w:val="0"/>
          <w:sz w:val="22"/>
          <w:szCs w:val="24"/>
          <w:rtl/>
        </w:rPr>
        <w:t>"איננו נדרשים להתחיל מבראשית; להיפך, מצויים אנו בקרקע חרושה היטב"</w:t>
      </w:r>
      <w:r>
        <w:rPr>
          <w:rFonts w:ascii="Century" w:hAnsi="Century"/>
          <w:sz w:val="22"/>
          <w:rtl/>
        </w:rPr>
        <w:t xml:space="preserve"> (</w:t>
      </w:r>
      <w:r>
        <w:rPr>
          <w:rFonts w:ascii="Century" w:hAnsi="Century" w:cs="Miriam"/>
          <w:b/>
          <w:spacing w:val="0"/>
          <w:sz w:val="22"/>
          <w:szCs w:val="24"/>
          <w:rtl/>
        </w:rPr>
        <w:t>בג"ץ 6198/23</w:t>
      </w:r>
      <w:r>
        <w:rPr>
          <w:rFonts w:ascii="Century" w:hAnsi="Century"/>
          <w:sz w:val="22"/>
          <w:rtl/>
        </w:rPr>
        <w:t xml:space="preserve">, פסקה 47). </w:t>
      </w:r>
    </w:p>
    <w:p w14:paraId="12A1C95E" w14:textId="77777777" w:rsidR="00613BC3" w:rsidRDefault="00613BC3" w:rsidP="00613BC3">
      <w:pPr>
        <w:pStyle w:val="Ruller41"/>
        <w:rPr>
          <w:rtl/>
        </w:rPr>
      </w:pPr>
    </w:p>
    <w:p w14:paraId="63B6E194" w14:textId="77777777" w:rsidR="00613BC3" w:rsidRDefault="00613BC3" w:rsidP="00613BC3">
      <w:pPr>
        <w:pStyle w:val="Ruller4"/>
        <w:rPr>
          <w:rtl/>
        </w:rPr>
      </w:pPr>
      <w:r>
        <w:rPr>
          <w:rtl/>
        </w:rPr>
        <w:t xml:space="preserve">נקודת מוצא שניה היא שאותו אי-שוויון מעיק, זועק, שעמד בבסיס גלגוליה הקודמים של סוגיה זו, נעשה חמור יותר ויותר מאז פרוץ המלחמה ביום השבעה באוקטובר 2023. כפי שנמסר מאת משיבי המדינה, </w:t>
      </w:r>
      <w:r>
        <w:rPr>
          <w:rFonts w:ascii="Century" w:hAnsi="Century" w:cs="Miriam"/>
          <w:b/>
          <w:spacing w:val="0"/>
          <w:sz w:val="22"/>
          <w:szCs w:val="24"/>
          <w:rtl/>
        </w:rPr>
        <w:t xml:space="preserve">"הצפי העדכני הוא כ-110 ימי מילואים לגדוד" </w:t>
      </w:r>
      <w:r>
        <w:rPr>
          <w:rFonts w:ascii="Century" w:hAnsi="Century"/>
          <w:sz w:val="22"/>
          <w:rtl/>
        </w:rPr>
        <w:t xml:space="preserve">בשנת 2025; כמעט </w:t>
      </w:r>
      <w:r>
        <w:rPr>
          <w:rFonts w:ascii="Century" w:hAnsi="Century" w:cs="Miriam"/>
          <w:b/>
          <w:spacing w:val="0"/>
          <w:sz w:val="22"/>
          <w:szCs w:val="24"/>
          <w:rtl/>
        </w:rPr>
        <w:t>שליש</w:t>
      </w:r>
      <w:r>
        <w:rPr>
          <w:rFonts w:ascii="Century" w:hAnsi="Century"/>
          <w:sz w:val="22"/>
          <w:rtl/>
        </w:rPr>
        <w:t xml:space="preserve"> מימי השנה. אותם 110 ימים מצטרפים למאות רבות של ימים שמשרתי המילואים נדרשים לבצע מאז פרוץ המלחמה</w:t>
      </w:r>
      <w:r>
        <w:rPr>
          <w:rtl/>
        </w:rPr>
        <w:t>. הנטל – כבד ביותר. השלכות הרוחב – על חייהם של אלה הנושאים בו, על מצבם הפיזי והנפשי, על בני משפחותיהם – קשות מנשוא. ויובהר: הקושי בהמשך המצב הנוכחי היה חמור מספיק כשלעצמו, גם ללא קשר למלחמה. עם זאת, ברי כי לא ניתן להשקיף על מצב הדברים במנותק מהקשר, וכי נסיבות אלו מרחפות ברקע הדברים כל העת ומחריפות את הקושי.</w:t>
      </w:r>
    </w:p>
    <w:p w14:paraId="79F8E113" w14:textId="77777777" w:rsidR="00613BC3" w:rsidRDefault="00613BC3" w:rsidP="00613BC3">
      <w:pPr>
        <w:pStyle w:val="Ruller4"/>
        <w:numPr>
          <w:ilvl w:val="0"/>
          <w:numId w:val="0"/>
        </w:numPr>
      </w:pPr>
    </w:p>
    <w:p w14:paraId="5BDF8ED6" w14:textId="77777777" w:rsidR="00613BC3" w:rsidRDefault="00613BC3" w:rsidP="00613BC3">
      <w:pPr>
        <w:pStyle w:val="Ruller4"/>
        <w:rPr>
          <w:rFonts w:ascii="Century" w:hAnsi="Century"/>
          <w:sz w:val="22"/>
        </w:rPr>
      </w:pPr>
      <w:r>
        <w:rPr>
          <w:rtl/>
        </w:rPr>
        <w:lastRenderedPageBreak/>
        <w:t xml:space="preserve">נקודת מוצא שלישית היא שבעת הנוכחית, על הפרק לא רק סוגיה של שוויון, אלא </w:t>
      </w:r>
      <w:r>
        <w:rPr>
          <w:rFonts w:ascii="Century" w:hAnsi="Century" w:cs="Miriam"/>
          <w:b/>
          <w:spacing w:val="0"/>
          <w:sz w:val="22"/>
          <w:szCs w:val="24"/>
          <w:rtl/>
        </w:rPr>
        <w:t>צורך ביטחוני ממשי</w:t>
      </w:r>
      <w:r>
        <w:rPr>
          <w:rtl/>
        </w:rPr>
        <w:t xml:space="preserve">. כפי שנמסר מאת גורמי המקצוע בצה"ל, כאמור לעיל, </w:t>
      </w:r>
      <w:r>
        <w:rPr>
          <w:rFonts w:ascii="Century" w:hAnsi="Century"/>
          <w:sz w:val="22"/>
          <w:rtl/>
        </w:rPr>
        <w:t xml:space="preserve">לפי צרכי הצבא העדכניים נדרשים כ-12,000 חיילים נוספים בשירות חובה, כאשר למעלה ממחציתם – לתפקידי לחימה. מחסור זה בחיילים, ובלוחמים בפרט, בא לידי ביטוי לאורך המלחמה, בין היתר, בהיקפים יוצאי הדופן של גיוס המילואים; בהעלאת גיל הפטור משירות מילואים (ראו: </w:t>
      </w:r>
      <w:r>
        <w:rPr>
          <w:rFonts w:ascii="FrankRuehl" w:hAnsi="FrankRuehl"/>
          <w:color w:val="000000"/>
          <w:sz w:val="28"/>
          <w:rtl/>
        </w:rPr>
        <w:t xml:space="preserve">חוק שירות בטחון (תיקון מס' 26 – הוראת שעה – חרבות ברזל), התשפ"ד-2024); ובהקדמת גיוסם של תלמידי ישיבות ההסדר, המכינות הקדם-צבאיות ומבצעי שנות שירות (אף לא למותר לציין, כי הוכן תזכיר חקיקה להארכת השירות הסדיר; וכי עמדת הממשלה, כפי שהוצגה על-ידי מזכיר הממשלה, במכתבו אל היועצת המשפטית לממשלה מיום 23.10.2025, היא כי </w:t>
      </w:r>
      <w:r>
        <w:rPr>
          <w:rFonts w:ascii="Century" w:hAnsi="Century"/>
          <w:sz w:val="22"/>
          <w:rtl/>
        </w:rPr>
        <w:t xml:space="preserve">יש לקדם את </w:t>
      </w:r>
      <w:r>
        <w:rPr>
          <w:rFonts w:ascii="Century" w:hAnsi="Century" w:cs="Miriam"/>
          <w:b/>
          <w:spacing w:val="0"/>
          <w:sz w:val="22"/>
          <w:szCs w:val="24"/>
          <w:rtl/>
        </w:rPr>
        <w:t xml:space="preserve">"הארכת משך השירות הסדיר ל-36 חודשים כדי לעמוד בצורכי </w:t>
      </w:r>
      <w:proofErr w:type="spellStart"/>
      <w:r>
        <w:rPr>
          <w:rFonts w:ascii="Century" w:hAnsi="Century" w:cs="Miriam"/>
          <w:b/>
          <w:spacing w:val="0"/>
          <w:sz w:val="22"/>
          <w:szCs w:val="24"/>
          <w:rtl/>
        </w:rPr>
        <w:t>הסד"כ</w:t>
      </w:r>
      <w:proofErr w:type="spellEnd"/>
      <w:r>
        <w:rPr>
          <w:rFonts w:ascii="Century" w:hAnsi="Century" w:cs="Miriam"/>
          <w:b/>
          <w:spacing w:val="0"/>
          <w:sz w:val="22"/>
          <w:szCs w:val="24"/>
          <w:rtl/>
        </w:rPr>
        <w:t xml:space="preserve"> של צה"ל לשנים הקרובות"</w:t>
      </w:r>
      <w:r>
        <w:rPr>
          <w:rFonts w:ascii="FrankRuehl" w:hAnsi="FrankRuehl"/>
          <w:color w:val="000000"/>
          <w:sz w:val="28"/>
          <w:rtl/>
        </w:rPr>
        <w:t>). ברי, כי בנסיבות אלה, חלה חובה על הרשויות הרלבנטיות להביא בחשבון, במסגרת הפעלת שיקול דעתן, את ה</w:t>
      </w:r>
      <w:r>
        <w:rPr>
          <w:rFonts w:ascii="Century" w:hAnsi="Century" w:cs="Miriam"/>
          <w:b/>
          <w:spacing w:val="0"/>
          <w:sz w:val="22"/>
          <w:szCs w:val="24"/>
          <w:rtl/>
        </w:rPr>
        <w:t>"אתגרים שמונחים לפתחו של הצבא ומערכת הביטחון בימים אלה"</w:t>
      </w:r>
      <w:r>
        <w:rPr>
          <w:rFonts w:ascii="Century" w:hAnsi="Century"/>
          <w:sz w:val="22"/>
          <w:rtl/>
        </w:rPr>
        <w:t>,</w:t>
      </w:r>
      <w:r>
        <w:rPr>
          <w:rFonts w:ascii="FrankRuehl" w:hAnsi="FrankRuehl"/>
          <w:color w:val="000000"/>
          <w:sz w:val="28"/>
          <w:rtl/>
        </w:rPr>
        <w:t xml:space="preserve"> כמו גם את </w:t>
      </w:r>
      <w:r>
        <w:rPr>
          <w:rFonts w:ascii="Century" w:hAnsi="Century" w:cs="Miriam"/>
          <w:b/>
          <w:spacing w:val="0"/>
          <w:sz w:val="22"/>
          <w:szCs w:val="24"/>
          <w:rtl/>
        </w:rPr>
        <w:t>"צרכי הביטחון הקונקרטיים"</w:t>
      </w:r>
      <w:r>
        <w:rPr>
          <w:rFonts w:ascii="FrankRuehl" w:hAnsi="FrankRuehl"/>
          <w:color w:val="000000"/>
          <w:sz w:val="28"/>
          <w:rtl/>
        </w:rPr>
        <w:t xml:space="preserve"> נוכח ה</w:t>
      </w:r>
      <w:r>
        <w:rPr>
          <w:rFonts w:ascii="Century" w:hAnsi="Century" w:cs="Miriam"/>
          <w:b/>
          <w:spacing w:val="0"/>
          <w:sz w:val="22"/>
          <w:szCs w:val="24"/>
          <w:rtl/>
        </w:rPr>
        <w:t xml:space="preserve">"המציאות הביטחונית שבה אנו מצויים בימים אלה ממש" </w:t>
      </w:r>
      <w:r>
        <w:rPr>
          <w:rFonts w:ascii="Century" w:hAnsi="Century"/>
          <w:sz w:val="22"/>
          <w:rtl/>
        </w:rPr>
        <w:t>(</w:t>
      </w:r>
      <w:r>
        <w:rPr>
          <w:rFonts w:ascii="Century" w:hAnsi="Century" w:cs="Miriam"/>
          <w:b/>
          <w:spacing w:val="0"/>
          <w:sz w:val="22"/>
          <w:szCs w:val="24"/>
          <w:rtl/>
        </w:rPr>
        <w:t>בג"ץ 6198/23</w:t>
      </w:r>
      <w:r>
        <w:rPr>
          <w:rFonts w:ascii="Century" w:hAnsi="Century"/>
          <w:sz w:val="22"/>
          <w:rtl/>
        </w:rPr>
        <w:t>, פסקה 59).</w:t>
      </w:r>
      <w:r>
        <w:rPr>
          <w:rFonts w:ascii="FrankRuehl" w:hAnsi="FrankRuehl"/>
          <w:color w:val="000000"/>
          <w:sz w:val="28"/>
          <w:rtl/>
        </w:rPr>
        <w:t xml:space="preserve">   </w:t>
      </w:r>
      <w:r>
        <w:rPr>
          <w:rFonts w:ascii="Century" w:hAnsi="Century"/>
          <w:sz w:val="22"/>
          <w:rtl/>
        </w:rPr>
        <w:t xml:space="preserve"> </w:t>
      </w:r>
    </w:p>
    <w:p w14:paraId="2A77882D" w14:textId="77777777" w:rsidR="00613BC3" w:rsidRDefault="00613BC3" w:rsidP="00613BC3">
      <w:pPr>
        <w:pStyle w:val="Ruller41"/>
        <w:rPr>
          <w:rtl/>
        </w:rPr>
      </w:pPr>
    </w:p>
    <w:p w14:paraId="46AFF76C" w14:textId="77777777" w:rsidR="00613BC3" w:rsidRDefault="00613BC3" w:rsidP="00613BC3">
      <w:pPr>
        <w:pStyle w:val="Ruller4"/>
        <w:rPr>
          <w:rtl/>
        </w:rPr>
      </w:pPr>
      <w:r>
        <w:rPr>
          <w:rtl/>
        </w:rPr>
        <w:t xml:space="preserve">נקודת מוצא רביעית היא שהחובה להביא לגיוס תלמידי ישיבות איננה משימה </w:t>
      </w:r>
      <w:r>
        <w:rPr>
          <w:rFonts w:ascii="Century" w:hAnsi="Century" w:cs="Miriam"/>
          <w:b/>
          <w:spacing w:val="0"/>
          <w:sz w:val="22"/>
          <w:szCs w:val="24"/>
          <w:rtl/>
        </w:rPr>
        <w:t>צבאית</w:t>
      </w:r>
      <w:r>
        <w:rPr>
          <w:rtl/>
        </w:rPr>
        <w:t xml:space="preserve"> בלבד, אלא משימה </w:t>
      </w:r>
      <w:r>
        <w:rPr>
          <w:rFonts w:ascii="Century" w:hAnsi="Century" w:cs="Miriam"/>
          <w:b/>
          <w:spacing w:val="0"/>
          <w:sz w:val="22"/>
          <w:szCs w:val="24"/>
          <w:rtl/>
        </w:rPr>
        <w:t>לאומית</w:t>
      </w:r>
      <w:r>
        <w:rPr>
          <w:rtl/>
        </w:rPr>
        <w:t xml:space="preserve"> בעלת חשיבות עליונה </w:t>
      </w:r>
      <w:r>
        <w:rPr>
          <w:rFonts w:ascii="Century" w:hAnsi="Century"/>
          <w:sz w:val="22"/>
          <w:rtl/>
        </w:rPr>
        <w:t xml:space="preserve">(ראו והשוו: עניין </w:t>
      </w:r>
      <w:r>
        <w:rPr>
          <w:rFonts w:ascii="Century" w:hAnsi="Century" w:cs="Miriam"/>
          <w:b/>
          <w:spacing w:val="0"/>
          <w:sz w:val="22"/>
          <w:szCs w:val="24"/>
          <w:rtl/>
        </w:rPr>
        <w:t>רובינשטיין</w:t>
      </w:r>
      <w:r>
        <w:rPr>
          <w:rFonts w:ascii="Century" w:hAnsi="Century"/>
          <w:sz w:val="22"/>
          <w:rtl/>
        </w:rPr>
        <w:t xml:space="preserve">, עמודים 528, 530; ראו גם: </w:t>
      </w:r>
      <w:r>
        <w:rPr>
          <w:rFonts w:ascii="Century" w:hAnsi="Century" w:cs="Miriam"/>
          <w:b/>
          <w:spacing w:val="0"/>
          <w:sz w:val="22"/>
          <w:szCs w:val="24"/>
          <w:rtl/>
        </w:rPr>
        <w:t>בג"ץ 6198/23</w:t>
      </w:r>
      <w:r>
        <w:rPr>
          <w:rFonts w:ascii="Century" w:hAnsi="Century"/>
          <w:sz w:val="22"/>
          <w:rtl/>
        </w:rPr>
        <w:t xml:space="preserve">, פסקה 47). משמעות הדברים היא שפעולות צה"ל לבדו, הגם שהן הכרחיות כמובן – לא די בהן; </w:t>
      </w:r>
      <w:r>
        <w:rPr>
          <w:rtl/>
        </w:rPr>
        <w:t xml:space="preserve">כל רשויות השלטון הרלבנטיות נדרשות לעסוק בסוגיה, בגדרי הסמכויות המוקנות להן, ולהירתם למאמץ להביא לשינוי המציאות הקיימת – מציאות </w:t>
      </w:r>
      <w:r>
        <w:rPr>
          <w:rFonts w:ascii="Century" w:hAnsi="Century" w:cs="Miriam"/>
          <w:b/>
          <w:spacing w:val="0"/>
          <w:sz w:val="22"/>
          <w:szCs w:val="24"/>
          <w:rtl/>
        </w:rPr>
        <w:t>לא חוקית</w:t>
      </w:r>
      <w:r>
        <w:rPr>
          <w:rFonts w:ascii="Century" w:hAnsi="Century"/>
          <w:sz w:val="22"/>
          <w:rtl/>
        </w:rPr>
        <w:t>, שאין להסכין עמה, ואשר קורעת את החברה הישראלית מתוכה-פנימה</w:t>
      </w:r>
      <w:r>
        <w:rPr>
          <w:rtl/>
        </w:rPr>
        <w:t xml:space="preserve">. </w:t>
      </w:r>
    </w:p>
    <w:p w14:paraId="67B3B23D" w14:textId="77777777" w:rsidR="00613BC3" w:rsidRDefault="00613BC3" w:rsidP="00613BC3">
      <w:pPr>
        <w:pStyle w:val="Ruller4"/>
        <w:numPr>
          <w:ilvl w:val="0"/>
          <w:numId w:val="0"/>
        </w:numPr>
        <w:rPr>
          <w:rFonts w:ascii="Century" w:hAnsi="Century"/>
          <w:sz w:val="22"/>
          <w:rtl/>
        </w:rPr>
      </w:pPr>
    </w:p>
    <w:p w14:paraId="73C9BD5A" w14:textId="77777777" w:rsidR="00613BC3" w:rsidRDefault="00613BC3" w:rsidP="00613BC3">
      <w:pPr>
        <w:pStyle w:val="Ruller4"/>
        <w:numPr>
          <w:ilvl w:val="0"/>
          <w:numId w:val="0"/>
        </w:numPr>
        <w:rPr>
          <w:rtl/>
        </w:rPr>
      </w:pPr>
      <w:r>
        <w:rPr>
          <w:rtl/>
        </w:rPr>
        <w:tab/>
        <w:t>אלו נקודות המוצא, ומכאן – לגוף הדברים.</w:t>
      </w:r>
    </w:p>
    <w:p w14:paraId="1D7214D1" w14:textId="77777777" w:rsidR="00613BC3" w:rsidRDefault="00613BC3" w:rsidP="00613BC3">
      <w:pPr>
        <w:pStyle w:val="Ruller4"/>
        <w:numPr>
          <w:ilvl w:val="0"/>
          <w:numId w:val="0"/>
        </w:numPr>
        <w:rPr>
          <w:rtl/>
        </w:rPr>
      </w:pPr>
    </w:p>
    <w:p w14:paraId="3C9557CA"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הוצאת צווי גיוס</w:t>
      </w:r>
    </w:p>
    <w:p w14:paraId="4855AD42" w14:textId="77777777" w:rsidR="00613BC3" w:rsidRDefault="00613BC3" w:rsidP="00613BC3">
      <w:pPr>
        <w:pStyle w:val="Ruller4"/>
        <w:rPr>
          <w:rFonts w:ascii="Century" w:hAnsi="Century"/>
          <w:sz w:val="22"/>
          <w:rtl/>
        </w:rPr>
      </w:pPr>
      <w:r>
        <w:rPr>
          <w:rFonts w:ascii="Century" w:hAnsi="Century"/>
          <w:sz w:val="22"/>
          <w:rtl/>
        </w:rPr>
        <w:t>כזכור, בראשו הראשון של הצו על-תנאי,</w:t>
      </w:r>
      <w:r>
        <w:rPr>
          <w:rFonts w:ascii="Century" w:hAnsi="Century" w:cs="Miriam"/>
          <w:b/>
          <w:spacing w:val="0"/>
          <w:sz w:val="22"/>
          <w:szCs w:val="24"/>
          <w:rtl/>
        </w:rPr>
        <w:t xml:space="preserve"> </w:t>
      </w:r>
      <w:r>
        <w:rPr>
          <w:rFonts w:ascii="Century" w:hAnsi="Century"/>
          <w:sz w:val="22"/>
          <w:rtl/>
        </w:rPr>
        <w:t>התבקשו המשיבים לבוא וליתן טעם מדוע</w:t>
      </w:r>
      <w:r>
        <w:rPr>
          <w:rFonts w:ascii="Century" w:hAnsi="Century" w:cs="Miriam"/>
          <w:b/>
          <w:spacing w:val="0"/>
          <w:sz w:val="22"/>
          <w:szCs w:val="24"/>
          <w:rtl/>
        </w:rPr>
        <w:t xml:space="preserve"> "לא יוציאו או יוסיפו להוציא צווי גיוס בעניינם של המועמדים לשירות ביטחון שעליהם נסבות העתירות, בהיקף המתאים לצורכי הצבא כפי שאלה מוצגים מעת לעת על-ידי הגורמים המקצועיים בצבא"</w:t>
      </w:r>
      <w:r>
        <w:rPr>
          <w:rFonts w:ascii="Century" w:hAnsi="Century"/>
          <w:sz w:val="22"/>
          <w:rtl/>
        </w:rPr>
        <w:t>. לגבי ראש זה, סבורני כי הגם שהמלאכה עוד לא תמה, בעת הנוכחית אין מקום להותיר לגביו את העתירה תלויה ועומדת; אף לא ליתן לגביו הוראות אופרטיביות.</w:t>
      </w:r>
    </w:p>
    <w:p w14:paraId="19E4A4C1" w14:textId="77777777" w:rsidR="00613BC3" w:rsidRDefault="00613BC3" w:rsidP="00613BC3">
      <w:pPr>
        <w:pStyle w:val="Ruller41"/>
        <w:rPr>
          <w:rtl/>
        </w:rPr>
      </w:pPr>
    </w:p>
    <w:p w14:paraId="7391498A" w14:textId="77777777" w:rsidR="00613BC3" w:rsidRDefault="00613BC3" w:rsidP="00613BC3">
      <w:pPr>
        <w:pStyle w:val="Ruller4"/>
        <w:rPr>
          <w:rtl/>
        </w:rPr>
      </w:pPr>
      <w:r>
        <w:rPr>
          <w:rtl/>
        </w:rPr>
        <w:t xml:space="preserve">כפי שהתבשׂרנו מפּי משיבי המדינה, בחודש יולי האחרון הוציא צה"ל, בהנחיית הרמטכ"ל, צו ראשון לכלל </w:t>
      </w:r>
      <w:proofErr w:type="spellStart"/>
      <w:r>
        <w:rPr>
          <w:rtl/>
        </w:rPr>
        <w:t>המלש"בים</w:t>
      </w:r>
      <w:proofErr w:type="spellEnd"/>
      <w:r>
        <w:rPr>
          <w:rtl/>
        </w:rPr>
        <w:t xml:space="preserve"> שגיוסם נדחה מכוח הוראות פרק ג'1 לחוק שירות בטחון, לפני פקיעת תוקפו, או הוקפא בהתאם להחלטת ממשלה 682. זאת, כאשר מועדי ההתייצבות פרוסים על פני שנת הגיוס 2025. עוד יש לזכור, כי במסגרת תכנית הגיוס והאכיפה שהתווה צה"ל, קוּצר במידה משמעותית פרק הזמן מעת מועד ההתייצבות לצו ראשון, ועד להוצאת צו גיוס. </w:t>
      </w:r>
    </w:p>
    <w:p w14:paraId="27BF33A3" w14:textId="77777777" w:rsidR="00613BC3" w:rsidRDefault="00613BC3" w:rsidP="00613BC3">
      <w:pPr>
        <w:pStyle w:val="Ruller4"/>
        <w:numPr>
          <w:ilvl w:val="0"/>
          <w:numId w:val="0"/>
        </w:numPr>
      </w:pPr>
    </w:p>
    <w:p w14:paraId="6D2CBB78" w14:textId="77777777" w:rsidR="00613BC3" w:rsidRDefault="00613BC3" w:rsidP="00613BC3">
      <w:pPr>
        <w:pStyle w:val="Ruller4"/>
      </w:pPr>
      <w:r>
        <w:rPr>
          <w:rtl/>
        </w:rPr>
        <w:t xml:space="preserve">בהינתן האמור, נטען על-ידי משיבי המדינה כי ראש זה של העתירה התייתר. טענה זו – אין בידי לקבל. בין קביעת מועד התייצבות לצו ראשון, לבין הוצאת צו גיוס – מרחק רב (הגם שכאמור, מרחק זה התקצר מעט). פריסת מועדי ההתייצבות לאורך השנה, כמו גם המרחק האמור, מלמדים כי רבה וארוכה עוד הדרך להוצאת צווי </w:t>
      </w:r>
      <w:r>
        <w:rPr>
          <w:rFonts w:ascii="Century" w:hAnsi="Century" w:cs="Miriam"/>
          <w:b/>
          <w:spacing w:val="0"/>
          <w:sz w:val="22"/>
          <w:szCs w:val="24"/>
          <w:rtl/>
        </w:rPr>
        <w:t>גיוס</w:t>
      </w:r>
      <w:r>
        <w:rPr>
          <w:rtl/>
        </w:rPr>
        <w:t xml:space="preserve"> (להבדיל מצווים ראשונים) לכלל </w:t>
      </w:r>
      <w:proofErr w:type="spellStart"/>
      <w:r>
        <w:rPr>
          <w:rtl/>
        </w:rPr>
        <w:t>המלש"בים</w:t>
      </w:r>
      <w:proofErr w:type="spellEnd"/>
      <w:r>
        <w:rPr>
          <w:rtl/>
        </w:rPr>
        <w:t xml:space="preserve"> הרלבנטיים.</w:t>
      </w:r>
    </w:p>
    <w:p w14:paraId="6820E0D4" w14:textId="77777777" w:rsidR="00613BC3" w:rsidRDefault="00613BC3" w:rsidP="00613BC3">
      <w:pPr>
        <w:pStyle w:val="Ruller4"/>
        <w:numPr>
          <w:ilvl w:val="0"/>
          <w:numId w:val="0"/>
        </w:numPr>
      </w:pPr>
    </w:p>
    <w:p w14:paraId="505E1721" w14:textId="77777777" w:rsidR="00613BC3" w:rsidRDefault="00613BC3" w:rsidP="00613BC3">
      <w:pPr>
        <w:pStyle w:val="Ruller4"/>
      </w:pPr>
      <w:r>
        <w:rPr>
          <w:rtl/>
        </w:rPr>
        <w:t xml:space="preserve">לצד זאת, העובדה כי רחוקים אנו מלהגיע אל 'הארץ המובטחת', אין משמעה בהכרח כי נדרש עתה צו אופרטיבי מצידנו. להבדיל משלביה הראשונים של העתירה, שבהם העלו משיבי המדינה שלל טענות בדבר קשיים שאינם מאפשרים הוצאת צווים בהיקפים משמעותיים, הרי שבנקודת הזמן הנוכחית – מצב הדברים שונה בתכלית. הצבא אינו חולק על חובתו החוקית לפעול להוצאת הצווים ולגיוס </w:t>
      </w:r>
      <w:proofErr w:type="spellStart"/>
      <w:r>
        <w:rPr>
          <w:rtl/>
        </w:rPr>
        <w:t>המלש"בים</w:t>
      </w:r>
      <w:proofErr w:type="spellEnd"/>
      <w:r>
        <w:rPr>
          <w:rtl/>
        </w:rPr>
        <w:t xml:space="preserve"> מושא העתירה, ואף על חובתו לעשות זאת במהירות הראויה. בנסיבות אלה, שבהן הרשות אינה חולקת על חובתה החוקית, ופועלת במחויבות ובשקידה הולמת למימוש חובתה-זו – ומובן, כי חזקה על גורמי הצבא שימשיכו בכך ללא לאות – בעת הזו אין הצדקה כי נוציא מלפנינו צו אופרטיבי. </w:t>
      </w:r>
    </w:p>
    <w:p w14:paraId="44AA3F54" w14:textId="77777777" w:rsidR="00613BC3" w:rsidRDefault="00613BC3" w:rsidP="00613BC3">
      <w:pPr>
        <w:pStyle w:val="Ruller4"/>
        <w:numPr>
          <w:ilvl w:val="0"/>
          <w:numId w:val="0"/>
        </w:numPr>
      </w:pPr>
    </w:p>
    <w:p w14:paraId="524C5A66" w14:textId="77777777" w:rsidR="00613BC3" w:rsidRDefault="00613BC3" w:rsidP="00613BC3">
      <w:pPr>
        <w:pStyle w:val="Ruller4"/>
      </w:pPr>
      <w:r>
        <w:rPr>
          <w:rtl/>
        </w:rPr>
        <w:t xml:space="preserve">עוד אציין בהקשר זה, בהתייחס לטענות העותרים המלינים על משך הזמן שיארך עד להוצאת כלל צווי הגיוס, כי אמנם, יש טעם בדבריהם; הצורך, כאמור – דוחק ביותר. עם זאת, בלאו הכי קיים פרק זמן מסוים – והכרחי – בין הצו הראשון לבין צו הגיוס, אצל כל </w:t>
      </w:r>
      <w:proofErr w:type="spellStart"/>
      <w:r>
        <w:rPr>
          <w:rtl/>
        </w:rPr>
        <w:t>מלש"ב</w:t>
      </w:r>
      <w:proofErr w:type="spellEnd"/>
      <w:r>
        <w:rPr>
          <w:rtl/>
        </w:rPr>
        <w:t xml:space="preserve"> באשר הוא. בהינתן שמרבית הצווים הראשונים החלו להישלח, בהתאם להנחיית הרמטכ"ל, אך לאחרונה – אין מקום שנורה על שליחתם של צווי הגיוס לאלתר. עוד יש לציין, בהקשר הספציפי של גיוס בני הישיבות, כי מדובר באתגר שמלווה את מדינת ישראל משחר הקמתה, ואשר היקפו הנוכחי – עצום. הרי זה מתקבל על הדעת, כי לא ניתן, מבחינה מעשית, לתקן כשל שכזה, ההולך ונמשך עשרות שנים, בִּין רגע (בהינתן </w:t>
      </w:r>
      <w:r>
        <w:rPr>
          <w:rtl/>
        </w:rPr>
        <w:lastRenderedPageBreak/>
        <w:t>שאך לאחרונה החלו לפעול לתיקונו); קיימים חסמים, גם קשיים, והמשאבים – אינם בלתי מוגבלים. אכן, כפי שצוין גם ב</w:t>
      </w:r>
      <w:r>
        <w:rPr>
          <w:rFonts w:ascii="Century" w:hAnsi="Century" w:cs="Miriam"/>
          <w:b/>
          <w:spacing w:val="0"/>
          <w:sz w:val="22"/>
          <w:szCs w:val="24"/>
          <w:rtl/>
        </w:rPr>
        <w:t>בג"ץ 6189/23</w:t>
      </w:r>
      <w:r>
        <w:rPr>
          <w:rFonts w:ascii="Century" w:hAnsi="Century"/>
          <w:sz w:val="22"/>
          <w:rtl/>
        </w:rPr>
        <w:t xml:space="preserve">, </w:t>
      </w:r>
      <w:r>
        <w:rPr>
          <w:rFonts w:ascii="Century" w:hAnsi="Century" w:cs="Miriam"/>
          <w:b/>
          <w:spacing w:val="0"/>
          <w:sz w:val="22"/>
          <w:szCs w:val="24"/>
          <w:rtl/>
        </w:rPr>
        <w:t xml:space="preserve">"ברי כי גיוסם של תלמידי הישיבות מצריך היערכות משמעותית של רשויות הצבא, וכי ניתן להתחשב בהיערכות זו לעניין אופן אכיפת חובת הגיוס של תלמידי הישיבות" </w:t>
      </w:r>
      <w:r>
        <w:rPr>
          <w:rFonts w:ascii="Century" w:hAnsi="Century"/>
          <w:sz w:val="22"/>
          <w:rtl/>
        </w:rPr>
        <w:t xml:space="preserve">(שם, פסקה 53). </w:t>
      </w:r>
    </w:p>
    <w:p w14:paraId="5634CF93" w14:textId="77777777" w:rsidR="00613BC3" w:rsidRDefault="00613BC3" w:rsidP="00613BC3">
      <w:pPr>
        <w:pStyle w:val="Ruller41"/>
        <w:rPr>
          <w:rtl/>
        </w:rPr>
      </w:pPr>
    </w:p>
    <w:p w14:paraId="430C100C" w14:textId="77777777" w:rsidR="00613BC3" w:rsidRDefault="00613BC3" w:rsidP="00613BC3">
      <w:pPr>
        <w:pStyle w:val="Ruller4"/>
        <w:rPr>
          <w:rtl/>
        </w:rPr>
      </w:pPr>
      <w:r>
        <w:rPr>
          <w:rtl/>
        </w:rPr>
        <w:t xml:space="preserve">אם כן, הגם שמצב הדברים הנוכחי רחוק מלהיות משביע רצון, ולהלום את הוראות הדין בדבר הוצאת צווי הגיוס באופן שוויוני, הרי שבשים לב לאמור, בדגש על מחויבות הצבא לפעול להוצאת כלל צווי הגיוס, והפעולות שכבר נעשו לשם הגשמתו של יעד זה, סבורני כי אין מקום, ולא טעם, בהוצאת צו מוחלט לגבי שליחתם של צווי הגיוס. מובן, כי ככל שיחול שינוי במדיניות זו של הצבא ובאופן מימושה, או שקצב ההתקדמות יחרוג מן הנדרש – דלתות בית המשפט פתוחות. מכל מקום, נבהיר באופן שאינו משתמע לשני פנים – היעד הסופי אינו שליחת צווים מסוג זה או אחר; כי אם גיוס שוויוני לשורות הצבא. </w:t>
      </w:r>
    </w:p>
    <w:p w14:paraId="40D06770" w14:textId="77777777" w:rsidR="00613BC3" w:rsidRDefault="00613BC3" w:rsidP="00613BC3">
      <w:pPr>
        <w:pStyle w:val="Ruller4"/>
        <w:numPr>
          <w:ilvl w:val="0"/>
          <w:numId w:val="0"/>
        </w:numPr>
        <w:rPr>
          <w:rtl/>
        </w:rPr>
      </w:pPr>
    </w:p>
    <w:p w14:paraId="161D0DAE"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צעדי אכיפה אישיים</w:t>
      </w:r>
      <w:r>
        <w:rPr>
          <w:rFonts w:ascii="Century" w:hAnsi="Century" w:cs="Miriam"/>
          <w:b/>
          <w:spacing w:val="0"/>
          <w:szCs w:val="24"/>
        </w:rPr>
        <w:t xml:space="preserve"> </w:t>
      </w:r>
    </w:p>
    <w:p w14:paraId="73A28574" w14:textId="77777777" w:rsidR="00613BC3" w:rsidRDefault="00613BC3" w:rsidP="00613BC3">
      <w:pPr>
        <w:pStyle w:val="Ruller4"/>
        <w:rPr>
          <w:rtl/>
        </w:rPr>
      </w:pPr>
      <w:r>
        <w:rPr>
          <w:rtl/>
        </w:rPr>
        <w:t xml:space="preserve">לגבי ראשו השני של הצו על-תנאי – התמונה שונה. סבורני, כי עלינו לעשותו למוחלט. כמצוין לעיל, בגדרי ראש זה התבקשו המשיבים לנמק </w:t>
      </w:r>
      <w:r>
        <w:rPr>
          <w:rFonts w:ascii="Century" w:hAnsi="Century" w:cs="Miriam"/>
          <w:b/>
          <w:spacing w:val="0"/>
          <w:sz w:val="22"/>
          <w:szCs w:val="24"/>
          <w:rtl/>
        </w:rPr>
        <w:t>"מדוע לא יפעלו לאכיפת הצווים שהוצאו גם על-ידי נקיטת צעדי אכיפה אישיים אפקטיביים כלפי מי שהוצאו להם צווי גיוס ולא התייצבו בהתאם"</w:t>
      </w:r>
      <w:r>
        <w:rPr>
          <w:rFonts w:ascii="Century" w:hAnsi="Century"/>
          <w:sz w:val="22"/>
          <w:rtl/>
        </w:rPr>
        <w:t xml:space="preserve">. </w:t>
      </w:r>
      <w:r>
        <w:rPr>
          <w:rtl/>
        </w:rPr>
        <w:t>צעדי האכיפה שנדונו בעתירה נחלקים לשני סוגים עיקריים: הליכים פליליים, לפי חוק השיפוט הצבאי, התשט"ו-1955 (ראו בפרט שם, סעיפים 92 ו-94); וצעדים אזרחיים משלימים. אדון בצעדים אלה, כסדרם.</w:t>
      </w:r>
    </w:p>
    <w:p w14:paraId="3CE6AAA7" w14:textId="77777777" w:rsidR="00613BC3" w:rsidRDefault="00613BC3" w:rsidP="00613BC3">
      <w:pPr>
        <w:pStyle w:val="Ruller4"/>
        <w:numPr>
          <w:ilvl w:val="0"/>
          <w:numId w:val="0"/>
        </w:numPr>
      </w:pPr>
    </w:p>
    <w:p w14:paraId="782D97B7"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 xml:space="preserve">הליכים פליליים </w:t>
      </w:r>
    </w:p>
    <w:p w14:paraId="08223986" w14:textId="77777777" w:rsidR="00613BC3" w:rsidRDefault="00613BC3" w:rsidP="00613BC3">
      <w:pPr>
        <w:pStyle w:val="Ruller4"/>
      </w:pPr>
      <w:r>
        <w:rPr>
          <w:rtl/>
        </w:rPr>
        <w:t>תחילה, הערה מקדימה: ב"כ משיבי המדינה הדגישה בדיון על-פה, חזור והדגש, כי מטרת הצבא היא להביא ל</w:t>
      </w:r>
      <w:r>
        <w:rPr>
          <w:rFonts w:cs="Miriam"/>
          <w:b/>
          <w:spacing w:val="0"/>
          <w:szCs w:val="24"/>
          <w:rtl/>
        </w:rPr>
        <w:t>גיוס</w:t>
      </w:r>
      <w:r>
        <w:rPr>
          <w:rtl/>
        </w:rPr>
        <w:t xml:space="preserve"> של בני הציבור החרדי; כדבריה: </w:t>
      </w:r>
      <w:r>
        <w:rPr>
          <w:rFonts w:cs="Miriam"/>
          <w:b/>
          <w:spacing w:val="0"/>
          <w:szCs w:val="24"/>
          <w:rtl/>
        </w:rPr>
        <w:t xml:space="preserve">"הצבא צריך חיילים והוא לא צריך עצורים ואסורים במתקני הכליאה" </w:t>
      </w:r>
      <w:r>
        <w:rPr>
          <w:rtl/>
        </w:rPr>
        <w:t xml:space="preserve">(עמוד 63 לפרוטוקול הדיון מיום 29.10.2025). כדבריה, אכן כן. אף אם בסופם של הליכי האכיפה תיתכן ענישה פלילית, הענישה אינה – ואסור שתהיה – תכלית כשלעצמה; היא אך </w:t>
      </w:r>
      <w:r>
        <w:rPr>
          <w:rFonts w:ascii="Century" w:hAnsi="Century" w:cs="Miriam"/>
          <w:b/>
          <w:spacing w:val="0"/>
          <w:sz w:val="22"/>
          <w:szCs w:val="24"/>
          <w:rtl/>
        </w:rPr>
        <w:t>אמצעי</w:t>
      </w:r>
      <w:r>
        <w:rPr>
          <w:rtl/>
        </w:rPr>
        <w:t xml:space="preserve"> לשם השגת </w:t>
      </w:r>
      <w:r>
        <w:rPr>
          <w:rFonts w:ascii="Century" w:hAnsi="Century" w:cs="Miriam"/>
          <w:b/>
          <w:spacing w:val="0"/>
          <w:sz w:val="22"/>
          <w:szCs w:val="24"/>
          <w:rtl/>
        </w:rPr>
        <w:t>התכלית הראויה</w:t>
      </w:r>
      <w:r>
        <w:rPr>
          <w:rFonts w:ascii="Century" w:hAnsi="Century"/>
          <w:sz w:val="22"/>
          <w:rtl/>
        </w:rPr>
        <w:t>,</w:t>
      </w:r>
      <w:r>
        <w:rPr>
          <w:rtl/>
        </w:rPr>
        <w:t xml:space="preserve"> הנחוצה כל כך, של הגדלת היקף המתגייסים מקרב בני הציבור החרדי, וצמצום אי-השוויון.  </w:t>
      </w:r>
    </w:p>
    <w:p w14:paraId="24058ED7" w14:textId="77777777" w:rsidR="00613BC3" w:rsidRDefault="00613BC3" w:rsidP="00613BC3">
      <w:pPr>
        <w:pStyle w:val="Ruller4"/>
        <w:numPr>
          <w:ilvl w:val="0"/>
          <w:numId w:val="0"/>
        </w:numPr>
      </w:pPr>
    </w:p>
    <w:p w14:paraId="04459AB0" w14:textId="77777777" w:rsidR="00613BC3" w:rsidRDefault="00613BC3" w:rsidP="00613BC3">
      <w:pPr>
        <w:pStyle w:val="Ruller4"/>
      </w:pPr>
      <w:r>
        <w:rPr>
          <w:rtl/>
        </w:rPr>
        <w:t xml:space="preserve">ומהו הגיונם של דברים? מקום שבו מושאי המשפט רואים אותו, כמימרתו הידועה של </w:t>
      </w:r>
      <w:r>
        <w:t>H.L.A Hart</w:t>
      </w:r>
      <w:r>
        <w:rPr>
          <w:rtl/>
        </w:rPr>
        <w:t xml:space="preserve">, </w:t>
      </w:r>
      <w:r>
        <w:rPr>
          <w:rFonts w:ascii="Century" w:hAnsi="Century" w:cs="Miriam"/>
          <w:b/>
          <w:spacing w:val="0"/>
          <w:sz w:val="22"/>
          <w:szCs w:val="24"/>
          <w:rtl/>
        </w:rPr>
        <w:t>מנקודת המבט הפנימית</w:t>
      </w:r>
      <w:r>
        <w:rPr>
          <w:rtl/>
        </w:rPr>
        <w:t xml:space="preserve"> – דהיינו, מתוך הזדהות מסוימת ונכונות </w:t>
      </w:r>
      <w:r>
        <w:rPr>
          <w:rtl/>
        </w:rPr>
        <w:lastRenderedPageBreak/>
        <w:t xml:space="preserve">בסיסית לפעול בהתאם לכלליו – די לנו, במרבית המקרים, בכללים </w:t>
      </w:r>
      <w:r>
        <w:rPr>
          <w:rFonts w:ascii="Century" w:hAnsi="Century"/>
          <w:sz w:val="22"/>
          <w:rtl/>
        </w:rPr>
        <w:t>שעניינם בהכוונת התנהגות (</w:t>
      </w:r>
      <w:r>
        <w:rPr>
          <w:smallCaps/>
          <w:szCs w:val="32"/>
        </w:rPr>
        <w:t>H.L.A Hart, The Concept of Law</w:t>
      </w:r>
      <w:r>
        <w:rPr>
          <w:szCs w:val="32"/>
        </w:rPr>
        <w:t xml:space="preserve"> 89-91 (3</w:t>
      </w:r>
      <w:r>
        <w:rPr>
          <w:szCs w:val="32"/>
          <w:vertAlign w:val="superscript"/>
        </w:rPr>
        <w:t>rd</w:t>
      </w:r>
      <w:r>
        <w:rPr>
          <w:szCs w:val="32"/>
        </w:rPr>
        <w:t>. ed., 2012)</w:t>
      </w:r>
      <w:r>
        <w:rPr>
          <w:rFonts w:ascii="Century" w:hAnsi="Century"/>
          <w:sz w:val="22"/>
          <w:rtl/>
        </w:rPr>
        <w:t xml:space="preserve">). ואולם, </w:t>
      </w:r>
      <w:r>
        <w:rPr>
          <w:rtl/>
        </w:rPr>
        <w:t xml:space="preserve">בהקשרים מסוימים, שבהם נודעת לדבר חשיבות מיוחדת, ושבהם המדינה, לתפיסתה, אינה יכולה להרשות לעצמה שהנורמות שקבעה לא יקוימו – אין מנוס מכפיית אותן נורמות, באמצעות סנקציות אפקטיביות, גם על מי שתופס אותן נורמות מנקודת המבט החיצונית בלבד, ואינו מקבל אותן כתקֵפות לשם הכוונת התנהגותו. כך למשל, המדינה אינה מותירה לאזרחיה שיקול דעת באשר לשאלה אם לציית לנורמות ההתנהגות שקובע הדין הפלילי, וכופה את הציות להן באמצעים </w:t>
      </w:r>
      <w:proofErr w:type="spellStart"/>
      <w:r>
        <w:rPr>
          <w:rtl/>
        </w:rPr>
        <w:t>עונשיים</w:t>
      </w:r>
      <w:proofErr w:type="spellEnd"/>
      <w:r>
        <w:rPr>
          <w:rtl/>
        </w:rPr>
        <w:t xml:space="preserve">. זאת, בראש ובראשונה, לא לשם ענישה כתכלית כשלעצמה, אלא במטרה להבטיח כי אנשים יקיימו </w:t>
      </w:r>
      <w:r>
        <w:rPr>
          <w:rFonts w:ascii="Century" w:hAnsi="Century" w:cs="Miriam"/>
          <w:b/>
          <w:spacing w:val="0"/>
          <w:sz w:val="22"/>
          <w:szCs w:val="24"/>
          <w:rtl/>
        </w:rPr>
        <w:t>מלכתחילה</w:t>
      </w:r>
      <w:r>
        <w:rPr>
          <w:rtl/>
        </w:rPr>
        <w:t xml:space="preserve"> את נורמות ההתנהגות שמתווה הדין הפלילי. אם כן, מטרתו העיקרית – ולמצער הראשונית – של הדין הפלילי, ושל האכיפה המתבצעת מכוחו, אינה 'למלא את בתי הסוהר באסירים', ולא 'למלא את כיסיה של המדינה בקנסות', כי אם לגרום לאזרחי המדינה להימנע מהתנהגויות מסוימות, שבגינן הם עשויים להיענש (לניתוח </w:t>
      </w:r>
      <w:proofErr w:type="spellStart"/>
      <w:r>
        <w:rPr>
          <w:rtl/>
        </w:rPr>
        <w:t>קאנוני</w:t>
      </w:r>
      <w:proofErr w:type="spellEnd"/>
      <w:r>
        <w:rPr>
          <w:rtl/>
        </w:rPr>
        <w:t xml:space="preserve"> של נקודה זו, ראו: </w:t>
      </w:r>
      <w:r>
        <w:t xml:space="preserve">H.L.A Hart, </w:t>
      </w:r>
      <w:r>
        <w:rPr>
          <w:i/>
          <w:iCs/>
        </w:rPr>
        <w:t>Prolegomenon to the Principles of Punishment</w:t>
      </w:r>
      <w:r>
        <w:t xml:space="preserve">, 60 </w:t>
      </w:r>
      <w:r>
        <w:rPr>
          <w:smallCaps/>
        </w:rPr>
        <w:t>Proc. Aristotelian Soc'y</w:t>
      </w:r>
      <w:r>
        <w:t xml:space="preserve"> 1 (1959)</w:t>
      </w:r>
      <w:r>
        <w:rPr>
          <w:rtl/>
        </w:rPr>
        <w:t xml:space="preserve">). בדומה לכך, בנדון דידן, תכליתם של צעדי האכיפה בכלל, ושל הענישה לפי חוק השיפוט הצבאי בפרט, אינה 'ענישה לשם ענישה', או 'מילוי בתי הסוהר הצבאיים במשתמטים'; אלא הצורך לכפות את הגיוס מלכתחילה, גם על אלה שאינם מעוניינים בכך. </w:t>
      </w:r>
    </w:p>
    <w:p w14:paraId="7D4BF779" w14:textId="77777777" w:rsidR="00613BC3" w:rsidRDefault="00613BC3" w:rsidP="00613BC3">
      <w:pPr>
        <w:pStyle w:val="Ruller4"/>
        <w:numPr>
          <w:ilvl w:val="0"/>
          <w:numId w:val="0"/>
        </w:numPr>
      </w:pPr>
    </w:p>
    <w:p w14:paraId="6661DD3B" w14:textId="77777777" w:rsidR="00613BC3" w:rsidRDefault="00613BC3" w:rsidP="00613BC3">
      <w:pPr>
        <w:pStyle w:val="Ruller4"/>
      </w:pPr>
      <w:r>
        <w:rPr>
          <w:rtl/>
        </w:rPr>
        <w:t>בענייננו, משיבי המדינה אכן הודיעו על השקת תכנית גיוס ואכיפה, וביצעו כמה וכמה פעולות לטובת יצירת תשתית לאכיפה אפקטיבית (ראו פסקאות 22-21 לעיל). עם זאת, מדובר בקצה הקרחון. כפי שעולה מהנתונים שהובאו לעיל, היקף המשתמטים שהוכרזו מבין כלל בני הציבור החרדי אשר מחויבים בשירות, ולא התייצבו – קטן. מתוך אותם משתמטים, היקף המעצרים שבוצע בפועל – מצומצם ביותר, כמעט זניח (הגם שחלה לאחרונה עליה מסוימת, מתונה). זאת ועוד, ודומני כי בכך העיקר, משיבי המדינה לא פירטו, ולוּ באופן ראשוני, מה עולה בגורלם של אֵלו שנעצרו: האם חלקם התגייסו; האם נפתחו נגדם הליכים פליליים;</w:t>
      </w:r>
      <w:r>
        <w:rPr>
          <w:rFonts w:hint="cs"/>
        </w:rPr>
        <w:t xml:space="preserve"> </w:t>
      </w:r>
      <w:r>
        <w:rPr>
          <w:rtl/>
        </w:rPr>
        <w:t xml:space="preserve">האם הוגשו כתבי אישום; או שמא, כפי שניתן לחשוש, שוחררו ממעצר לאחר זמן לא רב, מבלי שננקטו נגדם הליכים משמעותיים נוספים. בהינתן שחרף בקשות העותרים, ואף על-פי שניסינו ודרשנו לקבל תשובות לגבי סוגיה זו – לא ניתן מענה מספק מטעם משיבי המדינה, ניתן להניח כי למצער במרבית המקרים, האפשרות האחרונה היא שמשקפת את מצב הדברים הנוהג.  </w:t>
      </w:r>
    </w:p>
    <w:p w14:paraId="53711F70" w14:textId="77777777" w:rsidR="00613BC3" w:rsidRDefault="00613BC3" w:rsidP="00613BC3">
      <w:pPr>
        <w:pStyle w:val="Ruller41"/>
        <w:rPr>
          <w:rtl/>
        </w:rPr>
      </w:pPr>
    </w:p>
    <w:p w14:paraId="35CFE0F5" w14:textId="77777777" w:rsidR="00613BC3" w:rsidRDefault="00613BC3" w:rsidP="00613BC3">
      <w:pPr>
        <w:pStyle w:val="Ruller4"/>
        <w:rPr>
          <w:rtl/>
        </w:rPr>
      </w:pPr>
      <w:r>
        <w:rPr>
          <w:rtl/>
        </w:rPr>
        <w:lastRenderedPageBreak/>
        <w:t xml:space="preserve">גם ניסיונותינו לקבל נתונים לגבי שיעור בני הציבור החרדי מתוך סך ההליכים הפליליים או המשמעתיים המתנהלים בצה"ל לגבי משתמטים – עלו בתוהו. אמנם, נטען לפנינו כי הליכי האכיפה ננקטים באופן שוויוני, כלפי כלל המשתמטים, אולם לא הוצג ביסוס לכך. בנסיבות אלה, ובהתחשב בכלל האמור, דומני כי אין מנוס ממתן צו, שיחייב את גורמי המדינה לנקוט פעולות משמעותיות לאכיפת חובת הגיוס </w:t>
      </w:r>
      <w:r>
        <w:rPr>
          <w:rFonts w:ascii="Century" w:hAnsi="Century" w:cs="Miriam"/>
          <w:b/>
          <w:spacing w:val="0"/>
          <w:sz w:val="22"/>
          <w:szCs w:val="24"/>
          <w:rtl/>
        </w:rPr>
        <w:t>באופן שוויוני</w:t>
      </w:r>
      <w:r>
        <w:rPr>
          <w:rtl/>
        </w:rPr>
        <w:t xml:space="preserve">, בין היתר באמצעות הליכים פליליים אפקטיביים. ככל שימשיכו משיבי המדינה להימנע מנקיטת פעולות אכיפה של ממש, אין טעם טוב להניח כי ההתנהגות הראשונית – קרי, ההשתמטות מחובת הגיוס – תשתנה. לשון אחר, ככל ש'תוחלת העלות' מהשתמטות עבור בן הציבור החרדי נותרת כמעט בלא שינוי, הדעת נותנת כי מצב הדברים הנוהג – יוותר על כנו.   </w:t>
      </w:r>
    </w:p>
    <w:p w14:paraId="02F5E59C" w14:textId="77777777" w:rsidR="00613BC3" w:rsidRDefault="00613BC3" w:rsidP="00613BC3">
      <w:pPr>
        <w:pStyle w:val="Ruller41"/>
        <w:rPr>
          <w:rtl/>
        </w:rPr>
      </w:pPr>
    </w:p>
    <w:p w14:paraId="2E76338A" w14:textId="77777777" w:rsidR="00613BC3" w:rsidRDefault="00613BC3" w:rsidP="00613BC3">
      <w:pPr>
        <w:pStyle w:val="Ruller4"/>
        <w:rPr>
          <w:rtl/>
        </w:rPr>
      </w:pPr>
      <w:r>
        <w:rPr>
          <w:rtl/>
        </w:rPr>
        <w:t xml:space="preserve">אתייחס לכמה טענות נוספות שעלו לגבי סוגיה זו. נטען לפנינו, כי מתן סעד בהקשר זה יהיה מנוגד להלכה שלפיה בית משפט זה אינו מתערב בשיקול הדעת של רשויות הצבא בכלל, ושל רשויות האכיפה בפרט. אכן כן, על דרך הכלל, אין זה ממנהגנו להתערב בשיקול הדעת של רשויות אלה. ברם, לגבי דידי, ספק אם ההלכה האמורה תקפה בענייננו, ובלאו הכי, נסיבות העניין דנן מצדיקות התערבות כאמור. </w:t>
      </w:r>
    </w:p>
    <w:p w14:paraId="07A412E0" w14:textId="77777777" w:rsidR="00613BC3" w:rsidRDefault="00613BC3" w:rsidP="00613BC3">
      <w:pPr>
        <w:pStyle w:val="Ruller4"/>
        <w:numPr>
          <w:ilvl w:val="0"/>
          <w:numId w:val="0"/>
        </w:numPr>
      </w:pPr>
    </w:p>
    <w:p w14:paraId="3C74C868" w14:textId="77777777" w:rsidR="00613BC3" w:rsidRDefault="00613BC3" w:rsidP="00613BC3">
      <w:pPr>
        <w:pStyle w:val="Ruller4"/>
      </w:pPr>
      <w:r>
        <w:rPr>
          <w:rtl/>
        </w:rPr>
        <w:t>אשר לשיקול הדעת של רשויות הצבא, כפי שהובהר ב</w:t>
      </w:r>
      <w:r>
        <w:rPr>
          <w:rFonts w:ascii="Century" w:hAnsi="Century" w:cs="Miriam"/>
          <w:b/>
          <w:spacing w:val="0"/>
          <w:sz w:val="22"/>
          <w:szCs w:val="24"/>
          <w:rtl/>
        </w:rPr>
        <w:t>בג"ץ 6198/23</w:t>
      </w:r>
      <w:r>
        <w:rPr>
          <w:rFonts w:ascii="Century" w:hAnsi="Century"/>
          <w:sz w:val="22"/>
          <w:rtl/>
        </w:rPr>
        <w:t xml:space="preserve"> בהקשר קרוב, הפעלת סמכות הגיוס והאכיפה שלא באופן שוויוני, או באופן מחמיר פחות לגבי בני הציבור החרדי, עולה כדי אכיפה סלקטיבית, שאינה מצויה בגדרי שיקול הדעת הלגיטימי של רשויות הצבא, ואף </w:t>
      </w:r>
      <w:r>
        <w:rPr>
          <w:rFonts w:ascii="Century" w:hAnsi="Century" w:cs="Miriam"/>
          <w:b/>
          <w:spacing w:val="0"/>
          <w:sz w:val="22"/>
          <w:szCs w:val="24"/>
          <w:rtl/>
        </w:rPr>
        <w:t>"מגלמת פגיעה קשה בשלטון החוק, ובעיקרון שלפיו כל הפרטים שווים בפני החוק"</w:t>
      </w:r>
      <w:r>
        <w:rPr>
          <w:rFonts w:ascii="Century" w:hAnsi="Century"/>
          <w:sz w:val="22"/>
          <w:rtl/>
        </w:rPr>
        <w:t xml:space="preserve">. מה גם, </w:t>
      </w:r>
      <w:r>
        <w:rPr>
          <w:rFonts w:ascii="FrankRuehl" w:hAnsi="FrankRuehl"/>
          <w:color w:val="000000"/>
          <w:sz w:val="28"/>
          <w:rtl/>
        </w:rPr>
        <w:t>ש</w:t>
      </w:r>
      <w:r>
        <w:rPr>
          <w:rFonts w:ascii="Century" w:hAnsi="Century" w:cs="Miriam"/>
          <w:b/>
          <w:spacing w:val="0"/>
          <w:sz w:val="22"/>
          <w:szCs w:val="24"/>
          <w:rtl/>
        </w:rPr>
        <w:t>"חומרתה של האכיפה הסלקטיבית מתעצמת כאשר מדובר באכיפת חובת הגיוס על הפרט: חובה שמשמעותה הגבלה משמעותית על זכויות היסוד שלו ואשר עשויה לחייבו להעמיד בסכנה את חייו ואת שלמות גופו, בהגנה על ביטחון המדינה"</w:t>
      </w:r>
      <w:r>
        <w:rPr>
          <w:rFonts w:ascii="Century" w:hAnsi="Century"/>
          <w:sz w:val="22"/>
          <w:rtl/>
        </w:rPr>
        <w:t xml:space="preserve">  (שם, פסקה 53; ראו גם שם, פסקה 58). </w:t>
      </w:r>
      <w:r>
        <w:rPr>
          <w:rtl/>
        </w:rPr>
        <w:t xml:space="preserve"> </w:t>
      </w:r>
    </w:p>
    <w:p w14:paraId="67391DFD" w14:textId="77777777" w:rsidR="00613BC3" w:rsidRDefault="00613BC3" w:rsidP="00613BC3">
      <w:pPr>
        <w:pStyle w:val="Ruller41"/>
        <w:rPr>
          <w:rtl/>
        </w:rPr>
      </w:pPr>
    </w:p>
    <w:p w14:paraId="15405572" w14:textId="77777777" w:rsidR="00613BC3" w:rsidRDefault="00613BC3" w:rsidP="00613BC3">
      <w:pPr>
        <w:pStyle w:val="Ruller4"/>
        <w:rPr>
          <w:rtl/>
        </w:rPr>
      </w:pPr>
      <w:r>
        <w:rPr>
          <w:rtl/>
        </w:rPr>
        <w:t xml:space="preserve">אשר לשיקול הדעת של הרשות המוסמכת באכיפת החוק, הכלל הוא כי התערבות שיפוטית </w:t>
      </w:r>
      <w:proofErr w:type="spellStart"/>
      <w:r>
        <w:rPr>
          <w:rtl/>
        </w:rPr>
        <w:t>בכגון</w:t>
      </w:r>
      <w:proofErr w:type="spellEnd"/>
      <w:r>
        <w:rPr>
          <w:rtl/>
        </w:rPr>
        <w:t xml:space="preserve"> דא תיעשה במשׂוּרה, רק במקרים שבהם </w:t>
      </w:r>
      <w:r>
        <w:rPr>
          <w:rFonts w:ascii="Century" w:hAnsi="Century" w:cs="Miriam"/>
          <w:b/>
          <w:spacing w:val="0"/>
          <w:sz w:val="22"/>
          <w:szCs w:val="24"/>
          <w:rtl/>
        </w:rPr>
        <w:t>"הוכחה התנערות מלאה, או הימנעות בלתי סבירה מאכיפת החוק, או כאשר סדרי העדיפות שעיצבו הרשויות נגועים בחוסר סבירות קיצוני, או בפגם אחר שנתגלע בחוקיותם"</w:t>
      </w:r>
      <w:r>
        <w:rPr>
          <w:rtl/>
        </w:rPr>
        <w:t xml:space="preserve"> (בג"ץ 6243/08 </w:t>
      </w:r>
      <w:r>
        <w:rPr>
          <w:rFonts w:ascii="Century" w:hAnsi="Century" w:cs="Miriam"/>
          <w:b/>
          <w:spacing w:val="0"/>
          <w:sz w:val="22"/>
          <w:szCs w:val="24"/>
          <w:rtl/>
        </w:rPr>
        <w:t>התנועה לשמירת אדמות הלאום נ' שר הבטחון</w:t>
      </w:r>
      <w:r>
        <w:rPr>
          <w:rtl/>
        </w:rPr>
        <w:t xml:space="preserve">, פסקה 24 (2.12.2010); ראו גם: בג"ץ 4475/17 </w:t>
      </w:r>
      <w:r>
        <w:rPr>
          <w:rFonts w:ascii="Century" w:hAnsi="Century" w:cs="Miriam"/>
          <w:b/>
          <w:spacing w:val="0"/>
          <w:sz w:val="22"/>
          <w:szCs w:val="24"/>
          <w:rtl/>
        </w:rPr>
        <w:t>פרידמן נ' משטרת ישראל</w:t>
      </w:r>
      <w:r>
        <w:rPr>
          <w:rtl/>
        </w:rPr>
        <w:t xml:space="preserve">, פסקה 4 (17.2.2019)). לצד זאת, אל לנו לשכוח מושכלות יסוד. אכיפת החוק, כל חוק, </w:t>
      </w:r>
      <w:r>
        <w:rPr>
          <w:rFonts w:ascii="Century" w:hAnsi="Century" w:cs="Miriam"/>
          <w:b/>
          <w:spacing w:val="0"/>
          <w:sz w:val="22"/>
          <w:szCs w:val="24"/>
          <w:rtl/>
        </w:rPr>
        <w:t xml:space="preserve">"היא אחד התפקידים העיקריים של כל שלטון. </w:t>
      </w:r>
      <w:r>
        <w:rPr>
          <w:rFonts w:ascii="Century" w:hAnsi="Century" w:cs="Miriam"/>
          <w:b/>
          <w:spacing w:val="0"/>
          <w:sz w:val="22"/>
          <w:szCs w:val="24"/>
          <w:u w:val="single"/>
          <w:rtl/>
        </w:rPr>
        <w:t xml:space="preserve">הרשויות המוסמכות אינן </w:t>
      </w:r>
      <w:r>
        <w:rPr>
          <w:rFonts w:ascii="Century" w:hAnsi="Century" w:cs="Miriam"/>
          <w:b/>
          <w:spacing w:val="0"/>
          <w:sz w:val="22"/>
          <w:szCs w:val="24"/>
          <w:u w:val="single"/>
          <w:rtl/>
        </w:rPr>
        <w:lastRenderedPageBreak/>
        <w:t>רשאיות להתנער מתפקיד זה</w:t>
      </w:r>
      <w:r>
        <w:rPr>
          <w:rFonts w:ascii="Century" w:hAnsi="Century" w:cs="Miriam"/>
          <w:b/>
          <w:spacing w:val="0"/>
          <w:sz w:val="22"/>
          <w:szCs w:val="24"/>
          <w:rtl/>
        </w:rPr>
        <w:t>"</w:t>
      </w:r>
      <w:r>
        <w:rPr>
          <w:rtl/>
        </w:rPr>
        <w:t xml:space="preserve"> (</w:t>
      </w:r>
      <w:r>
        <w:rPr>
          <w:rFonts w:ascii="Century" w:hAnsi="Century"/>
          <w:sz w:val="22"/>
          <w:rtl/>
        </w:rPr>
        <w:t xml:space="preserve">בג"ץ 551/99 </w:t>
      </w:r>
      <w:r>
        <w:rPr>
          <w:rFonts w:ascii="Century" w:hAnsi="Century" w:cs="Miriam"/>
          <w:b/>
          <w:spacing w:val="0"/>
          <w:sz w:val="22"/>
          <w:szCs w:val="24"/>
          <w:rtl/>
        </w:rPr>
        <w:t>שקם בע"מ נ' מנהל המכס ומע"מ</w:t>
      </w:r>
      <w:r>
        <w:rPr>
          <w:rFonts w:ascii="Century" w:hAnsi="Century"/>
          <w:sz w:val="22"/>
          <w:rtl/>
        </w:rPr>
        <w:t>, פ"ד נד(1) 112, 125 (2000); ההדגשה הוּספה – נ' ס'; ראו גם, מִני רבים:</w:t>
      </w:r>
      <w:r>
        <w:rPr>
          <w:rtl/>
        </w:rPr>
        <w:t xml:space="preserve"> בג"ץ 5078/20 </w:t>
      </w:r>
      <w:proofErr w:type="spellStart"/>
      <w:r>
        <w:rPr>
          <w:rFonts w:ascii="Century" w:hAnsi="Century" w:cs="Miriam"/>
          <w:b/>
          <w:spacing w:val="0"/>
          <w:sz w:val="22"/>
          <w:szCs w:val="24"/>
          <w:rtl/>
        </w:rPr>
        <w:t>פדידה</w:t>
      </w:r>
      <w:proofErr w:type="spellEnd"/>
      <w:r>
        <w:rPr>
          <w:rFonts w:ascii="Century" w:hAnsi="Century" w:cs="Miriam"/>
          <w:b/>
          <w:spacing w:val="0"/>
          <w:sz w:val="22"/>
          <w:szCs w:val="24"/>
          <w:rtl/>
        </w:rPr>
        <w:t xml:space="preserve"> נ' משטרת ישראל</w:t>
      </w:r>
      <w:r>
        <w:rPr>
          <w:rFonts w:ascii="Century" w:hAnsi="Century"/>
          <w:sz w:val="22"/>
          <w:rtl/>
        </w:rPr>
        <w:t>, פסקה 33 (19.8.2020)</w:t>
      </w:r>
      <w:r>
        <w:rPr>
          <w:rtl/>
        </w:rPr>
        <w:t>).</w:t>
      </w:r>
    </w:p>
    <w:p w14:paraId="601AA46B" w14:textId="77777777" w:rsidR="00613BC3" w:rsidRDefault="00613BC3" w:rsidP="00613BC3">
      <w:pPr>
        <w:pStyle w:val="Ruller4"/>
        <w:numPr>
          <w:ilvl w:val="0"/>
          <w:numId w:val="0"/>
        </w:numPr>
      </w:pPr>
    </w:p>
    <w:p w14:paraId="79228AF0" w14:textId="77777777" w:rsidR="00613BC3" w:rsidRDefault="00613BC3" w:rsidP="00613BC3">
      <w:pPr>
        <w:pStyle w:val="Ruller4"/>
        <w:rPr>
          <w:rFonts w:ascii="Century" w:hAnsi="Century"/>
          <w:sz w:val="22"/>
        </w:rPr>
      </w:pPr>
      <w:r>
        <w:rPr>
          <w:rtl/>
        </w:rPr>
        <w:t xml:space="preserve">ככל שהרשויות הרלבנטיות אינן פועלות כדבעי לאכיפתו של חוק מסוים, עתיד הוא, במוקדם או במאוחר, להפוך לאות מתה: </w:t>
      </w:r>
      <w:r>
        <w:rPr>
          <w:rFonts w:ascii="Century" w:hAnsi="Century" w:cs="Miriam"/>
          <w:b/>
          <w:spacing w:val="0"/>
          <w:sz w:val="22"/>
          <w:szCs w:val="24"/>
          <w:rtl/>
        </w:rPr>
        <w:t xml:space="preserve">"חוק שהרשויות אינן עושות לאכיפתו </w:t>
      </w:r>
      <w:proofErr w:type="spellStart"/>
      <w:r>
        <w:rPr>
          <w:rFonts w:ascii="Century" w:hAnsi="Century" w:cs="Miriam"/>
          <w:b/>
          <w:spacing w:val="0"/>
          <w:sz w:val="22"/>
          <w:szCs w:val="24"/>
          <w:rtl/>
        </w:rPr>
        <w:t>כהילכתו</w:t>
      </w:r>
      <w:proofErr w:type="spellEnd"/>
      <w:r>
        <w:rPr>
          <w:rFonts w:ascii="Century" w:hAnsi="Century" w:cs="Miriam"/>
          <w:b/>
          <w:spacing w:val="0"/>
          <w:sz w:val="22"/>
          <w:szCs w:val="24"/>
          <w:rtl/>
        </w:rPr>
        <w:t xml:space="preserve">, יפה היה לו שלא נחקק משנחקק. חוק שאינו נאכף מוטב לו שלא ייחקק, </w:t>
      </w:r>
      <w:proofErr w:type="spellStart"/>
      <w:r>
        <w:rPr>
          <w:rFonts w:ascii="Century" w:hAnsi="Century" w:cs="Miriam"/>
          <w:b/>
          <w:spacing w:val="0"/>
          <w:sz w:val="22"/>
          <w:szCs w:val="24"/>
          <w:rtl/>
        </w:rPr>
        <w:t>משייחקק</w:t>
      </w:r>
      <w:proofErr w:type="spellEnd"/>
      <w:r>
        <w:rPr>
          <w:rFonts w:ascii="Century" w:hAnsi="Century" w:cs="Miriam"/>
          <w:b/>
          <w:spacing w:val="0"/>
          <w:sz w:val="22"/>
          <w:szCs w:val="24"/>
          <w:rtl/>
        </w:rPr>
        <w:t xml:space="preserve"> ולא ייאכף. חוקים לא נועדו לצדיקים גמורים. ומי שאינו צדיק גמור, אל נביאנו לידי ניסיון שמא יחטא. </w:t>
      </w:r>
      <w:r>
        <w:rPr>
          <w:rFonts w:ascii="Century" w:hAnsi="Century" w:cs="Miriam"/>
          <w:b/>
          <w:spacing w:val="0"/>
          <w:sz w:val="22"/>
          <w:szCs w:val="24"/>
          <w:u w:val="single"/>
          <w:rtl/>
        </w:rPr>
        <w:t>חוק המבוזה בשער בת-רבים יביא לרפיון גם מעבר לתחומיו, ובית-המשפט לא ישלים עם תופעה זו</w:t>
      </w:r>
      <w:r>
        <w:rPr>
          <w:rFonts w:ascii="Century" w:hAnsi="Century" w:cs="Miriam"/>
          <w:b/>
          <w:spacing w:val="0"/>
          <w:sz w:val="22"/>
          <w:szCs w:val="24"/>
          <w:rtl/>
        </w:rPr>
        <w:t>״</w:t>
      </w:r>
      <w:r>
        <w:rPr>
          <w:rtl/>
        </w:rPr>
        <w:t xml:space="preserve"> </w:t>
      </w:r>
      <w:r>
        <w:rPr>
          <w:rFonts w:ascii="Century" w:hAnsi="Century"/>
          <w:sz w:val="22"/>
          <w:rtl/>
        </w:rPr>
        <w:t xml:space="preserve">(בג"ץ 53/96 </w:t>
      </w:r>
      <w:r>
        <w:rPr>
          <w:rFonts w:ascii="Century" w:hAnsi="Century" w:cs="Miriam"/>
          <w:b/>
          <w:spacing w:val="0"/>
          <w:sz w:val="22"/>
          <w:szCs w:val="24"/>
          <w:rtl/>
        </w:rPr>
        <w:t>תשלובת ח. אלוני בע"מ נ' שר התעשייה והמסחר</w:t>
      </w:r>
      <w:r>
        <w:rPr>
          <w:rFonts w:ascii="Century" w:hAnsi="Century"/>
          <w:sz w:val="22"/>
          <w:rtl/>
        </w:rPr>
        <w:t>, פ"ד נב(2) 1, 11-10 (</w:t>
      </w:r>
      <w:r>
        <w:rPr>
          <w:rtl/>
        </w:rPr>
        <w:t>1998)</w:t>
      </w:r>
      <w:r>
        <w:rPr>
          <w:rFonts w:ascii="Century" w:hAnsi="Century"/>
          <w:sz w:val="22"/>
          <w:rtl/>
        </w:rPr>
        <w:t>; ההדגשה הוּספה – נ' ס'</w:t>
      </w:r>
      <w:r>
        <w:rPr>
          <w:rtl/>
        </w:rPr>
        <w:t xml:space="preserve">). אכן, עקרון זה, שעניינו גם בהשלכות הרוחב של אי-אכיפת החוק, מלווה אותנו עוד מקדמת דנא: </w:t>
      </w:r>
      <w:r>
        <w:rPr>
          <w:rFonts w:ascii="Century" w:hAnsi="Century" w:cs="Miriam"/>
          <w:b/>
          <w:spacing w:val="0"/>
          <w:sz w:val="22"/>
          <w:szCs w:val="24"/>
          <w:rtl/>
        </w:rPr>
        <w:t xml:space="preserve">"ההימנעות מלממש ולהגשים חוק קיים ומחייב, </w:t>
      </w:r>
      <w:r>
        <w:rPr>
          <w:rFonts w:ascii="Century" w:hAnsi="Century" w:cs="Miriam"/>
          <w:b/>
          <w:spacing w:val="0"/>
          <w:sz w:val="22"/>
          <w:szCs w:val="24"/>
          <w:u w:val="single"/>
          <w:rtl/>
        </w:rPr>
        <w:t>אינה מדיניות ואינה יכולה להיות מדיניות</w:t>
      </w:r>
      <w:r>
        <w:rPr>
          <w:rFonts w:ascii="Century" w:hAnsi="Century" w:cs="Miriam"/>
          <w:b/>
          <w:spacing w:val="0"/>
          <w:sz w:val="22"/>
          <w:szCs w:val="24"/>
          <w:rtl/>
        </w:rPr>
        <w:t xml:space="preserve">, מכל בחינה שהיא; היא רק </w:t>
      </w:r>
      <w:r>
        <w:rPr>
          <w:rFonts w:ascii="Century" w:hAnsi="Century" w:cs="Miriam"/>
          <w:b/>
          <w:spacing w:val="0"/>
          <w:sz w:val="22"/>
          <w:szCs w:val="24"/>
          <w:u w:val="single"/>
          <w:rtl/>
        </w:rPr>
        <w:t xml:space="preserve">גורמת </w:t>
      </w:r>
      <w:proofErr w:type="spellStart"/>
      <w:r>
        <w:rPr>
          <w:rFonts w:ascii="Century" w:hAnsi="Century" w:cs="Miriam"/>
          <w:b/>
          <w:spacing w:val="0"/>
          <w:sz w:val="22"/>
          <w:szCs w:val="24"/>
          <w:u w:val="single"/>
          <w:rtl/>
        </w:rPr>
        <w:t>לדימורליזציה</w:t>
      </w:r>
      <w:proofErr w:type="spellEnd"/>
      <w:r>
        <w:rPr>
          <w:rFonts w:ascii="Century" w:hAnsi="Century" w:cs="Miriam"/>
          <w:b/>
          <w:spacing w:val="0"/>
          <w:sz w:val="22"/>
          <w:szCs w:val="24"/>
          <w:u w:val="single"/>
          <w:rtl/>
        </w:rPr>
        <w:t xml:space="preserve"> ביחסי השלטון והאזרח, וגוררת אחריה פריקת עול של כל חוקי המדינה</w:t>
      </w:r>
      <w:r>
        <w:rPr>
          <w:rFonts w:ascii="Century" w:hAnsi="Century" w:cs="Miriam"/>
          <w:b/>
          <w:spacing w:val="0"/>
          <w:sz w:val="22"/>
          <w:szCs w:val="24"/>
          <w:rtl/>
        </w:rPr>
        <w:t xml:space="preserve">" </w:t>
      </w:r>
      <w:r>
        <w:rPr>
          <w:rFonts w:ascii="Century" w:hAnsi="Century"/>
          <w:sz w:val="22"/>
          <w:rtl/>
        </w:rPr>
        <w:t xml:space="preserve">(בג"ץ 295/65 </w:t>
      </w:r>
      <w:proofErr w:type="spellStart"/>
      <w:r>
        <w:rPr>
          <w:rFonts w:ascii="Century" w:hAnsi="Century" w:cs="Miriam"/>
          <w:b/>
          <w:spacing w:val="0"/>
          <w:sz w:val="22"/>
          <w:szCs w:val="24"/>
          <w:rtl/>
        </w:rPr>
        <w:t>אופנהימר</w:t>
      </w:r>
      <w:proofErr w:type="spellEnd"/>
      <w:r>
        <w:rPr>
          <w:rFonts w:ascii="Century" w:hAnsi="Century" w:cs="Miriam"/>
          <w:b/>
          <w:spacing w:val="0"/>
          <w:sz w:val="22"/>
          <w:szCs w:val="24"/>
          <w:rtl/>
        </w:rPr>
        <w:t xml:space="preserve"> נ' שר הפנים והבריאות</w:t>
      </w:r>
      <w:r>
        <w:rPr>
          <w:rFonts w:ascii="Century" w:hAnsi="Century"/>
          <w:sz w:val="22"/>
          <w:rtl/>
        </w:rPr>
        <w:t xml:space="preserve">, פ"ד כ(1) 309, 328 (1966) (להלן: </w:t>
      </w:r>
      <w:r>
        <w:rPr>
          <w:rFonts w:ascii="Century" w:hAnsi="Century" w:cs="Miriam"/>
          <w:b/>
          <w:spacing w:val="0"/>
          <w:sz w:val="22"/>
          <w:szCs w:val="24"/>
          <w:rtl/>
        </w:rPr>
        <w:t>עניין אופנהיימר</w:t>
      </w:r>
      <w:r>
        <w:rPr>
          <w:rFonts w:ascii="Century" w:hAnsi="Century"/>
          <w:sz w:val="22"/>
          <w:rtl/>
        </w:rPr>
        <w:t xml:space="preserve">); ההדגשות הוּספו – נ' ס'). </w:t>
      </w:r>
    </w:p>
    <w:p w14:paraId="3D3912DF" w14:textId="77777777" w:rsidR="00613BC3" w:rsidRDefault="00613BC3" w:rsidP="00613BC3">
      <w:pPr>
        <w:pStyle w:val="Ruller41"/>
        <w:rPr>
          <w:rtl/>
        </w:rPr>
      </w:pPr>
    </w:p>
    <w:p w14:paraId="5195CE40" w14:textId="77777777" w:rsidR="00613BC3" w:rsidRDefault="00613BC3" w:rsidP="00613BC3">
      <w:pPr>
        <w:pStyle w:val="Ruller4"/>
        <w:rPr>
          <w:rtl/>
        </w:rPr>
      </w:pPr>
      <w:r>
        <w:rPr>
          <w:rtl/>
        </w:rPr>
        <w:t xml:space="preserve">בענייננו, הגם שלא ניתן לומר, כי רשויות המדינה מתנערות באופן מלא מאכיפת חובת הגיוס לגבי בני הציבור החרדי, דומני כי בשלב זה, למצער במישור המעשי – הדברים אינה כה רחוקים מכך. אמנם, הצבא ביצע פעולות שונות הנדרשות כ'תנאי רקע' תומכים, כגון קיצור משך הזמן בין מועד ההתייצבות לצו ראשון לבין הכרזה על השתמטות; השקת תכנית המאפשרת למשתמטים 'לתקן את דרכיהם', ולהחליט להתגייס; הכשרת כוחות בילוש נוספים; הקמת דסק מודיעין </w:t>
      </w:r>
      <w:proofErr w:type="spellStart"/>
      <w:r>
        <w:rPr>
          <w:rtl/>
        </w:rPr>
        <w:t>יעודי</w:t>
      </w:r>
      <w:proofErr w:type="spellEnd"/>
      <w:r>
        <w:rPr>
          <w:rtl/>
        </w:rPr>
        <w:t xml:space="preserve"> ועוד. ואולם, 'תנאי הרקע' האמורים, כשלעצמם, הגם שמובן כי הם הכרחיים – אינם מעלים או מורידים לגבי השאלה אם מתבצעת בפועל אכיפה אפקטיבית. הלכה למעשה, לבד מכמות לא גדולה של מעצרי משתמטים – שלא מן הנמנע כי שוחררו ימים ספורים לאחר מעצרם, בתרועה רמה – לא דיווחו משיבי המדינה על </w:t>
      </w:r>
      <w:r>
        <w:rPr>
          <w:rFonts w:ascii="Century" w:hAnsi="Century" w:cs="Miriam"/>
          <w:b/>
          <w:spacing w:val="0"/>
          <w:sz w:val="22"/>
          <w:szCs w:val="24"/>
          <w:rtl/>
        </w:rPr>
        <w:t>פעולות אכיפה אפקטיביות</w:t>
      </w:r>
      <w:r>
        <w:rPr>
          <w:rtl/>
        </w:rPr>
        <w:t xml:space="preserve"> </w:t>
      </w:r>
      <w:r>
        <w:rPr>
          <w:rFonts w:ascii="Century" w:hAnsi="Century"/>
          <w:sz w:val="22"/>
          <w:rtl/>
        </w:rPr>
        <w:t>של ממש</w:t>
      </w:r>
      <w:r>
        <w:rPr>
          <w:rtl/>
        </w:rPr>
        <w:t xml:space="preserve"> במישור הפלילי (למשל, הגשת כתבי אישום וכיוצא בזה). קשה לומר אפוא, כי חובת הגיוס אכן </w:t>
      </w:r>
      <w:r>
        <w:rPr>
          <w:rFonts w:ascii="Century" w:hAnsi="Century" w:cs="Miriam"/>
          <w:b/>
          <w:spacing w:val="0"/>
          <w:sz w:val="22"/>
          <w:szCs w:val="24"/>
          <w:rtl/>
        </w:rPr>
        <w:t>נאכפת</w:t>
      </w:r>
      <w:r>
        <w:rPr>
          <w:rFonts w:ascii="Century" w:hAnsi="Century"/>
          <w:sz w:val="22"/>
          <w:rtl/>
        </w:rPr>
        <w:t xml:space="preserve"> באופן שוויוני ואפקטיבי;</w:t>
      </w:r>
      <w:r>
        <w:rPr>
          <w:rFonts w:ascii="Century" w:hAnsi="Century"/>
          <w:sz w:val="22"/>
        </w:rPr>
        <w:t xml:space="preserve"> </w:t>
      </w:r>
      <w:r>
        <w:rPr>
          <w:rtl/>
        </w:rPr>
        <w:t xml:space="preserve">הרחק מכך, ממש לא. </w:t>
      </w:r>
    </w:p>
    <w:p w14:paraId="7B1653E6" w14:textId="77777777" w:rsidR="00613BC3" w:rsidRDefault="00613BC3" w:rsidP="00613BC3">
      <w:pPr>
        <w:pStyle w:val="Ruller4"/>
        <w:numPr>
          <w:ilvl w:val="0"/>
          <w:numId w:val="0"/>
        </w:numPr>
      </w:pPr>
    </w:p>
    <w:p w14:paraId="229D98EA" w14:textId="77777777" w:rsidR="00613BC3" w:rsidRDefault="00613BC3" w:rsidP="00613BC3">
      <w:pPr>
        <w:pStyle w:val="Ruller4"/>
      </w:pPr>
      <w:r>
        <w:rPr>
          <w:rtl/>
        </w:rPr>
        <w:t xml:space="preserve">מעבר לחשש הכללי אשר מתעורר מקום בו הוראת חוק אינה נאכפת באופן אפקטיבי, מה שמייצר סיכון להשלכות הרוחב המפורטות לעיל, בדבר </w:t>
      </w:r>
      <w:r>
        <w:rPr>
          <w:rFonts w:ascii="Century" w:hAnsi="Century" w:cs="Miriam"/>
          <w:b/>
          <w:spacing w:val="0"/>
          <w:sz w:val="22"/>
          <w:szCs w:val="24"/>
          <w:rtl/>
        </w:rPr>
        <w:t>"</w:t>
      </w:r>
      <w:proofErr w:type="spellStart"/>
      <w:r>
        <w:rPr>
          <w:rFonts w:ascii="Century" w:hAnsi="Century" w:cs="Miriam"/>
          <w:b/>
          <w:spacing w:val="0"/>
          <w:sz w:val="22"/>
          <w:szCs w:val="24"/>
          <w:rtl/>
        </w:rPr>
        <w:t>דימורליזציה</w:t>
      </w:r>
      <w:proofErr w:type="spellEnd"/>
      <w:r>
        <w:rPr>
          <w:rFonts w:ascii="Century" w:hAnsi="Century" w:cs="Miriam"/>
          <w:b/>
          <w:spacing w:val="0"/>
          <w:sz w:val="22"/>
          <w:szCs w:val="24"/>
          <w:rtl/>
        </w:rPr>
        <w:t xml:space="preserve"> ביחסי השלטון והאזרח"</w:t>
      </w:r>
      <w:r>
        <w:rPr>
          <w:rFonts w:ascii="Century" w:hAnsi="Century"/>
          <w:sz w:val="22"/>
          <w:rtl/>
        </w:rPr>
        <w:t>, ו</w:t>
      </w:r>
      <w:r>
        <w:rPr>
          <w:rFonts w:ascii="Century" w:hAnsi="Century" w:cs="Miriam"/>
          <w:b/>
          <w:spacing w:val="0"/>
          <w:sz w:val="22"/>
          <w:szCs w:val="24"/>
          <w:rtl/>
        </w:rPr>
        <w:t xml:space="preserve">"פריקת עול" </w:t>
      </w:r>
      <w:r>
        <w:rPr>
          <w:rFonts w:ascii="Century" w:hAnsi="Century"/>
          <w:sz w:val="22"/>
          <w:rtl/>
        </w:rPr>
        <w:t xml:space="preserve">של חוקי המדינה, הדברים מקבלים משנה תוקף </w:t>
      </w:r>
      <w:r>
        <w:rPr>
          <w:rFonts w:ascii="Century" w:hAnsi="Century"/>
          <w:sz w:val="22"/>
          <w:rtl/>
        </w:rPr>
        <w:lastRenderedPageBreak/>
        <w:t xml:space="preserve">בנדון דידן – חובת גיוס. כאמור לעיל, החוק בישראל קובע חובת גיוס </w:t>
      </w:r>
      <w:r>
        <w:rPr>
          <w:rFonts w:ascii="Century" w:hAnsi="Century" w:cs="Miriam"/>
          <w:b/>
          <w:spacing w:val="0"/>
          <w:sz w:val="22"/>
          <w:szCs w:val="24"/>
          <w:rtl/>
        </w:rPr>
        <w:t>כללית</w:t>
      </w:r>
      <w:r>
        <w:rPr>
          <w:rFonts w:ascii="Century" w:hAnsi="Century"/>
          <w:sz w:val="22"/>
          <w:rtl/>
        </w:rPr>
        <w:t xml:space="preserve"> (ראו בפרט: סעיף 2 לפקודת צבא-הגנה לישראל); כללית, משמע גם </w:t>
      </w:r>
      <w:r>
        <w:rPr>
          <w:rFonts w:ascii="Century" w:hAnsi="Century" w:cs="Miriam"/>
          <w:b/>
          <w:spacing w:val="0"/>
          <w:sz w:val="22"/>
          <w:szCs w:val="24"/>
          <w:rtl/>
        </w:rPr>
        <w:t>שוויונית</w:t>
      </w:r>
      <w:r>
        <w:rPr>
          <w:rFonts w:ascii="Century" w:hAnsi="Century"/>
          <w:sz w:val="22"/>
          <w:rtl/>
        </w:rPr>
        <w:t xml:space="preserve">. זהו תנאי בלעדיו-איִן למודל </w:t>
      </w:r>
      <w:r>
        <w:rPr>
          <w:rFonts w:ascii="Century" w:hAnsi="Century" w:cs="Miriam"/>
          <w:b/>
          <w:spacing w:val="0"/>
          <w:sz w:val="22"/>
          <w:szCs w:val="24"/>
          <w:rtl/>
        </w:rPr>
        <w:t>צבא העם</w:t>
      </w:r>
      <w:r>
        <w:rPr>
          <w:rFonts w:ascii="Century" w:hAnsi="Century"/>
          <w:sz w:val="22"/>
          <w:rtl/>
        </w:rPr>
        <w:t xml:space="preserve">. ככל שהמדינה תמשיך בהימנעות מאכיפה אפקטיבית של חובת הגיוס באופן שוויוני, יהיה קשה יותר להצדיק נקיטת צעדי אכיפה כלפי משתמטים אחרים. אין זה מן הנמנע כי הימשכות מצב הדברים האמור, תביא לפגיעה בנכונותם של אחרים למלא אחר חובת הגיוס – חובה שמעצם טבעה מחייבת נכונות להזדהות, שיתוף פעולה ותרומה, ואשר לא ניתן לממשה אך ורק בדרכי כפיה. המדרון בהקשר זה עשוי להיות חלקלק, ואחריתו – מי </w:t>
      </w:r>
      <w:proofErr w:type="spellStart"/>
      <w:r>
        <w:rPr>
          <w:rFonts w:ascii="Century" w:hAnsi="Century"/>
          <w:sz w:val="22"/>
          <w:rtl/>
        </w:rPr>
        <w:t>ישורנה</w:t>
      </w:r>
      <w:proofErr w:type="spellEnd"/>
      <w:r>
        <w:rPr>
          <w:rFonts w:ascii="Century" w:hAnsi="Century"/>
          <w:sz w:val="22"/>
          <w:rtl/>
        </w:rPr>
        <w:t>;</w:t>
      </w:r>
      <w:r>
        <w:rPr>
          <w:rFonts w:ascii="Century" w:hAnsi="Century"/>
          <w:sz w:val="22"/>
        </w:rPr>
        <w:t xml:space="preserve"> </w:t>
      </w:r>
      <w:r>
        <w:rPr>
          <w:rFonts w:ascii="Century" w:hAnsi="Century"/>
          <w:sz w:val="22"/>
          <w:rtl/>
        </w:rPr>
        <w:t xml:space="preserve">בל נשכח: בביטחון המדינה עסקינן, במובנו הבסיסי ביותר </w:t>
      </w:r>
      <w:r>
        <w:rPr>
          <w:sz w:val="22"/>
          <w:rtl/>
        </w:rPr>
        <w:t xml:space="preserve">(על מנת שלא נימצא חסרים, אציין כי תלויה ועומדת לפני בית משפט זה עתירה שעניינה בגיוס בני החברה הערבית; ראו: בג"ץ 41938-08-24 </w:t>
      </w:r>
      <w:r>
        <w:rPr>
          <w:rFonts w:cs="Miriam"/>
          <w:b/>
          <w:spacing w:val="0"/>
          <w:sz w:val="22"/>
          <w:szCs w:val="24"/>
          <w:rtl/>
        </w:rPr>
        <w:t>בלנס נ' שר הביטחון</w:t>
      </w:r>
      <w:r>
        <w:rPr>
          <w:sz w:val="22"/>
          <w:rtl/>
        </w:rPr>
        <w:t>)</w:t>
      </w:r>
      <w:r>
        <w:rPr>
          <w:rFonts w:ascii="Century" w:hAnsi="Century"/>
          <w:sz w:val="22"/>
          <w:rtl/>
        </w:rPr>
        <w:t xml:space="preserve">.  </w:t>
      </w:r>
    </w:p>
    <w:p w14:paraId="13001450" w14:textId="77777777" w:rsidR="00613BC3" w:rsidRDefault="00613BC3" w:rsidP="00613BC3">
      <w:pPr>
        <w:pStyle w:val="Ruller41"/>
        <w:rPr>
          <w:rtl/>
        </w:rPr>
      </w:pPr>
    </w:p>
    <w:p w14:paraId="05180999" w14:textId="77777777" w:rsidR="00613BC3" w:rsidRDefault="00613BC3" w:rsidP="00613BC3">
      <w:pPr>
        <w:pStyle w:val="Ruller4"/>
        <w:rPr>
          <w:rtl/>
        </w:rPr>
      </w:pPr>
      <w:r>
        <w:rPr>
          <w:rtl/>
        </w:rPr>
        <w:t xml:space="preserve">בשולי הדברים, כפי שצוין לעיל, זמן קצר טרם הדיון בהתנגדות לצו על-תנאי, עלתה טענה מצד העותרת בבג"ץ 27156-08-24, שלפיה התקבלה במשטרת ישראל החלטה שלא לעצור משתמטים בני הציבור החרדי. זאת, חרף סמכותה המעוגנת בסעיף 52(א) לחוק שירות בטחון. ב"כ משיבי המדינה ציינה בדיון כי אכן, התגלעה מחלוקת בין גורמי המשטרה והצבא באשר לסוגיה זו, אולם הגורמים הרלבנטיים פועלים ליישבה, והיא צפויה לבוא על פתרונה בקרוב. חזקה כי </w:t>
      </w:r>
      <w:proofErr w:type="spellStart"/>
      <w:r>
        <w:rPr>
          <w:rtl/>
        </w:rPr>
        <w:t>הסוגיה</w:t>
      </w:r>
      <w:proofErr w:type="spellEnd"/>
      <w:r>
        <w:rPr>
          <w:rtl/>
        </w:rPr>
        <w:t xml:space="preserve"> תיפתר בתוך זמן קצר (אם לא נפתרה כבר). על כל פנים, מובן כי רשות </w:t>
      </w:r>
      <w:proofErr w:type="spellStart"/>
      <w:r>
        <w:rPr>
          <w:rtl/>
        </w:rPr>
        <w:t>מינהלית</w:t>
      </w:r>
      <w:proofErr w:type="spellEnd"/>
      <w:r>
        <w:rPr>
          <w:rtl/>
        </w:rPr>
        <w:t xml:space="preserve"> – בעניין דנן, המשטרה – אינה רשאית להתפרק כליל מסמכויות שהוקנו לה על-פי חוק (ראו למשל: בג"ץ 297/82 </w:t>
      </w:r>
      <w:r>
        <w:rPr>
          <w:rFonts w:ascii="Century" w:hAnsi="Century" w:cs="Miriam"/>
          <w:b/>
          <w:spacing w:val="0"/>
          <w:sz w:val="22"/>
          <w:szCs w:val="24"/>
          <w:rtl/>
        </w:rPr>
        <w:t>ברגר נ' שר הפנים</w:t>
      </w:r>
      <w:r>
        <w:rPr>
          <w:rtl/>
        </w:rPr>
        <w:t xml:space="preserve">, פ"ד </w:t>
      </w:r>
      <w:proofErr w:type="spellStart"/>
      <w:r>
        <w:rPr>
          <w:rtl/>
        </w:rPr>
        <w:t>לז</w:t>
      </w:r>
      <w:proofErr w:type="spellEnd"/>
      <w:r>
        <w:rPr>
          <w:rtl/>
        </w:rPr>
        <w:t xml:space="preserve">(3) 29, 47 (1983); בג"ץ 4726/20 </w:t>
      </w:r>
      <w:r>
        <w:rPr>
          <w:rFonts w:ascii="Century" w:hAnsi="Century" w:cs="Miriam"/>
          <w:b/>
          <w:spacing w:val="0"/>
          <w:sz w:val="22"/>
          <w:szCs w:val="24"/>
          <w:rtl/>
        </w:rPr>
        <w:t>אזרחים למען הסביבה נ' השרה להגנת הסביבה</w:t>
      </w:r>
      <w:r>
        <w:rPr>
          <w:rFonts w:ascii="Century" w:hAnsi="Century"/>
          <w:sz w:val="22"/>
          <w:rtl/>
        </w:rPr>
        <w:t>, פסקה 35 (30.10.2024))</w:t>
      </w:r>
      <w:r>
        <w:rPr>
          <w:rtl/>
        </w:rPr>
        <w:t xml:space="preserve">.       </w:t>
      </w:r>
    </w:p>
    <w:p w14:paraId="0634DF78" w14:textId="77777777" w:rsidR="00613BC3" w:rsidRDefault="00613BC3" w:rsidP="00613BC3">
      <w:pPr>
        <w:pStyle w:val="Ruller41"/>
        <w:rPr>
          <w:rtl/>
        </w:rPr>
      </w:pPr>
    </w:p>
    <w:p w14:paraId="356DAA81" w14:textId="77777777" w:rsidR="00613BC3" w:rsidRDefault="00613BC3" w:rsidP="00613BC3">
      <w:pPr>
        <w:pStyle w:val="Ruller4"/>
        <w:rPr>
          <w:rtl/>
        </w:rPr>
      </w:pPr>
      <w:r>
        <w:rPr>
          <w:rFonts w:ascii="Century" w:hAnsi="Century" w:cs="Miriam"/>
          <w:b/>
          <w:spacing w:val="0"/>
          <w:sz w:val="22"/>
          <w:szCs w:val="24"/>
          <w:rtl/>
        </w:rPr>
        <w:t>סיכום ביניים</w:t>
      </w:r>
      <w:r>
        <w:rPr>
          <w:rFonts w:ascii="Century" w:hAnsi="Century"/>
          <w:sz w:val="22"/>
          <w:rtl/>
        </w:rPr>
        <w:t>: המדינה אינה ממלאת אחר חובתה לביצוע אכיפה אפקטיבית ושוויונית של חובת הגיוס במישור הפלילי. הגם ש</w:t>
      </w:r>
      <w:r>
        <w:rPr>
          <w:rFonts w:ascii="Century" w:hAnsi="Century" w:cs="Miriam"/>
          <w:b/>
          <w:spacing w:val="0"/>
          <w:sz w:val="22"/>
          <w:szCs w:val="24"/>
          <w:rtl/>
        </w:rPr>
        <w:t>להלכה</w:t>
      </w:r>
      <w:r>
        <w:rPr>
          <w:rFonts w:ascii="Century" w:hAnsi="Century"/>
          <w:sz w:val="22"/>
          <w:rtl/>
        </w:rPr>
        <w:t xml:space="preserve">, ניכרת מחויבות, ונעשות פעולות מקדימות – </w:t>
      </w:r>
      <w:r>
        <w:rPr>
          <w:rFonts w:ascii="Century" w:hAnsi="Century" w:cs="Miriam"/>
          <w:b/>
          <w:spacing w:val="0"/>
          <w:sz w:val="22"/>
          <w:szCs w:val="24"/>
          <w:rtl/>
        </w:rPr>
        <w:t>למעשה</w:t>
      </w:r>
      <w:r>
        <w:rPr>
          <w:rFonts w:ascii="Century" w:hAnsi="Century"/>
          <w:sz w:val="22"/>
          <w:rtl/>
        </w:rPr>
        <w:t xml:space="preserve">, לא הוצגו לנו פעולות אכיפה המתבצעות בפועל, למעט אותם מעצרים נקודתיים, כמפורט לעיל. בנסיבות אלה, ובשים לב לחשיבות העניין, כמו גם לדחיפותו – הן במונחי אי-השוויון בנטל, אשר הולך ומעמיק, הן במונחי צרכי הצבא, לפי גורמי המקצוע שלו-עצמו – ולהשלכות הרוחב הפוטנציאליות, שעלולות להיות קשות ביותר, סבורני כי אין מנוס מהפיכת הצו על-תנאי למוחלט בהיבט זה (בהמשך אפרט מעט יותר לגבי היבטיו המעשיים של הצו). </w:t>
      </w:r>
    </w:p>
    <w:p w14:paraId="4B32DB46" w14:textId="77777777" w:rsidR="00613BC3" w:rsidRDefault="00613BC3" w:rsidP="00613BC3">
      <w:pPr>
        <w:pStyle w:val="Ruller4"/>
        <w:numPr>
          <w:ilvl w:val="0"/>
          <w:numId w:val="0"/>
        </w:numPr>
      </w:pPr>
    </w:p>
    <w:p w14:paraId="7912E00C"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 xml:space="preserve">צעדי אכיפה משלימים </w:t>
      </w:r>
      <w:r>
        <w:rPr>
          <w:rFonts w:ascii="Century" w:hAnsi="Century"/>
          <w:rtl/>
        </w:rPr>
        <w:t xml:space="preserve">– </w:t>
      </w:r>
      <w:r>
        <w:rPr>
          <w:rFonts w:ascii="Century" w:hAnsi="Century" w:cs="Miriam"/>
          <w:b/>
          <w:spacing w:val="0"/>
          <w:szCs w:val="24"/>
          <w:rtl/>
        </w:rPr>
        <w:t>האם קיימת חובה?</w:t>
      </w:r>
    </w:p>
    <w:p w14:paraId="642A2178" w14:textId="77777777" w:rsidR="00613BC3" w:rsidRDefault="00613BC3" w:rsidP="00613BC3">
      <w:pPr>
        <w:pStyle w:val="Ruller4"/>
      </w:pPr>
      <w:r>
        <w:rPr>
          <w:rFonts w:ascii="Century" w:hAnsi="Century"/>
          <w:sz w:val="22"/>
          <w:rtl/>
        </w:rPr>
        <w:lastRenderedPageBreak/>
        <w:t xml:space="preserve">אכיפה אפקטיבית באפיק הפלילי היא אמנם תנאי </w:t>
      </w:r>
      <w:r>
        <w:rPr>
          <w:rFonts w:ascii="Century" w:hAnsi="Century" w:cs="Miriam"/>
          <w:b/>
          <w:spacing w:val="0"/>
          <w:sz w:val="22"/>
          <w:szCs w:val="24"/>
          <w:rtl/>
        </w:rPr>
        <w:t>הכרחי</w:t>
      </w:r>
      <w:r>
        <w:rPr>
          <w:rFonts w:ascii="Century" w:hAnsi="Century"/>
          <w:sz w:val="22"/>
          <w:rtl/>
        </w:rPr>
        <w:t xml:space="preserve"> ליצירת שינוי במצב הדברים, אך אינה תנאי </w:t>
      </w:r>
      <w:r>
        <w:rPr>
          <w:rFonts w:ascii="Century" w:hAnsi="Century" w:cs="Miriam"/>
          <w:b/>
          <w:spacing w:val="0"/>
          <w:sz w:val="22"/>
          <w:szCs w:val="24"/>
          <w:rtl/>
        </w:rPr>
        <w:t>מספיק</w:t>
      </w:r>
      <w:r>
        <w:rPr>
          <w:rFonts w:ascii="Century" w:hAnsi="Century"/>
          <w:sz w:val="22"/>
          <w:rtl/>
        </w:rPr>
        <w:t>. כך, עמדתם העקבית והחד-משמעית של גורמי המקצוע, הן בצה"ל ובמשרד הביטחון, הן במשרד האוצר, היא ש</w:t>
      </w:r>
      <w:r>
        <w:rPr>
          <w:rFonts w:ascii="Century" w:hAnsi="Century" w:cs="Miriam"/>
          <w:b/>
          <w:spacing w:val="0"/>
          <w:sz w:val="22"/>
          <w:szCs w:val="24"/>
          <w:rtl/>
        </w:rPr>
        <w:t>"אין די בסמכויות המצויות בידי הצבא לשם מילוי שורות הצבא בהתאם לצרכים הביטחוניים העדכניים"</w:t>
      </w:r>
      <w:r>
        <w:rPr>
          <w:rFonts w:ascii="Century" w:hAnsi="Century"/>
          <w:sz w:val="22"/>
          <w:rtl/>
        </w:rPr>
        <w:t>, אלא</w:t>
      </w:r>
      <w:r>
        <w:rPr>
          <w:rFonts w:ascii="Century" w:hAnsi="Century" w:cs="Miriam"/>
          <w:b/>
          <w:spacing w:val="0"/>
          <w:sz w:val="22"/>
          <w:szCs w:val="24"/>
          <w:rtl/>
        </w:rPr>
        <w:t xml:space="preserve"> "יש חשיבות רבה להרחיב את צעדי האכיפה האישיים כלפי משתמטים, וכן לשלול הטבות ממשתמטים </w:t>
      </w:r>
      <w:r>
        <w:rPr>
          <w:rFonts w:ascii="Century" w:hAnsi="Century"/>
          <w:sz w:val="22"/>
          <w:rtl/>
        </w:rPr>
        <w:t xml:space="preserve">– </w:t>
      </w:r>
      <w:r>
        <w:rPr>
          <w:rFonts w:ascii="Century" w:hAnsi="Century" w:cs="Miriam"/>
          <w:b/>
          <w:spacing w:val="0"/>
          <w:sz w:val="22"/>
          <w:szCs w:val="24"/>
          <w:rtl/>
        </w:rPr>
        <w:t>צעדים אשר מצויים בסמכות גורמים שונים בממשלה"</w:t>
      </w:r>
      <w:r>
        <w:rPr>
          <w:rFonts w:ascii="Century" w:hAnsi="Century"/>
          <w:sz w:val="22"/>
          <w:rtl/>
        </w:rPr>
        <w:t xml:space="preserve">. עמדתה של הממשלה, לעומת זאת – שונה. כפי שהובהר במכתבו של מזכיר הממשלה מיום 23.10.2025, במענה לפניית היועצת המשפטית לממשלה באשר לקידום צעדי אכיפה משלימים כאמור, אין בכוונת הממשלה לקדם צעדים כגון דא. זאת, שכן לשיטתה, </w:t>
      </w:r>
      <w:r>
        <w:rPr>
          <w:rFonts w:ascii="Century" w:hAnsi="Century" w:cs="Miriam"/>
          <w:b/>
          <w:spacing w:val="0"/>
          <w:sz w:val="22"/>
          <w:szCs w:val="24"/>
          <w:rtl/>
        </w:rPr>
        <w:t>"</w:t>
      </w:r>
      <w:r>
        <w:rPr>
          <w:rFonts w:ascii="Century" w:hAnsi="Century" w:cs="Miriam"/>
          <w:b/>
          <w:spacing w:val="0"/>
          <w:szCs w:val="24"/>
          <w:rtl/>
        </w:rPr>
        <w:t xml:space="preserve">הדרך היחידה להביא לגרף עלייה קבוע בגיוס לצה"ל מקרב הציבור החרדי" </w:t>
      </w:r>
      <w:r>
        <w:rPr>
          <w:rFonts w:ascii="Century" w:hAnsi="Century"/>
          <w:sz w:val="22"/>
          <w:rtl/>
        </w:rPr>
        <w:t xml:space="preserve">היא באמצעות השלמת החקיקה שתסדיר את </w:t>
      </w:r>
      <w:proofErr w:type="spellStart"/>
      <w:r>
        <w:rPr>
          <w:rFonts w:ascii="Century" w:hAnsi="Century"/>
          <w:sz w:val="22"/>
          <w:rtl/>
        </w:rPr>
        <w:t>הסוגיה</w:t>
      </w:r>
      <w:proofErr w:type="spellEnd"/>
      <w:r>
        <w:rPr>
          <w:rFonts w:ascii="Century" w:hAnsi="Century"/>
          <w:sz w:val="22"/>
          <w:rtl/>
        </w:rPr>
        <w:t xml:space="preserve"> </w:t>
      </w:r>
      <w:r>
        <w:rPr>
          <w:rFonts w:ascii="Century" w:hAnsi="Century" w:cs="Miriam"/>
          <w:b/>
          <w:spacing w:val="0"/>
          <w:sz w:val="22"/>
          <w:szCs w:val="24"/>
          <w:rtl/>
        </w:rPr>
        <w:t>"במרחבי הסכמה עם הנהגת הציבור החרדי"</w:t>
      </w:r>
      <w:r>
        <w:rPr>
          <w:rFonts w:ascii="Century" w:hAnsi="Century"/>
          <w:sz w:val="22"/>
          <w:rtl/>
        </w:rPr>
        <w:t xml:space="preserve">, </w:t>
      </w:r>
      <w:r>
        <w:rPr>
          <w:rFonts w:ascii="Century" w:hAnsi="Century" w:cs="Miriam"/>
          <w:b/>
          <w:spacing w:val="0"/>
          <w:sz w:val="22"/>
          <w:szCs w:val="24"/>
          <w:rtl/>
        </w:rPr>
        <w:t>"אל מול תמריצים, סנקציות והגבלות שונות הנכללים בחוק"</w:t>
      </w:r>
      <w:r>
        <w:rPr>
          <w:rFonts w:ascii="Century" w:hAnsi="Century"/>
          <w:sz w:val="22"/>
          <w:rtl/>
        </w:rPr>
        <w:t xml:space="preserve"> (זו גם עמדת שר הביטחון, כפי שעולה מסיכום הדיון שהתקיים בראשותו ביום 6.3.2025). </w:t>
      </w:r>
    </w:p>
    <w:p w14:paraId="3F52F533" w14:textId="77777777" w:rsidR="00613BC3" w:rsidRDefault="00613BC3" w:rsidP="00613BC3">
      <w:pPr>
        <w:pStyle w:val="Ruller41"/>
        <w:rPr>
          <w:rtl/>
        </w:rPr>
      </w:pPr>
    </w:p>
    <w:p w14:paraId="6C9581FD" w14:textId="77777777" w:rsidR="00613BC3" w:rsidRDefault="00613BC3" w:rsidP="00613BC3">
      <w:pPr>
        <w:pStyle w:val="Ruller4"/>
        <w:rPr>
          <w:rtl/>
        </w:rPr>
      </w:pPr>
      <w:r>
        <w:rPr>
          <w:rtl/>
        </w:rPr>
        <w:t xml:space="preserve">עמדה זו של הממשלה – קשה עד מאוד לקבל. עולה ממנה, כי במצב החוקי הנוכחי, נתון לממשלה שיקול דעת </w:t>
      </w:r>
      <w:r>
        <w:rPr>
          <w:rFonts w:cs="Miriam"/>
          <w:b/>
          <w:spacing w:val="0"/>
          <w:szCs w:val="24"/>
          <w:rtl/>
        </w:rPr>
        <w:t xml:space="preserve">אם </w:t>
      </w:r>
      <w:r>
        <w:rPr>
          <w:rtl/>
        </w:rPr>
        <w:t>לפעול כמיטב יכולתה, בהתאם לשיקול דעתה, למימוש והגשמה של חובת הגיוס באופן שוויוני. עמדה זו מנוגדת ישירות להוראות חוק שירות בטחון, הקובע חובת גיוס שוויונית, כמפורט לעיל; סותרת את חובתן הכללית של רשויות המדינה לפעול לאכיפת החוק; מנוגדת להלכה הפסוקה; ואף נדחתה מפורשות עוד ב</w:t>
      </w:r>
      <w:r>
        <w:rPr>
          <w:rFonts w:cs="Miriam"/>
          <w:b/>
          <w:spacing w:val="0"/>
          <w:szCs w:val="24"/>
          <w:rtl/>
        </w:rPr>
        <w:t>בג"ץ 6198/23</w:t>
      </w:r>
      <w:r>
        <w:rPr>
          <w:rtl/>
        </w:rPr>
        <w:t xml:space="preserve">: </w:t>
      </w:r>
      <w:r>
        <w:rPr>
          <w:rFonts w:cs="Miriam"/>
          <w:b/>
          <w:spacing w:val="0"/>
          <w:szCs w:val="24"/>
          <w:rtl/>
        </w:rPr>
        <w:t xml:space="preserve">"כפי שהובהר לא אחת, על הרשות </w:t>
      </w:r>
      <w:proofErr w:type="spellStart"/>
      <w:r>
        <w:rPr>
          <w:rFonts w:cs="Miriam"/>
          <w:b/>
          <w:spacing w:val="0"/>
          <w:szCs w:val="24"/>
          <w:rtl/>
        </w:rPr>
        <w:t>המינהלית</w:t>
      </w:r>
      <w:proofErr w:type="spellEnd"/>
      <w:r>
        <w:rPr>
          <w:rFonts w:cs="Miriam"/>
          <w:b/>
          <w:spacing w:val="0"/>
          <w:szCs w:val="24"/>
          <w:rtl/>
        </w:rPr>
        <w:t xml:space="preserve"> לפעול בגדרי הסמכויות הנתונות לה בדין הקיים, </w:t>
      </w:r>
      <w:r>
        <w:rPr>
          <w:rFonts w:cs="Miriam"/>
          <w:b/>
          <w:spacing w:val="0"/>
          <w:szCs w:val="24"/>
          <w:u w:val="single"/>
          <w:rtl/>
        </w:rPr>
        <w:t>ואין בעצם כוונתה לקדם חקיקה שתשנה את המצב החוקי כדי לאפשר לה להימנע מהפעלת סמכויותיה</w:t>
      </w:r>
      <w:r>
        <w:rPr>
          <w:rFonts w:cs="Miriam"/>
          <w:b/>
          <w:spacing w:val="0"/>
          <w:szCs w:val="24"/>
          <w:rtl/>
        </w:rPr>
        <w:t>"</w:t>
      </w:r>
      <w:r>
        <w:rPr>
          <w:rtl/>
        </w:rPr>
        <w:t xml:space="preserve"> (שם, פסקה 51; ההדגשה הוּספה – נ' ס'). </w:t>
      </w:r>
    </w:p>
    <w:p w14:paraId="3EA8A64B" w14:textId="77777777" w:rsidR="00613BC3" w:rsidRDefault="00613BC3" w:rsidP="00613BC3">
      <w:pPr>
        <w:pStyle w:val="Ruller4"/>
        <w:numPr>
          <w:ilvl w:val="0"/>
          <w:numId w:val="0"/>
        </w:numPr>
      </w:pPr>
    </w:p>
    <w:p w14:paraId="67006DED" w14:textId="77777777" w:rsidR="00613BC3" w:rsidRDefault="00613BC3" w:rsidP="00613BC3">
      <w:pPr>
        <w:pStyle w:val="Ruller4"/>
      </w:pPr>
      <w:r>
        <w:rPr>
          <w:rtl/>
        </w:rPr>
        <w:t xml:space="preserve">בהקשר זה הוברר בפסיקה, כי </w:t>
      </w:r>
      <w:r>
        <w:rPr>
          <w:rFonts w:ascii="Century" w:hAnsi="Century" w:cs="Miriam"/>
          <w:b/>
          <w:spacing w:val="0"/>
          <w:sz w:val="22"/>
          <w:szCs w:val="24"/>
          <w:rtl/>
        </w:rPr>
        <w:t>"הטעם לדבר אינו רק חובת הרשות להחליט על-פי הדין הקיים היום. טעם נוסף הוא, שאין לדעת אם יחוקק החוק ומתי יחוקק. לכנסת סדרי עדיפויות משלה, ואין לדעת מתי תידון הצעת החוק, אם בכלל, כמה זמן יימשך הליך החקיקה ומה יהיה תוכנו של החוק"</w:t>
      </w:r>
      <w:r>
        <w:rPr>
          <w:rtl/>
        </w:rPr>
        <w:t xml:space="preserve"> (בג"ץ 3872/93 </w:t>
      </w:r>
      <w:proofErr w:type="spellStart"/>
      <w:r>
        <w:rPr>
          <w:rFonts w:ascii="Century" w:hAnsi="Century" w:cs="Miriam"/>
          <w:b/>
          <w:spacing w:val="0"/>
          <w:sz w:val="22"/>
          <w:szCs w:val="24"/>
          <w:rtl/>
        </w:rPr>
        <w:t>מיטראל</w:t>
      </w:r>
      <w:proofErr w:type="spellEnd"/>
      <w:r>
        <w:rPr>
          <w:rFonts w:ascii="Century" w:hAnsi="Century" w:cs="Miriam"/>
          <w:b/>
          <w:spacing w:val="0"/>
          <w:sz w:val="22"/>
          <w:szCs w:val="24"/>
          <w:rtl/>
        </w:rPr>
        <w:t xml:space="preserve"> בע"מ נ' ראש הממשלה</w:t>
      </w:r>
      <w:r>
        <w:rPr>
          <w:rtl/>
        </w:rPr>
        <w:t xml:space="preserve">, פ"ד </w:t>
      </w:r>
      <w:proofErr w:type="spellStart"/>
      <w:r>
        <w:rPr>
          <w:rtl/>
        </w:rPr>
        <w:t>מז</w:t>
      </w:r>
      <w:proofErr w:type="spellEnd"/>
      <w:r>
        <w:rPr>
          <w:rtl/>
        </w:rPr>
        <w:t>(5) 485, 496 (1993)). נימוק זה, יפה הוא במיוחד לענייננו. כזכור, לאחר פסק הדין ב</w:t>
      </w:r>
      <w:r>
        <w:rPr>
          <w:rFonts w:ascii="Century" w:hAnsi="Century" w:cs="Miriam"/>
          <w:b/>
          <w:spacing w:val="0"/>
          <w:sz w:val="22"/>
          <w:szCs w:val="24"/>
          <w:rtl/>
        </w:rPr>
        <w:t>בג"ץ 1877/14</w:t>
      </w:r>
      <w:r>
        <w:rPr>
          <w:rtl/>
        </w:rPr>
        <w:t xml:space="preserve">, לפני למעלה מ-8 שנים, התבקשו על-ידי המדינה </w:t>
      </w:r>
      <w:proofErr w:type="spellStart"/>
      <w:r>
        <w:rPr>
          <w:rtl/>
        </w:rPr>
        <w:t>ארכות</w:t>
      </w:r>
      <w:proofErr w:type="spellEnd"/>
      <w:r>
        <w:rPr>
          <w:rtl/>
        </w:rPr>
        <w:t xml:space="preserve"> רבות להשעיית תוקפו של פסק הדין, לטובת השלמת חקיקה שתסדיר את </w:t>
      </w:r>
      <w:proofErr w:type="spellStart"/>
      <w:r>
        <w:rPr>
          <w:rtl/>
        </w:rPr>
        <w:t>הסוגיה</w:t>
      </w:r>
      <w:proofErr w:type="spellEnd"/>
      <w:r>
        <w:rPr>
          <w:rtl/>
        </w:rPr>
        <w:t xml:space="preserve">. אף לאחר פקיעת החוק, הכריזה </w:t>
      </w:r>
      <w:r>
        <w:rPr>
          <w:rFonts w:ascii="Century" w:hAnsi="Century"/>
          <w:sz w:val="22"/>
          <w:rtl/>
        </w:rPr>
        <w:t>הממשלה הנוכחית</w:t>
      </w:r>
      <w:r>
        <w:rPr>
          <w:rtl/>
        </w:rPr>
        <w:t xml:space="preserve">, בהחלטה 682 מיום 25.6.2023, כי בכוונתה </w:t>
      </w:r>
      <w:r>
        <w:rPr>
          <w:rFonts w:ascii="Century" w:hAnsi="Century" w:cs="Miriam"/>
          <w:b/>
          <w:spacing w:val="0"/>
          <w:sz w:val="22"/>
          <w:szCs w:val="24"/>
          <w:rtl/>
        </w:rPr>
        <w:t>"לגבש הסדר חקיקתי חדש"</w:t>
      </w:r>
      <w:r>
        <w:rPr>
          <w:rtl/>
        </w:rPr>
        <w:t xml:space="preserve">, במסגרת מה שכונה באותה החלטה 'תקופת הביניים', קרי עד יום 31.3.2024. והנה, ניצבים אנו כאן, כמעט </w:t>
      </w:r>
      <w:r>
        <w:rPr>
          <w:rFonts w:ascii="Century" w:hAnsi="Century" w:cs="Miriam"/>
          <w:b/>
          <w:spacing w:val="0"/>
          <w:sz w:val="22"/>
          <w:szCs w:val="24"/>
          <w:rtl/>
        </w:rPr>
        <w:t>שנתיים וחצי</w:t>
      </w:r>
      <w:r>
        <w:rPr>
          <w:rtl/>
        </w:rPr>
        <w:t xml:space="preserve"> לאחר החלטה 682, תקופה </w:t>
      </w:r>
      <w:r>
        <w:rPr>
          <w:rtl/>
        </w:rPr>
        <w:lastRenderedPageBreak/>
        <w:t xml:space="preserve">שבמהלכה פרצה מלחמה קשה וארוכה ביותר, אך הסדר חקיקתי חדש – אַיִן; אותה 'תקופת ביניים' שנועדה להסתיים לפני למעלה משנה וחצי – היא עודנה מציאות חיינו. פעם אחר פעם אנו מתבשרים כי הליכי החקיקה מצויים בשלבים מתקדמים, פסע מהשלמה – </w:t>
      </w:r>
      <w:r>
        <w:rPr>
          <w:rFonts w:ascii="Century" w:hAnsi="Century" w:cs="Miriam"/>
          <w:b/>
          <w:spacing w:val="0"/>
          <w:sz w:val="22"/>
          <w:szCs w:val="24"/>
          <w:rtl/>
        </w:rPr>
        <w:t xml:space="preserve">"הִנֵּה זֶה עוֹמֵד אַחַר </w:t>
      </w:r>
      <w:proofErr w:type="spellStart"/>
      <w:r>
        <w:rPr>
          <w:rFonts w:ascii="Century" w:hAnsi="Century" w:cs="Miriam"/>
          <w:b/>
          <w:spacing w:val="0"/>
          <w:sz w:val="22"/>
          <w:szCs w:val="24"/>
          <w:rtl/>
        </w:rPr>
        <w:t>כָּתְלֵנו</w:t>
      </w:r>
      <w:proofErr w:type="spellEnd"/>
      <w:r>
        <w:rPr>
          <w:rFonts w:ascii="Century" w:hAnsi="Century" w:cs="Miriam"/>
          <w:b/>
          <w:spacing w:val="0"/>
          <w:sz w:val="22"/>
          <w:szCs w:val="24"/>
          <w:rtl/>
        </w:rPr>
        <w:t xml:space="preserve">ּ מַשְׁגִּיחַ מִן </w:t>
      </w:r>
      <w:proofErr w:type="spellStart"/>
      <w:r>
        <w:rPr>
          <w:rFonts w:ascii="Century" w:hAnsi="Century" w:cs="Miriam"/>
          <w:b/>
          <w:spacing w:val="0"/>
          <w:sz w:val="22"/>
          <w:szCs w:val="24"/>
          <w:rtl/>
        </w:rPr>
        <w:t>הַחֲלֹּנוֹת</w:t>
      </w:r>
      <w:proofErr w:type="spellEnd"/>
      <w:r>
        <w:rPr>
          <w:rFonts w:ascii="Century" w:hAnsi="Century" w:cs="Miriam"/>
          <w:b/>
          <w:spacing w:val="0"/>
          <w:sz w:val="22"/>
          <w:szCs w:val="24"/>
          <w:rtl/>
        </w:rPr>
        <w:t xml:space="preserve"> מֵצִיץ מִן הַחֲרַכִּים"</w:t>
      </w:r>
      <w:r>
        <w:rPr>
          <w:rtl/>
        </w:rPr>
        <w:t xml:space="preserve"> (שיר השירים ב, ט); אולם בפועל, מצב הדברים המשפטי, בכל הנוגע לחקיקה, קרוב הרבה יותר לתיאור אחר, קודר יותר, גם הוא פרי עטו של החכם באדם: </w:t>
      </w:r>
      <w:r>
        <w:rPr>
          <w:rFonts w:ascii="Century" w:hAnsi="Century" w:cs="Miriam"/>
          <w:b/>
          <w:spacing w:val="0"/>
          <w:sz w:val="22"/>
          <w:szCs w:val="24"/>
          <w:rtl/>
        </w:rPr>
        <w:t>"מַה שֶּׁהָיָה הוּא שֶׁיִּהְיֶה וּמַה שֶׁנַּעֲשָׂה הוּא שֶׁיֵּעָשֶׂה וְאֵין כָּל חָדָשׁ תַּחַת הַשָּׁמֶשׁ"</w:t>
      </w:r>
      <w:r>
        <w:rPr>
          <w:rtl/>
        </w:rPr>
        <w:t xml:space="preserve"> (קהלת א, ט). הוראות חוק שירות בטחון – אינן ממומשות ואינן מוגשמות; חובת הגיוס החקוקה – נותרת עלי-ספר בלבד. בנסיבות אלה, דומני כי אין לנו אלא לשוב אל מושכלות היסוד: </w:t>
      </w:r>
      <w:r>
        <w:rPr>
          <w:rFonts w:ascii="Century" w:hAnsi="Century" w:cs="Miriam"/>
          <w:b/>
          <w:spacing w:val="0"/>
          <w:sz w:val="22"/>
          <w:szCs w:val="24"/>
          <w:rtl/>
        </w:rPr>
        <w:t>"ההימנעות מלממש ולהגשים חוק קיים ומחייב, אינה מדיניות ואינה יכולה להיות מדיניות"</w:t>
      </w:r>
      <w:r>
        <w:rPr>
          <w:rtl/>
        </w:rPr>
        <w:t xml:space="preserve"> (עניין </w:t>
      </w:r>
      <w:r>
        <w:rPr>
          <w:rFonts w:ascii="Century" w:hAnsi="Century" w:cs="Miriam"/>
          <w:b/>
          <w:spacing w:val="0"/>
          <w:sz w:val="22"/>
          <w:szCs w:val="24"/>
          <w:rtl/>
        </w:rPr>
        <w:t>אופנהיימר</w:t>
      </w:r>
      <w:r>
        <w:rPr>
          <w:rtl/>
        </w:rPr>
        <w:t xml:space="preserve">, עמוד 328; ראו גם: </w:t>
      </w:r>
      <w:proofErr w:type="spellStart"/>
      <w:r>
        <w:rPr>
          <w:rtl/>
        </w:rPr>
        <w:t>עע"מ</w:t>
      </w:r>
      <w:proofErr w:type="spellEnd"/>
      <w:r>
        <w:rPr>
          <w:rtl/>
        </w:rPr>
        <w:t xml:space="preserve"> 2469/12</w:t>
      </w:r>
      <w:r>
        <w:rPr>
          <w:rFonts w:ascii="Century" w:hAnsi="Century" w:cs="Miriam"/>
          <w:b/>
          <w:spacing w:val="0"/>
          <w:sz w:val="22"/>
          <w:szCs w:val="24"/>
          <w:rtl/>
        </w:rPr>
        <w:t xml:space="preserve"> </w:t>
      </w:r>
      <w:proofErr w:type="spellStart"/>
      <w:r>
        <w:rPr>
          <w:rFonts w:ascii="Century" w:hAnsi="Century" w:cs="Miriam"/>
          <w:b/>
          <w:spacing w:val="0"/>
          <w:sz w:val="22"/>
          <w:szCs w:val="24"/>
          <w:rtl/>
        </w:rPr>
        <w:t>ברמר</w:t>
      </w:r>
      <w:proofErr w:type="spellEnd"/>
      <w:r>
        <w:rPr>
          <w:rFonts w:ascii="Century" w:hAnsi="Century" w:cs="Miriam"/>
          <w:b/>
          <w:spacing w:val="0"/>
          <w:sz w:val="22"/>
          <w:szCs w:val="24"/>
          <w:rtl/>
        </w:rPr>
        <w:t xml:space="preserve"> נ' עיריית תל אביב-יפו</w:t>
      </w:r>
      <w:r>
        <w:rPr>
          <w:rtl/>
        </w:rPr>
        <w:t xml:space="preserve">, פסקאות 48, 51 (25.6.2013); בג"ץ 8438/16 </w:t>
      </w:r>
      <w:r>
        <w:rPr>
          <w:rFonts w:ascii="Century" w:hAnsi="Century" w:cs="Miriam"/>
          <w:b/>
          <w:spacing w:val="0"/>
          <w:sz w:val="22"/>
          <w:szCs w:val="24"/>
          <w:rtl/>
        </w:rPr>
        <w:t>ארגון אמון הציבור חברה לתועלת הציבור בע"מ נ' שר הפנים</w:t>
      </w:r>
      <w:r>
        <w:rPr>
          <w:rtl/>
        </w:rPr>
        <w:t xml:space="preserve">, פסקה 32 (21.6.2021)). </w:t>
      </w:r>
    </w:p>
    <w:p w14:paraId="1685FF68" w14:textId="77777777" w:rsidR="00613BC3" w:rsidRDefault="00613BC3" w:rsidP="00613BC3">
      <w:pPr>
        <w:pStyle w:val="Ruller41"/>
        <w:rPr>
          <w:rtl/>
        </w:rPr>
      </w:pPr>
    </w:p>
    <w:p w14:paraId="2DA3F83F" w14:textId="77777777" w:rsidR="00613BC3" w:rsidRDefault="00613BC3" w:rsidP="00613BC3">
      <w:pPr>
        <w:pStyle w:val="Ruller4"/>
        <w:rPr>
          <w:rtl/>
        </w:rPr>
      </w:pPr>
      <w:r>
        <w:rPr>
          <w:rtl/>
        </w:rPr>
        <w:t>ודוק: עמדתה של הממשלה, כפי שהוצגה לפנינו, היא כאמור ש</w:t>
      </w:r>
      <w:r>
        <w:rPr>
          <w:rFonts w:ascii="Century" w:hAnsi="Century" w:cs="Miriam"/>
          <w:b/>
          <w:spacing w:val="0"/>
          <w:sz w:val="22"/>
          <w:szCs w:val="24"/>
          <w:rtl/>
        </w:rPr>
        <w:t xml:space="preserve">"הדרך היחידה להביא לגרף עלייה קבוע בגיוס לצה"ל מקרב הציבור החרדי" </w:t>
      </w:r>
      <w:r>
        <w:rPr>
          <w:rFonts w:ascii="Century" w:hAnsi="Century"/>
          <w:sz w:val="22"/>
          <w:rtl/>
        </w:rPr>
        <w:t xml:space="preserve">היא השלמת החקיקה הנזכרת, על צעדי האכיפה המשלימים הכלולים בה. דא עקא, שלא הובא נימוק לכך, ושעמדה זו לא נתמכה בתשתית עובדתית, ולוּ מינימלית. אדרבה, מזכיר הממשלה הבהיר במכתבו מיום 23.10.2025 כי </w:t>
      </w:r>
      <w:r>
        <w:rPr>
          <w:rFonts w:ascii="Century" w:hAnsi="Century" w:cs="Miriam"/>
          <w:b/>
          <w:spacing w:val="0"/>
          <w:sz w:val="22"/>
          <w:szCs w:val="24"/>
          <w:rtl/>
        </w:rPr>
        <w:t>"הממשלה לא הגישה עד כה עמדה ואין בכוונתה להגיש עמדה בעתירות"</w:t>
      </w:r>
      <w:r>
        <w:rPr>
          <w:rFonts w:ascii="Century" w:hAnsi="Century"/>
          <w:sz w:val="22"/>
          <w:rtl/>
        </w:rPr>
        <w:t xml:space="preserve">. אלא מאי? שאף אם נניח כי לממשלה נתונה סמכות להימנע מהפעלת סמכויותיה בהקשר זה – וכאמור, ספק רב אם אכן ניתן להניח זאת – הרי שההחלטה שלא להפעילן היא </w:t>
      </w:r>
      <w:r>
        <w:rPr>
          <w:rFonts w:ascii="Century" w:hAnsi="Century" w:cs="Miriam"/>
          <w:b/>
          <w:spacing w:val="0"/>
          <w:sz w:val="22"/>
          <w:szCs w:val="24"/>
          <w:rtl/>
        </w:rPr>
        <w:t xml:space="preserve">החלטה </w:t>
      </w:r>
      <w:proofErr w:type="spellStart"/>
      <w:r>
        <w:rPr>
          <w:rFonts w:ascii="Century" w:hAnsi="Century" w:cs="Miriam"/>
          <w:b/>
          <w:spacing w:val="0"/>
          <w:sz w:val="22"/>
          <w:szCs w:val="24"/>
          <w:rtl/>
        </w:rPr>
        <w:t>מינהלית</w:t>
      </w:r>
      <w:proofErr w:type="spellEnd"/>
      <w:r>
        <w:rPr>
          <w:rFonts w:ascii="Century" w:hAnsi="Century"/>
          <w:sz w:val="22"/>
          <w:rtl/>
        </w:rPr>
        <w:t xml:space="preserve">; ככל החלטה כגון דא, עליה לעמוד בכללי המשפט </w:t>
      </w:r>
      <w:proofErr w:type="spellStart"/>
      <w:r>
        <w:rPr>
          <w:rFonts w:ascii="Century" w:hAnsi="Century"/>
          <w:sz w:val="22"/>
          <w:rtl/>
        </w:rPr>
        <w:t>המינהלי</w:t>
      </w:r>
      <w:proofErr w:type="spellEnd"/>
      <w:r>
        <w:rPr>
          <w:rFonts w:ascii="Century" w:hAnsi="Century"/>
          <w:sz w:val="22"/>
          <w:rtl/>
        </w:rPr>
        <w:t xml:space="preserve">, ובכלל זאת, להתבסס על </w:t>
      </w:r>
      <w:r>
        <w:rPr>
          <w:rFonts w:ascii="Century" w:hAnsi="Century" w:cs="Miriam"/>
          <w:b/>
          <w:spacing w:val="0"/>
          <w:sz w:val="22"/>
          <w:szCs w:val="24"/>
          <w:rtl/>
        </w:rPr>
        <w:t xml:space="preserve">תשתית עובדתית </w:t>
      </w:r>
      <w:r>
        <w:rPr>
          <w:rFonts w:ascii="Century" w:hAnsi="Century"/>
          <w:sz w:val="22"/>
          <w:rtl/>
        </w:rPr>
        <w:t xml:space="preserve">רלבנטית, ועל </w:t>
      </w:r>
      <w:r>
        <w:rPr>
          <w:rFonts w:ascii="Century" w:hAnsi="Century" w:cs="Miriam"/>
          <w:b/>
          <w:spacing w:val="0"/>
          <w:sz w:val="22"/>
          <w:szCs w:val="24"/>
          <w:rtl/>
        </w:rPr>
        <w:t>טעמים ונימוקים</w:t>
      </w:r>
      <w:r>
        <w:rPr>
          <w:rFonts w:ascii="Century" w:hAnsi="Century"/>
          <w:sz w:val="22"/>
          <w:rtl/>
        </w:rPr>
        <w:t xml:space="preserve"> </w:t>
      </w:r>
      <w:r>
        <w:rPr>
          <w:rFonts w:ascii="Century" w:hAnsi="Century" w:cs="Miriam"/>
          <w:b/>
          <w:spacing w:val="0"/>
          <w:sz w:val="22"/>
          <w:szCs w:val="24"/>
          <w:rtl/>
        </w:rPr>
        <w:t>ענייניים</w:t>
      </w:r>
      <w:r>
        <w:rPr>
          <w:rFonts w:ascii="Century" w:hAnsi="Century"/>
          <w:sz w:val="22"/>
          <w:rtl/>
        </w:rPr>
        <w:t xml:space="preserve"> (ראו למשל: בג"ץ 7091/19 </w:t>
      </w:r>
      <w:r>
        <w:rPr>
          <w:rFonts w:ascii="Century" w:hAnsi="Century" w:cs="Miriam"/>
          <w:b/>
          <w:spacing w:val="0"/>
          <w:sz w:val="22"/>
          <w:szCs w:val="24"/>
          <w:rtl/>
        </w:rPr>
        <w:t>לי-בר קייטרינג יפרח בע"מ נ' מועצת הרבנות הראשית לישראל</w:t>
      </w:r>
      <w:r>
        <w:rPr>
          <w:rFonts w:ascii="Century" w:hAnsi="Century"/>
          <w:sz w:val="22"/>
          <w:rtl/>
        </w:rPr>
        <w:t xml:space="preserve">, פסקאות 27-26 ושלל האסמכתאות שם (31.8.2022)). אלה, כאמור, לא הוצגו בענייננו. אף קשה לראות כיצד ניתן היה לבססם, הן בהתחשב בעובדה שנקיטה בצעדי האכיפה משלימים – כלל </w:t>
      </w:r>
      <w:r>
        <w:rPr>
          <w:rFonts w:ascii="Century" w:hAnsi="Century" w:cs="Miriam"/>
          <w:b/>
          <w:spacing w:val="0"/>
          <w:sz w:val="22"/>
          <w:szCs w:val="24"/>
          <w:rtl/>
        </w:rPr>
        <w:t>לא נוסתה</w:t>
      </w:r>
      <w:r>
        <w:rPr>
          <w:rFonts w:ascii="Century" w:hAnsi="Century"/>
          <w:sz w:val="22"/>
          <w:rtl/>
        </w:rPr>
        <w:t xml:space="preserve">; הן בהתחשב בכך שהנחה </w:t>
      </w:r>
      <w:r>
        <w:rPr>
          <w:rFonts w:ascii="Century" w:hAnsi="Century" w:cs="Miriam"/>
          <w:b/>
          <w:spacing w:val="0"/>
          <w:sz w:val="22"/>
          <w:szCs w:val="24"/>
          <w:rtl/>
        </w:rPr>
        <w:t>אפריורית</w:t>
      </w:r>
      <w:r>
        <w:rPr>
          <w:rFonts w:ascii="Century" w:hAnsi="Century"/>
          <w:sz w:val="22"/>
          <w:rtl/>
        </w:rPr>
        <w:t xml:space="preserve"> שלפיה נקיטה בצעדי האכיפה המשלימים לא תביא לשינוי בהתנהגות, שקולה להנחה כי אנשים כלל אינם מגיבים לתמריצים – הנחה שקשה מאוד לקבל, ואף נמצאת בסתירה עם העמדה שלפיה התמריצים שבהצעת החוק יביאו לשינוי המיוחל (ראו גם להלן, בפסקה 65).  </w:t>
      </w:r>
    </w:p>
    <w:p w14:paraId="06775CF6" w14:textId="77777777" w:rsidR="00613BC3" w:rsidRDefault="00613BC3" w:rsidP="00613BC3">
      <w:pPr>
        <w:pStyle w:val="Ruller4"/>
        <w:numPr>
          <w:ilvl w:val="0"/>
          <w:numId w:val="0"/>
        </w:numPr>
        <w:rPr>
          <w:rtl/>
        </w:rPr>
      </w:pPr>
    </w:p>
    <w:p w14:paraId="2C35F534" w14:textId="77777777" w:rsidR="00613BC3" w:rsidRDefault="00613BC3" w:rsidP="00613BC3">
      <w:pPr>
        <w:pStyle w:val="Ruller4"/>
        <w:rPr>
          <w:rFonts w:ascii="Century" w:hAnsi="Century"/>
          <w:sz w:val="22"/>
          <w:rtl/>
        </w:rPr>
      </w:pPr>
      <w:r>
        <w:rPr>
          <w:rtl/>
        </w:rPr>
        <w:t xml:space="preserve">אם כן, הממשלה, מתוקף החובות המוטלות עליה, אינה רשאית למשוך ידיה מהפעלת הסמכויות הנתונות לה, בהתאם לשיקול דעתה, ולהיפטר מחובתה למימוש </w:t>
      </w:r>
      <w:r>
        <w:rPr>
          <w:rtl/>
        </w:rPr>
        <w:lastRenderedPageBreak/>
        <w:t xml:space="preserve">והגשמה של הוראות חוק שירות בטחון בכלל, ושל חובת הגיוס בפרט; קל וחומר, שאין באפשרותה לעשות כן מבלי להתבסס על תשתית עובדתית, ובאין נימוק ענייני. בהבטחות לחקיקה עתידית, שבינתיים בוששת לבוא – אין כדי לפטור אותה מפעולות אשר מתחייבות תחת המצב החוקי הקיים. הימנעות כאמור, בהתאם למדיניותה הנוכחית של הממשלה, אינה מנוגדת רק להוראות החוק והפסיקה, כמפורט לעיל; היא </w:t>
      </w:r>
      <w:r>
        <w:rPr>
          <w:rFonts w:ascii="Century" w:hAnsi="Century" w:cs="Miriam"/>
          <w:b/>
          <w:spacing w:val="0"/>
          <w:sz w:val="22"/>
          <w:szCs w:val="24"/>
          <w:rtl/>
        </w:rPr>
        <w:t>"חותרת למעשה נגד עצם קיומה של חובת הגיוס, אשר חלה באורח שוויוני על אזרחי המדינה"</w:t>
      </w:r>
      <w:r>
        <w:rPr>
          <w:rFonts w:ascii="Century" w:hAnsi="Century"/>
          <w:sz w:val="22"/>
          <w:rtl/>
        </w:rPr>
        <w:t xml:space="preserve"> (</w:t>
      </w:r>
      <w:r>
        <w:rPr>
          <w:rFonts w:ascii="Century" w:hAnsi="Century" w:cs="Miriam"/>
          <w:b/>
          <w:spacing w:val="0"/>
          <w:sz w:val="22"/>
          <w:szCs w:val="24"/>
          <w:rtl/>
        </w:rPr>
        <w:t>בג"ץ 6198/23</w:t>
      </w:r>
      <w:r>
        <w:rPr>
          <w:rFonts w:ascii="Century" w:hAnsi="Century"/>
          <w:sz w:val="22"/>
          <w:rtl/>
        </w:rPr>
        <w:t>, פסקה 57).</w:t>
      </w:r>
    </w:p>
    <w:p w14:paraId="2D0C8955" w14:textId="77777777" w:rsidR="00613BC3" w:rsidRDefault="00613BC3" w:rsidP="00613BC3">
      <w:pPr>
        <w:pStyle w:val="Ruller41"/>
        <w:rPr>
          <w:rtl/>
        </w:rPr>
      </w:pPr>
    </w:p>
    <w:p w14:paraId="54FD599E" w14:textId="77777777" w:rsidR="00613BC3" w:rsidRDefault="00613BC3" w:rsidP="00613BC3">
      <w:pPr>
        <w:pStyle w:val="Ruller4"/>
        <w:rPr>
          <w:rtl/>
        </w:rPr>
      </w:pPr>
      <w:r>
        <w:rPr>
          <w:rtl/>
        </w:rPr>
        <w:t xml:space="preserve">נוכח כלל האמור, בשים לב לכך שהממשלה אינה ממלאת אחר חובתה לפעול למימוש והגשמה של חובת הגיוס באופן שוויוני, כמצוות המחוקק – סבורני, כי אין מנוס מעשיית הצו למוחלט, גם לגבי היבט זה של העתירות. </w:t>
      </w:r>
    </w:p>
    <w:p w14:paraId="1663F724" w14:textId="77777777" w:rsidR="00613BC3" w:rsidRDefault="00613BC3" w:rsidP="00613BC3">
      <w:pPr>
        <w:pStyle w:val="Ruller41"/>
        <w:rPr>
          <w:rtl/>
        </w:rPr>
      </w:pPr>
    </w:p>
    <w:p w14:paraId="140CD368"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 xml:space="preserve">צעדי אכיפה משלימים </w:t>
      </w:r>
      <w:r>
        <w:rPr>
          <w:rFonts w:ascii="Century" w:hAnsi="Century"/>
          <w:rtl/>
        </w:rPr>
        <w:t xml:space="preserve">– </w:t>
      </w:r>
      <w:r>
        <w:rPr>
          <w:rFonts w:ascii="Century" w:hAnsi="Century" w:cs="Miriam"/>
          <w:b/>
          <w:spacing w:val="0"/>
          <w:szCs w:val="24"/>
          <w:rtl/>
        </w:rPr>
        <w:t>תוכן החובה</w:t>
      </w:r>
    </w:p>
    <w:p w14:paraId="4B170084" w14:textId="77777777" w:rsidR="00613BC3" w:rsidRDefault="00613BC3" w:rsidP="00613BC3">
      <w:pPr>
        <w:pStyle w:val="Ruller4"/>
        <w:rPr>
          <w:rtl/>
        </w:rPr>
      </w:pPr>
      <w:r>
        <w:rPr>
          <w:rtl/>
        </w:rPr>
        <w:t xml:space="preserve">עד כאן, דנתי בשאלה </w:t>
      </w:r>
      <w:r>
        <w:rPr>
          <w:rFonts w:ascii="Century" w:hAnsi="Century" w:cs="Miriam"/>
          <w:b/>
          <w:spacing w:val="0"/>
          <w:sz w:val="22"/>
          <w:szCs w:val="24"/>
          <w:rtl/>
        </w:rPr>
        <w:t xml:space="preserve">אם </w:t>
      </w:r>
      <w:r>
        <w:rPr>
          <w:rFonts w:ascii="Century" w:hAnsi="Century"/>
          <w:sz w:val="22"/>
          <w:rtl/>
        </w:rPr>
        <w:t xml:space="preserve">הממשלה רשאית להימנע מלהפעיל את סמכותה לקבוע צעדי אכיפה משלימים לטובת מימוש חובת הגיוס (קרי, במישור הסמכות). כאמור, תשובתי על שאלה זו – בשלילה. כעת, אפנה לדון בשאלת </w:t>
      </w:r>
      <w:r>
        <w:rPr>
          <w:rFonts w:ascii="Century" w:hAnsi="Century" w:cs="Miriam"/>
          <w:b/>
          <w:spacing w:val="0"/>
          <w:sz w:val="22"/>
          <w:szCs w:val="24"/>
          <w:rtl/>
        </w:rPr>
        <w:t xml:space="preserve">תוכן </w:t>
      </w:r>
      <w:r>
        <w:rPr>
          <w:rFonts w:ascii="Century" w:hAnsi="Century"/>
          <w:sz w:val="22"/>
          <w:rtl/>
        </w:rPr>
        <w:t xml:space="preserve">החובה. שאלה זו – מורכבת כפל כפליים. בתצהיר התשובה מטעמם, עמדו משיבי המדינה על כמה עקרונות שלשיטת גורמי המקצוע – בדגש על אגף התקציבים במשרד האוצר – מערכת סנקציות אפקטיבית נדרשת לקיים: </w:t>
      </w:r>
    </w:p>
    <w:p w14:paraId="4C7BA996" w14:textId="77777777" w:rsidR="00613BC3" w:rsidRDefault="00613BC3" w:rsidP="00613BC3">
      <w:pPr>
        <w:pStyle w:val="Ruller4"/>
        <w:numPr>
          <w:ilvl w:val="0"/>
          <w:numId w:val="0"/>
        </w:numPr>
        <w:rPr>
          <w:rFonts w:ascii="Century" w:hAnsi="Century"/>
          <w:sz w:val="22"/>
        </w:rPr>
      </w:pPr>
    </w:p>
    <w:p w14:paraId="3F25ACF8" w14:textId="77777777" w:rsidR="00613BC3" w:rsidRDefault="00613BC3" w:rsidP="00613BC3">
      <w:pPr>
        <w:pStyle w:val="Ruller5"/>
        <w:rPr>
          <w:rFonts w:ascii="Century" w:hAnsi="Century"/>
          <w:rtl/>
        </w:rPr>
      </w:pPr>
      <w:r>
        <w:rPr>
          <w:rFonts w:ascii="Century" w:hAnsi="Century" w:cs="Miriam"/>
          <w:b/>
          <w:spacing w:val="0"/>
          <w:szCs w:val="24"/>
          <w:rtl/>
        </w:rPr>
        <w:t>"השפעה אפקטיבית על הכנסת משק הבית וצמצום ההסתמכות על סיוע ממשלתי; פוטנציאל השפעה על היקף רחב של משקי בית ופרטים; תחולת הסנקציות על פני פרק זמן ממושך; גיבוש מעטפת למניעת יצירת ערוצי מימון עוקפים"</w:t>
      </w:r>
      <w:r>
        <w:rPr>
          <w:rFonts w:ascii="Century" w:hAnsi="Century"/>
          <w:rtl/>
        </w:rPr>
        <w:t xml:space="preserve">. </w:t>
      </w:r>
    </w:p>
    <w:p w14:paraId="236978E4" w14:textId="77777777" w:rsidR="00613BC3" w:rsidRDefault="00613BC3" w:rsidP="00613BC3">
      <w:pPr>
        <w:pStyle w:val="Ruller5"/>
        <w:rPr>
          <w:rFonts w:ascii="Century" w:hAnsi="Century"/>
          <w:rtl/>
        </w:rPr>
      </w:pPr>
    </w:p>
    <w:p w14:paraId="204F91A8" w14:textId="77777777" w:rsidR="00613BC3" w:rsidRDefault="00613BC3" w:rsidP="00613BC3">
      <w:pPr>
        <w:pStyle w:val="Ruller4"/>
        <w:numPr>
          <w:ilvl w:val="0"/>
          <w:numId w:val="0"/>
        </w:numPr>
        <w:rPr>
          <w:rFonts w:ascii="Century" w:hAnsi="Century"/>
          <w:sz w:val="22"/>
          <w:rtl/>
        </w:rPr>
      </w:pPr>
      <w:r>
        <w:rPr>
          <w:rtl/>
        </w:rPr>
        <w:tab/>
        <w:t>בגדרי עקרונות אלה צוינו, בין היתר, הצעדים הבאים, שכוללים שלילת הטבות ב</w:t>
      </w:r>
      <w:r>
        <w:rPr>
          <w:rFonts w:ascii="Century" w:hAnsi="Century" w:cs="Miriam"/>
          <w:b/>
          <w:spacing w:val="0"/>
          <w:sz w:val="22"/>
          <w:szCs w:val="24"/>
          <w:rtl/>
        </w:rPr>
        <w:t>"הנחה בארנונה למגורים, סבסוד תשלומי הורים למסגרות חינוך משלימות, הטבות לנוסעי תחבורה ציבורית, סיוע בשכר דירה מתוקף מבחן הכנסה, סבסוד רכישת דירה, שכירות ארוכת טווח בשכר דירה מופחת, הלוואות משכנתה לזכאים"</w:t>
      </w:r>
      <w:r>
        <w:rPr>
          <w:rFonts w:ascii="Century" w:hAnsi="Century"/>
          <w:sz w:val="22"/>
          <w:rtl/>
        </w:rPr>
        <w:t xml:space="preserve">. נטען, כי </w:t>
      </w:r>
      <w:r>
        <w:rPr>
          <w:rFonts w:ascii="Century" w:hAnsi="Century" w:cs="Miriam"/>
          <w:b/>
          <w:spacing w:val="0"/>
          <w:sz w:val="22"/>
          <w:szCs w:val="24"/>
          <w:rtl/>
        </w:rPr>
        <w:t xml:space="preserve">"שלילת הטבות אלה צפויה להשפיע באופן ניכר על סלי ההכנסות וההוצאות של חלק ניכר מחייבי הגיוס, ולהביא לקיומו של </w:t>
      </w:r>
      <w:r>
        <w:rPr>
          <w:rFonts w:ascii="Century" w:hAnsi="Century" w:cs="Miriam"/>
          <w:b/>
          <w:spacing w:val="0"/>
          <w:sz w:val="22"/>
          <w:szCs w:val="24"/>
          <w:u w:val="single"/>
          <w:rtl/>
        </w:rPr>
        <w:t>מערך תמריצים אפקטיבי</w:t>
      </w:r>
      <w:r>
        <w:rPr>
          <w:rFonts w:ascii="Century" w:hAnsi="Century" w:cs="Miriam"/>
          <w:b/>
          <w:spacing w:val="0"/>
          <w:sz w:val="22"/>
          <w:szCs w:val="24"/>
          <w:rtl/>
        </w:rPr>
        <w:t xml:space="preserve"> שצפוי להביא </w:t>
      </w:r>
      <w:r>
        <w:rPr>
          <w:rFonts w:ascii="Century" w:hAnsi="Century" w:cs="Miriam"/>
          <w:b/>
          <w:spacing w:val="0"/>
          <w:sz w:val="22"/>
          <w:szCs w:val="24"/>
          <w:u w:val="single"/>
          <w:rtl/>
        </w:rPr>
        <w:t>לאפקט משמעותי כבר בטווח הזמן המיידי</w:t>
      </w:r>
      <w:r>
        <w:rPr>
          <w:rFonts w:ascii="Century" w:hAnsi="Century" w:cs="Miriam"/>
          <w:b/>
          <w:spacing w:val="0"/>
          <w:sz w:val="22"/>
          <w:szCs w:val="24"/>
          <w:rtl/>
        </w:rPr>
        <w:t xml:space="preserve">" </w:t>
      </w:r>
      <w:r>
        <w:rPr>
          <w:rFonts w:ascii="Century" w:hAnsi="Century"/>
          <w:sz w:val="22"/>
          <w:rtl/>
        </w:rPr>
        <w:t xml:space="preserve">(ההדגשות הוּספו – נ' ס'). כמו כן הודגש, כי מדובר בצעדים שאינם דורשים חקיקה, אלא מצויים בסמכותה המלאה של הממשלה (אם של משרדים שונים, אם של הממשלה במליאתה). </w:t>
      </w:r>
    </w:p>
    <w:p w14:paraId="279390CE" w14:textId="77777777" w:rsidR="00613BC3" w:rsidRDefault="00613BC3" w:rsidP="00613BC3">
      <w:pPr>
        <w:pStyle w:val="Ruller4"/>
        <w:numPr>
          <w:ilvl w:val="0"/>
          <w:numId w:val="0"/>
        </w:numPr>
        <w:rPr>
          <w:rFonts w:ascii="Century" w:hAnsi="Century"/>
          <w:sz w:val="22"/>
          <w:rtl/>
        </w:rPr>
      </w:pPr>
    </w:p>
    <w:p w14:paraId="63270035" w14:textId="77777777" w:rsidR="00613BC3" w:rsidRDefault="00613BC3" w:rsidP="00613BC3">
      <w:pPr>
        <w:pStyle w:val="Ruller4"/>
        <w:rPr>
          <w:rtl/>
        </w:rPr>
      </w:pPr>
      <w:r>
        <w:rPr>
          <w:rFonts w:ascii="Century" w:hAnsi="Century"/>
          <w:sz w:val="22"/>
          <w:rtl/>
        </w:rPr>
        <w:t xml:space="preserve">אציין עוד, כי במהלך הדיון בהתנגדות לצו על-תנאי, הפנתה אותנו ב"כ המבקשת להצטרף, תנועת </w:t>
      </w:r>
      <w:proofErr w:type="spellStart"/>
      <w:r>
        <w:rPr>
          <w:rFonts w:ascii="Century" w:hAnsi="Century" w:cs="Miriam"/>
          <w:b/>
          <w:spacing w:val="0"/>
          <w:sz w:val="22"/>
          <w:szCs w:val="24"/>
          <w:rtl/>
        </w:rPr>
        <w:t>אמהות</w:t>
      </w:r>
      <w:proofErr w:type="spellEnd"/>
      <w:r>
        <w:rPr>
          <w:rFonts w:ascii="Century" w:hAnsi="Century" w:cs="Miriam"/>
          <w:b/>
          <w:spacing w:val="0"/>
          <w:sz w:val="22"/>
          <w:szCs w:val="24"/>
          <w:rtl/>
        </w:rPr>
        <w:t xml:space="preserve"> בחזית</w:t>
      </w:r>
      <w:r>
        <w:rPr>
          <w:rFonts w:ascii="Century" w:hAnsi="Century"/>
          <w:sz w:val="22"/>
          <w:rtl/>
        </w:rPr>
        <w:t>, אל סעיף 26טז לנוסח הצעת התיקון לחוק שירות בטחון של יו"ר ועדת החוץ והביטחון, שפורסם ביום 23.10.2025, ואשר נדון בימים אלה על-ידי הוועדה. עניינו של סעיף זה, ב</w:t>
      </w:r>
      <w:r>
        <w:rPr>
          <w:rFonts w:ascii="Century" w:hAnsi="Century" w:cs="Miriam"/>
          <w:b/>
          <w:spacing w:val="0"/>
          <w:sz w:val="22"/>
          <w:szCs w:val="24"/>
          <w:rtl/>
        </w:rPr>
        <w:t>"שלילת הטבות אישיות"</w:t>
      </w:r>
      <w:r>
        <w:rPr>
          <w:rFonts w:ascii="Century" w:hAnsi="Century"/>
          <w:sz w:val="22"/>
          <w:rtl/>
        </w:rPr>
        <w:t xml:space="preserve"> ממי שהוכרז כמשתמט משירות צבאי – הן ככלל, הן במקרה של אי-עמידה ביעדי הגיוס. מוצע בו, כי על</w:t>
      </w:r>
      <w:r>
        <w:rPr>
          <w:rFonts w:ascii="Century" w:hAnsi="Century" w:cs="Miriam"/>
          <w:b/>
          <w:spacing w:val="0"/>
          <w:sz w:val="22"/>
          <w:szCs w:val="24"/>
          <w:rtl/>
        </w:rPr>
        <w:t xml:space="preserve"> "תלמיד ישיבה שלא התייצב לשירות סדיר או שלא קיבל פטור משירות ביטחון"</w:t>
      </w:r>
      <w:r>
        <w:rPr>
          <w:rFonts w:ascii="Century" w:hAnsi="Century"/>
          <w:sz w:val="22"/>
          <w:rtl/>
        </w:rPr>
        <w:t xml:space="preserve">, יחולו ההוראות הבאות (בכפוף לקיומם של טעמים הומניטריים מיוחדים, אשר אושרו על-ידי ועדת חריגים): </w:t>
      </w:r>
      <w:r>
        <w:rPr>
          <w:rFonts w:ascii="Century" w:hAnsi="Century" w:cs="Miriam"/>
          <w:b/>
          <w:spacing w:val="0"/>
          <w:sz w:val="22"/>
          <w:szCs w:val="24"/>
          <w:rtl/>
        </w:rPr>
        <w:t>"לא יינתן לו רישיון נהיגה עד שימלאו לו 23 שנים"</w:t>
      </w:r>
      <w:r>
        <w:rPr>
          <w:rFonts w:ascii="Century" w:hAnsi="Century"/>
          <w:sz w:val="22"/>
          <w:rtl/>
        </w:rPr>
        <w:t xml:space="preserve">; </w:t>
      </w:r>
      <w:r>
        <w:rPr>
          <w:rFonts w:ascii="Century" w:hAnsi="Century" w:cs="Miriam"/>
          <w:b/>
          <w:spacing w:val="0"/>
          <w:sz w:val="22"/>
          <w:szCs w:val="24"/>
          <w:rtl/>
        </w:rPr>
        <w:t>"הוא לא יהיה רשאי לצאת מישראל עד שימלאו לו 23 שנים"</w:t>
      </w:r>
      <w:r>
        <w:rPr>
          <w:rFonts w:ascii="Century" w:hAnsi="Century"/>
          <w:sz w:val="22"/>
          <w:rtl/>
        </w:rPr>
        <w:t xml:space="preserve">; </w:t>
      </w:r>
      <w:r>
        <w:rPr>
          <w:rFonts w:ascii="Century" w:hAnsi="Century" w:cs="Miriam"/>
          <w:b/>
          <w:spacing w:val="0"/>
          <w:sz w:val="22"/>
          <w:szCs w:val="24"/>
          <w:rtl/>
        </w:rPr>
        <w:t>"הוא לא יהיה זכאי להגיש מועמדות למשרה שיועדה לקבוצה הזכאית לייצוג הולם"</w:t>
      </w:r>
      <w:r>
        <w:rPr>
          <w:rFonts w:ascii="Century" w:hAnsi="Century"/>
          <w:sz w:val="22"/>
          <w:rtl/>
        </w:rPr>
        <w:t>; ו</w:t>
      </w:r>
      <w:r>
        <w:rPr>
          <w:rFonts w:ascii="Century" w:hAnsi="Century" w:cs="Miriam"/>
          <w:b/>
          <w:spacing w:val="0"/>
          <w:sz w:val="22"/>
          <w:szCs w:val="24"/>
          <w:rtl/>
        </w:rPr>
        <w:t>"הוא לא יהיה זכאי לנקודות זיכוי לפי פרק שלישי בחלק ג' לפקודת מס הכנסה"</w:t>
      </w:r>
      <w:r>
        <w:rPr>
          <w:rFonts w:ascii="Century" w:hAnsi="Century"/>
          <w:sz w:val="22"/>
          <w:rtl/>
        </w:rPr>
        <w:t xml:space="preserve">. </w:t>
      </w:r>
    </w:p>
    <w:p w14:paraId="6A3FD522" w14:textId="77777777" w:rsidR="00613BC3" w:rsidRDefault="00613BC3" w:rsidP="00613BC3">
      <w:pPr>
        <w:pStyle w:val="Ruller41"/>
        <w:rPr>
          <w:rtl/>
        </w:rPr>
      </w:pPr>
    </w:p>
    <w:p w14:paraId="2DE05810" w14:textId="77777777" w:rsidR="00613BC3" w:rsidRDefault="00613BC3" w:rsidP="00613BC3">
      <w:pPr>
        <w:pStyle w:val="Ruller4"/>
        <w:rPr>
          <w:rFonts w:ascii="Century" w:hAnsi="Century" w:cs="Miriam"/>
          <w:b/>
          <w:spacing w:val="0"/>
          <w:sz w:val="22"/>
          <w:szCs w:val="24"/>
          <w:rtl/>
        </w:rPr>
      </w:pPr>
      <w:r>
        <w:rPr>
          <w:rtl/>
        </w:rPr>
        <w:t xml:space="preserve">זאת ועוד – ודומני, במלוא הזהירות, כי בכך העיקר, שכן כאן אנו מגיעים לצעדים משמעותיים יותר, כאלה שעשויים להתברר כבעלי נפקות של ממש – במקרה של אי-עמידה ביעדי הגיוס, יחולו על מי שהוכרז כמשתמט משירות צבאי, בין היתר, ההוראות הבאות (באופן מדורג, בהתאם למספר שנות אי-העמידה ביעדי הגיוס): </w:t>
      </w:r>
      <w:r>
        <w:rPr>
          <w:rFonts w:ascii="Century" w:hAnsi="Century" w:cs="Miriam"/>
          <w:b/>
          <w:spacing w:val="0"/>
          <w:sz w:val="22"/>
          <w:szCs w:val="24"/>
          <w:rtl/>
        </w:rPr>
        <w:t>"הוא לא יהיה רשאי להשתתף בתוכנית של רשות מרשויות המדינה או של רשות מקומית המקצה דיור במחיר מוזל"</w:t>
      </w:r>
      <w:r>
        <w:rPr>
          <w:rFonts w:ascii="Century" w:hAnsi="Century"/>
          <w:sz w:val="22"/>
          <w:rtl/>
        </w:rPr>
        <w:t xml:space="preserve">; </w:t>
      </w:r>
      <w:r>
        <w:rPr>
          <w:rFonts w:ascii="Century" w:hAnsi="Century" w:cs="Miriam"/>
          <w:b/>
          <w:spacing w:val="0"/>
          <w:sz w:val="22"/>
          <w:szCs w:val="24"/>
          <w:rtl/>
        </w:rPr>
        <w:t>"הוא לא יהיה זכאי להשתתפות המדינה בעלות שכר הלימוד של ילדו במעון יום"</w:t>
      </w:r>
      <w:r>
        <w:rPr>
          <w:rFonts w:ascii="Century" w:hAnsi="Century"/>
          <w:sz w:val="22"/>
          <w:rtl/>
        </w:rPr>
        <w:t xml:space="preserve">; </w:t>
      </w:r>
      <w:r>
        <w:rPr>
          <w:rFonts w:ascii="Century" w:hAnsi="Century" w:cs="Miriam"/>
          <w:b/>
          <w:spacing w:val="0"/>
          <w:sz w:val="22"/>
          <w:szCs w:val="24"/>
          <w:rtl/>
        </w:rPr>
        <w:t xml:space="preserve">"הוא לא יהיה זכאי להנחה במחיר הנסיעה" </w:t>
      </w:r>
      <w:r>
        <w:rPr>
          <w:rFonts w:ascii="Century" w:hAnsi="Century"/>
          <w:sz w:val="22"/>
          <w:rtl/>
        </w:rPr>
        <w:t xml:space="preserve">בתחבורה ציבורית; </w:t>
      </w:r>
      <w:r>
        <w:rPr>
          <w:rFonts w:ascii="Century" w:hAnsi="Century" w:cs="Miriam"/>
          <w:b/>
          <w:spacing w:val="0"/>
          <w:sz w:val="22"/>
          <w:szCs w:val="24"/>
          <w:rtl/>
        </w:rPr>
        <w:t xml:space="preserve">"לא יהיה זכאי לסיוע כספי לרכישת דירה מרשות מרשויות המדינה, מגוף מתוקצב או מגוף נתמך" </w:t>
      </w:r>
      <w:r>
        <w:rPr>
          <w:rFonts w:ascii="Century" w:hAnsi="Century"/>
          <w:sz w:val="22"/>
          <w:rtl/>
        </w:rPr>
        <w:t xml:space="preserve">(רק מהשנה </w:t>
      </w:r>
      <w:proofErr w:type="spellStart"/>
      <w:r>
        <w:rPr>
          <w:rFonts w:ascii="Century" w:hAnsi="Century"/>
          <w:sz w:val="22"/>
          <w:rtl/>
        </w:rPr>
        <w:t>השניה</w:t>
      </w:r>
      <w:proofErr w:type="spellEnd"/>
      <w:r>
        <w:rPr>
          <w:rFonts w:ascii="Century" w:hAnsi="Century"/>
          <w:sz w:val="22"/>
          <w:rtl/>
        </w:rPr>
        <w:t xml:space="preserve">); </w:t>
      </w:r>
      <w:r>
        <w:rPr>
          <w:rFonts w:ascii="Century" w:hAnsi="Century" w:cs="Miriam"/>
          <w:b/>
          <w:spacing w:val="0"/>
          <w:sz w:val="22"/>
          <w:szCs w:val="24"/>
          <w:rtl/>
        </w:rPr>
        <w:t>"לא יהיה זכאי להנחה או פטור מתשלום מס רכישה כמשמעותו בסעיף 9 לחוק מיסוי מקרקעין (שבח ורכישה)"</w:t>
      </w:r>
      <w:r>
        <w:rPr>
          <w:rFonts w:ascii="Century" w:hAnsi="Century"/>
          <w:sz w:val="22"/>
          <w:rtl/>
        </w:rPr>
        <w:t xml:space="preserve"> (רק מהשנה השלישית).</w:t>
      </w:r>
      <w:r>
        <w:rPr>
          <w:rFonts w:ascii="Century" w:hAnsi="Century" w:cs="Miriam"/>
          <w:b/>
          <w:spacing w:val="0"/>
          <w:sz w:val="22"/>
          <w:szCs w:val="24"/>
          <w:rtl/>
        </w:rPr>
        <w:t xml:space="preserve"> </w:t>
      </w:r>
      <w:r>
        <w:rPr>
          <w:rFonts w:ascii="Century" w:hAnsi="Century"/>
          <w:sz w:val="22"/>
          <w:rtl/>
        </w:rPr>
        <w:t xml:space="preserve">מבלי להביע עמדה לגופן של הפעולות השונות המנויות בהצעת החוק הנ"ל של יו"ר ועדת החוץ והביטחון, אציין רק זאת: בהינתן שהצעת החוק – שבה טוענת הממשלה עצמה כי טמונה הדרך לפתרון </w:t>
      </w:r>
      <w:proofErr w:type="spellStart"/>
      <w:r>
        <w:rPr>
          <w:rFonts w:ascii="Century" w:hAnsi="Century"/>
          <w:sz w:val="22"/>
          <w:rtl/>
        </w:rPr>
        <w:t>הסוגיה</w:t>
      </w:r>
      <w:proofErr w:type="spellEnd"/>
      <w:r>
        <w:rPr>
          <w:rFonts w:ascii="Century" w:hAnsi="Century"/>
          <w:sz w:val="22"/>
          <w:rtl/>
        </w:rPr>
        <w:t xml:space="preserve"> – נוקבת בצעדי אכיפה אלה באופן מפורש, לא בנקל ניתן יהיה לקבל טיעון מטעם הממשלה, שלפיו צעדים כלכליים כאמור כלל אינם אפקטיביים לשיטתה. </w:t>
      </w:r>
    </w:p>
    <w:p w14:paraId="129F2812" w14:textId="77777777" w:rsidR="00613BC3" w:rsidRDefault="00613BC3" w:rsidP="00613BC3">
      <w:pPr>
        <w:pStyle w:val="Ruller4"/>
        <w:numPr>
          <w:ilvl w:val="0"/>
          <w:numId w:val="0"/>
        </w:numPr>
        <w:rPr>
          <w:rFonts w:ascii="Century" w:hAnsi="Century" w:cs="Miriam"/>
          <w:b/>
          <w:spacing w:val="0"/>
          <w:sz w:val="22"/>
          <w:szCs w:val="24"/>
        </w:rPr>
      </w:pPr>
    </w:p>
    <w:p w14:paraId="7ED0EE3C" w14:textId="77777777" w:rsidR="00613BC3" w:rsidRDefault="00613BC3" w:rsidP="00613BC3">
      <w:pPr>
        <w:pStyle w:val="Ruller4"/>
        <w:rPr>
          <w:rFonts w:cs="Miriam"/>
          <w:b/>
          <w:spacing w:val="0"/>
          <w:szCs w:val="24"/>
        </w:rPr>
      </w:pPr>
      <w:r>
        <w:rPr>
          <w:rtl/>
        </w:rPr>
        <w:t xml:space="preserve">אם כן, דומה כי יש בנמצא פעולות רבות, מרביתן מצויות בסמכותה של הממשלה, אשר קיימת הסכמה יחסית לגבי היותן אפקטיביות בקידום מימושה של חובת הגיוס. ודוק: ההחלטה אילו צעדים לקדם, לשם גיבוש מערכת אכיפה אפקטיבית, היא החלטת מדיניות מובהקת; היא נטועה בליבת שיקול הדעת של הממשלה, ודורשת מומחיות של גורמי המקצוע. תפקידנו, למצער בשלב זה, אינו להורות אפוא על קידום </w:t>
      </w:r>
      <w:r>
        <w:rPr>
          <w:rtl/>
        </w:rPr>
        <w:lastRenderedPageBreak/>
        <w:t xml:space="preserve">צעדים ספציפיים, כאלה או אחרים, אלא רק לעמוד על </w:t>
      </w:r>
      <w:r>
        <w:rPr>
          <w:rFonts w:ascii="Century" w:hAnsi="Century" w:cs="Miriam"/>
          <w:b/>
          <w:spacing w:val="0"/>
          <w:sz w:val="22"/>
          <w:szCs w:val="24"/>
          <w:rtl/>
        </w:rPr>
        <w:t>החובה המשפטית</w:t>
      </w:r>
      <w:r>
        <w:rPr>
          <w:rFonts w:ascii="Century" w:hAnsi="Century"/>
          <w:sz w:val="22"/>
          <w:rtl/>
        </w:rPr>
        <w:t xml:space="preserve"> הכללית המוטלת על הממשלה, ולהתוות </w:t>
      </w:r>
      <w:r>
        <w:rPr>
          <w:rFonts w:ascii="Century" w:hAnsi="Century" w:cs="Miriam"/>
          <w:b/>
          <w:spacing w:val="0"/>
          <w:sz w:val="22"/>
          <w:szCs w:val="24"/>
          <w:rtl/>
        </w:rPr>
        <w:t>קווים מנחים</w:t>
      </w:r>
      <w:r>
        <w:rPr>
          <w:rFonts w:ascii="Century" w:hAnsi="Century"/>
          <w:sz w:val="22"/>
          <w:rtl/>
        </w:rPr>
        <w:t xml:space="preserve"> לעמידה בה; הדרך המדויקת שבה תיושם חובה זו – תיקבע על-ידי הממשלה. כך בעת הזו, אולם ככל שהפרת החובה תימשך, יתכן כי </w:t>
      </w:r>
      <w:proofErr w:type="spellStart"/>
      <w:r>
        <w:rPr>
          <w:rFonts w:ascii="Century" w:hAnsi="Century"/>
          <w:sz w:val="22"/>
          <w:rtl/>
        </w:rPr>
        <w:t>נידרש</w:t>
      </w:r>
      <w:proofErr w:type="spellEnd"/>
      <w:r>
        <w:rPr>
          <w:rFonts w:ascii="Century" w:hAnsi="Century"/>
          <w:sz w:val="22"/>
          <w:rtl/>
        </w:rPr>
        <w:t xml:space="preserve"> בעתיד גם ליותר מכך. </w:t>
      </w:r>
    </w:p>
    <w:p w14:paraId="305080BD" w14:textId="77777777" w:rsidR="00613BC3" w:rsidRDefault="00613BC3" w:rsidP="00613BC3">
      <w:pPr>
        <w:pStyle w:val="Ruller4"/>
        <w:numPr>
          <w:ilvl w:val="0"/>
          <w:numId w:val="0"/>
        </w:numPr>
        <w:rPr>
          <w:rFonts w:cs="Miriam"/>
          <w:b/>
          <w:spacing w:val="0"/>
          <w:szCs w:val="24"/>
        </w:rPr>
      </w:pPr>
    </w:p>
    <w:p w14:paraId="1B679FC4" w14:textId="77777777" w:rsidR="00613BC3" w:rsidRDefault="00613BC3" w:rsidP="00613BC3">
      <w:pPr>
        <w:pStyle w:val="Ruller4"/>
        <w:rPr>
          <w:rFonts w:cs="Miriam"/>
          <w:b/>
          <w:spacing w:val="0"/>
          <w:szCs w:val="24"/>
        </w:rPr>
      </w:pPr>
      <w:r>
        <w:rPr>
          <w:rtl/>
        </w:rPr>
        <w:t>בהמשך לאמור, אבקש לעמוד על 4 עקרונות, אשר סבורני כי על המדיניות שתיבחר לעמוד בהם:</w:t>
      </w:r>
      <w:r>
        <w:rPr>
          <w:rFonts w:cs="Miriam"/>
          <w:b/>
          <w:spacing w:val="0"/>
          <w:szCs w:val="24"/>
          <w:rtl/>
        </w:rPr>
        <w:t xml:space="preserve"> </w:t>
      </w:r>
    </w:p>
    <w:p w14:paraId="7168D228" w14:textId="77777777" w:rsidR="00613BC3" w:rsidRDefault="00613BC3" w:rsidP="00613BC3">
      <w:pPr>
        <w:pStyle w:val="Ruller4"/>
        <w:numPr>
          <w:ilvl w:val="0"/>
          <w:numId w:val="0"/>
        </w:numPr>
        <w:rPr>
          <w:rFonts w:cs="Miriam"/>
          <w:b/>
          <w:spacing w:val="0"/>
          <w:szCs w:val="24"/>
        </w:rPr>
      </w:pPr>
    </w:p>
    <w:p w14:paraId="5D532BF6" w14:textId="77777777" w:rsidR="00613BC3" w:rsidRDefault="00613BC3" w:rsidP="00613BC3">
      <w:pPr>
        <w:pStyle w:val="Ruller4"/>
        <w:numPr>
          <w:ilvl w:val="0"/>
          <w:numId w:val="0"/>
        </w:numPr>
        <w:rPr>
          <w:rFonts w:ascii="Century" w:hAnsi="Century"/>
          <w:sz w:val="22"/>
        </w:rPr>
      </w:pPr>
      <w:r>
        <w:rPr>
          <w:rFonts w:cs="Miriam"/>
          <w:b/>
          <w:spacing w:val="0"/>
          <w:szCs w:val="24"/>
          <w:rtl/>
        </w:rPr>
        <w:tab/>
        <w:t>ראש</w:t>
      </w:r>
      <w:r>
        <w:rPr>
          <w:rtl/>
        </w:rPr>
        <w:t xml:space="preserve"> </w:t>
      </w:r>
      <w:r>
        <w:rPr>
          <w:rFonts w:ascii="Century" w:hAnsi="Century" w:cs="Miriam"/>
          <w:b/>
          <w:spacing w:val="0"/>
          <w:sz w:val="22"/>
          <w:szCs w:val="24"/>
          <w:rtl/>
        </w:rPr>
        <w:t>ועיקר</w:t>
      </w:r>
      <w:r>
        <w:rPr>
          <w:rtl/>
        </w:rPr>
        <w:t xml:space="preserve">, הצעדים שייבחרו נדרשים להיות כאלה שניתן להעריך בסבירות גבוהה כי יהיו </w:t>
      </w:r>
      <w:r>
        <w:rPr>
          <w:rFonts w:cs="Miriam"/>
          <w:b/>
          <w:spacing w:val="0"/>
          <w:szCs w:val="24"/>
          <w:rtl/>
        </w:rPr>
        <w:t>אפקטיביים</w:t>
      </w:r>
      <w:r>
        <w:rPr>
          <w:rtl/>
        </w:rPr>
        <w:t xml:space="preserve"> </w:t>
      </w:r>
      <w:r>
        <w:rPr>
          <w:rFonts w:cs="Miriam"/>
          <w:b/>
          <w:spacing w:val="0"/>
          <w:szCs w:val="24"/>
          <w:rtl/>
        </w:rPr>
        <w:t>כמכלול</w:t>
      </w:r>
      <w:r>
        <w:rPr>
          <w:rtl/>
        </w:rPr>
        <w:t xml:space="preserve">, ויביאו לשינוי ממשי; מטבע הדברים, </w:t>
      </w:r>
      <w:proofErr w:type="spellStart"/>
      <w:r>
        <w:rPr>
          <w:rtl/>
        </w:rPr>
        <w:t>בכגון</w:t>
      </w:r>
      <w:proofErr w:type="spellEnd"/>
      <w:r>
        <w:rPr>
          <w:rtl/>
        </w:rPr>
        <w:t xml:space="preserve"> דא נדרש יהיה לייחס משקל רב לעמדות גורמי המקצוע הרלבנטיים (ובכלל זאת, לא ניתן יהיה להתעלם ולהימנע מלשקול צעדים שגורמי המקצוע סבורים כי יהיו בעלי אפקטיביות גבוהה). </w:t>
      </w:r>
      <w:r>
        <w:rPr>
          <w:rFonts w:ascii="Century" w:hAnsi="Century"/>
          <w:sz w:val="22"/>
          <w:rtl/>
        </w:rPr>
        <w:t xml:space="preserve">כנגזרת ישירה מן האמור, מאליו מובן שככל שהמדיניות שתיקבע תאפשר יצירת ערוצי מימון עוקפים, לא ניתן יהיה לראותה כאפקטיבית, וממילא, כממלאת אחר התנאים הנדרשים (כפי שצוין במכתב הממונה על התקציבים במשרד האוצר, מיום 4.6.2025: </w:t>
      </w:r>
      <w:r>
        <w:rPr>
          <w:rFonts w:ascii="Century" w:hAnsi="Century" w:cs="Miriam"/>
          <w:b/>
          <w:spacing w:val="0"/>
          <w:sz w:val="22"/>
          <w:szCs w:val="24"/>
          <w:rtl/>
        </w:rPr>
        <w:t>"</w:t>
      </w:r>
      <w:r>
        <w:rPr>
          <w:rFonts w:cs="Miriam"/>
          <w:b/>
          <w:spacing w:val="0"/>
          <w:szCs w:val="24"/>
          <w:u w:val="single"/>
          <w:rtl/>
        </w:rPr>
        <w:t>תנאי הכרחי</w:t>
      </w:r>
      <w:r>
        <w:rPr>
          <w:rFonts w:cs="Miriam"/>
          <w:b/>
          <w:spacing w:val="0"/>
          <w:szCs w:val="24"/>
          <w:rtl/>
        </w:rPr>
        <w:t xml:space="preserve"> להצלחתו של מנגנון הסנקציות הכלכליות הינו גיבוש מעטפת שתבטיח כי לא ניתן לייצר ערוצי מימון אלטרנטיביים שיאפשרו לעקוף אותן, באמצעות תקצוב אלטרנטיבי או נוסף שיהווה תחליף לאובדן הכנסה. [...] ככל ויימצאו מנגנוני הטבות עוקפים לאלו שיכללו בסל ההטבות המותנות בגיוס, כל תכלית צעדים אלה </w:t>
      </w:r>
      <w:r>
        <w:rPr>
          <w:rFonts w:cs="Miriam"/>
          <w:b/>
          <w:spacing w:val="0"/>
          <w:szCs w:val="24"/>
          <w:u w:val="single"/>
          <w:rtl/>
        </w:rPr>
        <w:t>תעוקר מתוכן</w:t>
      </w:r>
      <w:r>
        <w:rPr>
          <w:rFonts w:cs="Miriam"/>
          <w:b/>
          <w:spacing w:val="0"/>
          <w:szCs w:val="24"/>
          <w:rtl/>
        </w:rPr>
        <w:t>"</w:t>
      </w:r>
      <w:r>
        <w:rPr>
          <w:rFonts w:ascii="Century" w:hAnsi="Century"/>
          <w:sz w:val="22"/>
          <w:rtl/>
        </w:rPr>
        <w:t>).</w:t>
      </w:r>
    </w:p>
    <w:p w14:paraId="5ACA57B4" w14:textId="77777777" w:rsidR="00613BC3" w:rsidRDefault="00613BC3" w:rsidP="00613BC3">
      <w:pPr>
        <w:pStyle w:val="Ruller4"/>
        <w:numPr>
          <w:ilvl w:val="0"/>
          <w:numId w:val="0"/>
        </w:numPr>
        <w:rPr>
          <w:rFonts w:ascii="Century" w:hAnsi="Century" w:cs="Miriam"/>
          <w:b/>
          <w:spacing w:val="0"/>
          <w:sz w:val="22"/>
          <w:szCs w:val="24"/>
          <w:rtl/>
        </w:rPr>
      </w:pPr>
    </w:p>
    <w:p w14:paraId="1F937E57" w14:textId="77777777" w:rsidR="00613BC3" w:rsidRDefault="00613BC3" w:rsidP="00613BC3">
      <w:pPr>
        <w:pStyle w:val="Ruller4"/>
        <w:numPr>
          <w:ilvl w:val="0"/>
          <w:numId w:val="0"/>
        </w:numPr>
        <w:rPr>
          <w:rFonts w:ascii="Century" w:hAnsi="Century" w:cs="Miriam"/>
          <w:b/>
          <w:spacing w:val="0"/>
          <w:sz w:val="22"/>
          <w:szCs w:val="24"/>
          <w:rtl/>
        </w:rPr>
      </w:pPr>
      <w:r>
        <w:rPr>
          <w:rFonts w:ascii="Century" w:hAnsi="Century" w:cs="Miriam"/>
          <w:b/>
          <w:spacing w:val="0"/>
          <w:sz w:val="22"/>
          <w:szCs w:val="24"/>
          <w:rtl/>
        </w:rPr>
        <w:tab/>
        <w:t>שנית</w:t>
      </w:r>
      <w:r>
        <w:rPr>
          <w:rFonts w:ascii="Century" w:hAnsi="Century"/>
          <w:sz w:val="22"/>
          <w:rtl/>
        </w:rPr>
        <w:t xml:space="preserve">, על המדיניות האמורה לחול </w:t>
      </w:r>
      <w:r>
        <w:rPr>
          <w:rFonts w:ascii="Century" w:hAnsi="Century" w:cs="Miriam"/>
          <w:b/>
          <w:spacing w:val="0"/>
          <w:sz w:val="22"/>
          <w:szCs w:val="24"/>
          <w:rtl/>
        </w:rPr>
        <w:t>באופן שוויוני</w:t>
      </w:r>
      <w:r>
        <w:rPr>
          <w:rFonts w:ascii="Century" w:hAnsi="Century"/>
          <w:sz w:val="22"/>
          <w:rtl/>
        </w:rPr>
        <w:t xml:space="preserve"> על מי שהוכרז כמשתמט, קרי – לא רק על אלה מקרב בני הציבור החרדי.</w:t>
      </w:r>
      <w:r>
        <w:rPr>
          <w:rFonts w:ascii="Century" w:hAnsi="Century" w:cs="Miriam"/>
          <w:b/>
          <w:spacing w:val="0"/>
          <w:sz w:val="22"/>
          <w:szCs w:val="24"/>
          <w:rtl/>
        </w:rPr>
        <w:t xml:space="preserve"> </w:t>
      </w:r>
    </w:p>
    <w:p w14:paraId="7862A34C" w14:textId="77777777" w:rsidR="00613BC3" w:rsidRDefault="00613BC3" w:rsidP="00613BC3">
      <w:pPr>
        <w:pStyle w:val="Ruller4"/>
        <w:numPr>
          <w:ilvl w:val="0"/>
          <w:numId w:val="0"/>
        </w:numPr>
        <w:rPr>
          <w:rFonts w:ascii="Century" w:hAnsi="Century" w:cs="Miriam"/>
          <w:b/>
          <w:spacing w:val="0"/>
          <w:sz w:val="22"/>
          <w:szCs w:val="24"/>
          <w:rtl/>
        </w:rPr>
      </w:pPr>
    </w:p>
    <w:p w14:paraId="7B1F96B0" w14:textId="77777777" w:rsidR="00613BC3" w:rsidRDefault="00613BC3" w:rsidP="00613BC3">
      <w:pPr>
        <w:pStyle w:val="Ruller4"/>
        <w:numPr>
          <w:ilvl w:val="0"/>
          <w:numId w:val="0"/>
        </w:numPr>
        <w:rPr>
          <w:rFonts w:ascii="Century" w:hAnsi="Century"/>
          <w:sz w:val="22"/>
          <w:rtl/>
        </w:rPr>
      </w:pPr>
      <w:r>
        <w:rPr>
          <w:rFonts w:ascii="Century" w:hAnsi="Century" w:cs="Miriam"/>
          <w:b/>
          <w:spacing w:val="0"/>
          <w:sz w:val="22"/>
          <w:szCs w:val="24"/>
          <w:rtl/>
        </w:rPr>
        <w:tab/>
        <w:t>שלישית</w:t>
      </w:r>
      <w:r>
        <w:rPr>
          <w:rFonts w:ascii="Century" w:hAnsi="Century"/>
          <w:sz w:val="22"/>
          <w:rtl/>
        </w:rPr>
        <w:t>, ברי כי במסגרת המדיניות שתיקבע, אין לפגוע בזכויות יסוד באופן שאינו מידתי.</w:t>
      </w:r>
    </w:p>
    <w:p w14:paraId="05E4D65A" w14:textId="77777777" w:rsidR="00613BC3" w:rsidRDefault="00613BC3" w:rsidP="00613BC3">
      <w:pPr>
        <w:pStyle w:val="Ruller4"/>
        <w:numPr>
          <w:ilvl w:val="0"/>
          <w:numId w:val="0"/>
        </w:numPr>
        <w:rPr>
          <w:rFonts w:ascii="Century" w:hAnsi="Century"/>
          <w:sz w:val="22"/>
          <w:rtl/>
        </w:rPr>
      </w:pPr>
    </w:p>
    <w:p w14:paraId="36FFEA47" w14:textId="77777777" w:rsidR="00613BC3" w:rsidRDefault="00613BC3" w:rsidP="00613BC3">
      <w:pPr>
        <w:pStyle w:val="Ruller4"/>
        <w:numPr>
          <w:ilvl w:val="0"/>
          <w:numId w:val="0"/>
        </w:numPr>
        <w:rPr>
          <w:rFonts w:cs="Miriam"/>
          <w:b/>
          <w:spacing w:val="0"/>
          <w:szCs w:val="24"/>
          <w:rtl/>
        </w:rPr>
      </w:pPr>
      <w:r>
        <w:rPr>
          <w:rFonts w:ascii="Century" w:hAnsi="Century"/>
          <w:sz w:val="22"/>
          <w:rtl/>
        </w:rPr>
        <w:tab/>
      </w:r>
      <w:r>
        <w:rPr>
          <w:rFonts w:ascii="Century" w:hAnsi="Century" w:cs="Miriam"/>
          <w:b/>
          <w:spacing w:val="0"/>
          <w:sz w:val="22"/>
          <w:szCs w:val="24"/>
          <w:rtl/>
        </w:rPr>
        <w:t>רביעית</w:t>
      </w:r>
      <w:r>
        <w:rPr>
          <w:rFonts w:ascii="Century" w:hAnsi="Century"/>
          <w:sz w:val="22"/>
          <w:rtl/>
        </w:rPr>
        <w:t xml:space="preserve">, ככלל, אין לאפשר המשך מתן </w:t>
      </w:r>
      <w:r>
        <w:rPr>
          <w:rFonts w:ascii="Century" w:hAnsi="Century" w:cs="Miriam"/>
          <w:b/>
          <w:spacing w:val="0"/>
          <w:sz w:val="22"/>
          <w:szCs w:val="24"/>
          <w:rtl/>
        </w:rPr>
        <w:t>הטבות</w:t>
      </w:r>
      <w:r>
        <w:rPr>
          <w:rFonts w:ascii="Century" w:hAnsi="Century"/>
          <w:sz w:val="22"/>
          <w:rtl/>
        </w:rPr>
        <w:t xml:space="preserve"> שניתנות בקשר ישיר, או עקיף, להשתמטות מחובת הגיוס, למשל כאלה המוענקות לתלמיד ישיבה בתור שכזה, כאשר הימצאותו בישיבה משמיעה השתמטות מחובת הגיוס. בהמשך לנקודה זו אדגיש, למען מסגור הדברים כהווייתם, כי מרבית הצעדים שעל הפרק, עניינם בשלילת </w:t>
      </w:r>
      <w:r>
        <w:rPr>
          <w:rFonts w:ascii="Century" w:hAnsi="Century" w:cs="Miriam"/>
          <w:b/>
          <w:spacing w:val="0"/>
          <w:sz w:val="22"/>
          <w:szCs w:val="24"/>
          <w:rtl/>
        </w:rPr>
        <w:t xml:space="preserve">הטבות </w:t>
      </w:r>
      <w:r>
        <w:rPr>
          <w:rFonts w:ascii="Century" w:hAnsi="Century"/>
          <w:sz w:val="22"/>
          <w:rtl/>
        </w:rPr>
        <w:t>המוענקות על-ידי המדינה; לא בפגיעה בזכויות מוקנות.</w:t>
      </w:r>
      <w:r>
        <w:rPr>
          <w:rFonts w:cs="Miriam"/>
          <w:b/>
          <w:spacing w:val="0"/>
          <w:szCs w:val="24"/>
          <w:rtl/>
        </w:rPr>
        <w:t xml:space="preserve"> </w:t>
      </w:r>
    </w:p>
    <w:p w14:paraId="12CB6662" w14:textId="77777777" w:rsidR="00613BC3" w:rsidRDefault="00613BC3" w:rsidP="00613BC3">
      <w:pPr>
        <w:pStyle w:val="Ruller41"/>
        <w:rPr>
          <w:rtl/>
        </w:rPr>
      </w:pPr>
    </w:p>
    <w:p w14:paraId="2023871C" w14:textId="77777777" w:rsidR="00613BC3" w:rsidRDefault="00613BC3" w:rsidP="00613BC3">
      <w:pPr>
        <w:pStyle w:val="Ruller4"/>
        <w:rPr>
          <w:rtl/>
        </w:rPr>
      </w:pPr>
      <w:r>
        <w:rPr>
          <w:rtl/>
        </w:rPr>
        <w:t xml:space="preserve">טרם סיום הדיון בצעדי האכיפה המשלימים, אבקש להתייחס לטענת איחוד הישיבות, שלפיה כלל לא היה מקום לדון בסוגיה זו במרוכז, בגדרי העתירות דנן, שכן </w:t>
      </w:r>
      <w:r>
        <w:rPr>
          <w:rtl/>
        </w:rPr>
        <w:lastRenderedPageBreak/>
        <w:t xml:space="preserve">נדרש לדון בכל צעד אכיפה כאמור בעתירה נפרדת, בהתאם לתשתית העובדתית המתאימה (כפי שנדון, למשל, בבג"ץ 27272-01-25 </w:t>
      </w:r>
      <w:r>
        <w:rPr>
          <w:rFonts w:ascii="Century" w:hAnsi="Century" w:cs="Miriam"/>
          <w:b/>
          <w:spacing w:val="0"/>
          <w:sz w:val="22"/>
          <w:szCs w:val="24"/>
          <w:rtl/>
        </w:rPr>
        <w:t>ישראל חופשית נ' משרד הרווחה והשירותים החברתיים</w:t>
      </w:r>
      <w:r>
        <w:rPr>
          <w:rFonts w:ascii="Century" w:hAnsi="Century"/>
          <w:sz w:val="22"/>
          <w:rtl/>
        </w:rPr>
        <w:t xml:space="preserve"> (28.7.2025); בג"ץ 23375-01-25 </w:t>
      </w:r>
      <w:r>
        <w:rPr>
          <w:rFonts w:ascii="Century" w:hAnsi="Century" w:cs="Miriam"/>
          <w:b/>
          <w:spacing w:val="0"/>
          <w:sz w:val="22"/>
          <w:szCs w:val="24"/>
          <w:rtl/>
        </w:rPr>
        <w:t>ישראל חופשית נ' המוסד לביטוח לאומי</w:t>
      </w:r>
      <w:r>
        <w:rPr>
          <w:rFonts w:ascii="Century" w:hAnsi="Century"/>
          <w:sz w:val="22"/>
          <w:rtl/>
        </w:rPr>
        <w:t xml:space="preserve"> (</w:t>
      </w:r>
      <w:r>
        <w:rPr>
          <w:rtl/>
        </w:rPr>
        <w:t xml:space="preserve">8.9.2025); בג"ץ 68083-02-25 </w:t>
      </w:r>
      <w:r>
        <w:rPr>
          <w:rFonts w:ascii="Century" w:hAnsi="Century" w:cs="Miriam"/>
          <w:b/>
          <w:spacing w:val="0"/>
          <w:sz w:val="22"/>
          <w:szCs w:val="24"/>
          <w:rtl/>
        </w:rPr>
        <w:t>ישראל חופשית נ' שר הבינוי והשיכון</w:t>
      </w:r>
      <w:r>
        <w:rPr>
          <w:rFonts w:ascii="Century" w:hAnsi="Century"/>
          <w:sz w:val="22"/>
          <w:rtl/>
        </w:rPr>
        <w:t>)</w:t>
      </w:r>
      <w:r>
        <w:rPr>
          <w:rtl/>
        </w:rPr>
        <w:t xml:space="preserve">. הגם שעל פני הדברים, הטענה אינה משוללת היגיון, אין בידי לקבלה. ניתן לציין כמה טעמים לכך, אך אסתפק בעיקרי שבהם: החובה לקבוע מדיניות אכיפה אפקטיבית, הכוללת גם צעדי אכיפה משלימים, מוטלת על </w:t>
      </w:r>
      <w:r>
        <w:rPr>
          <w:rFonts w:ascii="Century" w:hAnsi="Century" w:cs="Miriam"/>
          <w:b/>
          <w:spacing w:val="0"/>
          <w:sz w:val="22"/>
          <w:szCs w:val="24"/>
          <w:rtl/>
        </w:rPr>
        <w:t>משיבי המדינה</w:t>
      </w:r>
      <w:r>
        <w:rPr>
          <w:rFonts w:ascii="Century" w:hAnsi="Century"/>
          <w:sz w:val="22"/>
          <w:rtl/>
        </w:rPr>
        <w:t xml:space="preserve">, ועליהם בלבד. חובה זו היא חובה </w:t>
      </w:r>
      <w:r>
        <w:rPr>
          <w:rFonts w:ascii="Century" w:hAnsi="Century" w:cs="Miriam"/>
          <w:b/>
          <w:spacing w:val="0"/>
          <w:sz w:val="22"/>
          <w:szCs w:val="24"/>
          <w:rtl/>
        </w:rPr>
        <w:t>כללית</w:t>
      </w:r>
      <w:r>
        <w:rPr>
          <w:rFonts w:ascii="Century" w:hAnsi="Century"/>
          <w:sz w:val="22"/>
          <w:rtl/>
        </w:rPr>
        <w:t xml:space="preserve">, שאינה תלויה בתשתית העובדתית הפרטנית הרלבנטית לכל צעד בנפרד. קבלת עמדתו של איחוד הישיבות שקולה, הלכה למעשה, </w:t>
      </w:r>
      <w:r>
        <w:rPr>
          <w:rFonts w:ascii="Century" w:hAnsi="Century" w:cs="Miriam"/>
          <w:b/>
          <w:spacing w:val="0"/>
          <w:sz w:val="22"/>
          <w:szCs w:val="24"/>
          <w:rtl/>
        </w:rPr>
        <w:t>להעברת החובה</w:t>
      </w:r>
      <w:r>
        <w:rPr>
          <w:rFonts w:ascii="Century" w:hAnsi="Century"/>
          <w:sz w:val="22"/>
          <w:rtl/>
        </w:rPr>
        <w:t xml:space="preserve"> המוטלת על הממשלה לפתחם של עותרים, שיביאו את צעדי האכיפה, כל אחד בנפרד, לפתחו של בית המשפט, ויוכיחו כי קיימות הצדקות לנקיטתם. מובן, כי זאת אין לקבל. מה גם</w:t>
      </w:r>
      <w:r>
        <w:rPr>
          <w:rtl/>
        </w:rPr>
        <w:t xml:space="preserve">, שהדעת נותנת כי את הצעדים האמורים – ובפרט את מידת האפקטיביות שלהם – יש לבחון באופן הוליסטי, כמכלול (זה הטעם בגיבוש </w:t>
      </w:r>
      <w:r>
        <w:rPr>
          <w:rFonts w:ascii="Century" w:hAnsi="Century" w:cs="Miriam"/>
          <w:b/>
          <w:spacing w:val="0"/>
          <w:sz w:val="22"/>
          <w:szCs w:val="24"/>
          <w:rtl/>
        </w:rPr>
        <w:t>מדיניות</w:t>
      </w:r>
      <w:r>
        <w:rPr>
          <w:rFonts w:ascii="Century" w:hAnsi="Century"/>
          <w:sz w:val="22"/>
          <w:rtl/>
        </w:rPr>
        <w:t>)</w:t>
      </w:r>
      <w:r>
        <w:rPr>
          <w:rtl/>
        </w:rPr>
        <w:t xml:space="preserve">. </w:t>
      </w:r>
    </w:p>
    <w:p w14:paraId="0E02F7EB" w14:textId="77777777" w:rsidR="00613BC3" w:rsidRDefault="00613BC3" w:rsidP="00613BC3">
      <w:pPr>
        <w:pStyle w:val="Ruller41"/>
        <w:rPr>
          <w:rFonts w:ascii="Century" w:hAnsi="Century"/>
        </w:rPr>
      </w:pPr>
    </w:p>
    <w:p w14:paraId="22EDB56F"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צו ביניים</w:t>
      </w:r>
    </w:p>
    <w:p w14:paraId="14562C9B" w14:textId="77777777" w:rsidR="00613BC3" w:rsidRDefault="00613BC3" w:rsidP="00613BC3">
      <w:pPr>
        <w:pStyle w:val="Ruller4"/>
        <w:rPr>
          <w:rtl/>
        </w:rPr>
      </w:pPr>
      <w:r>
        <w:rPr>
          <w:rtl/>
        </w:rPr>
        <w:t>במסגרת תצהיר התשובה, ביקשו משיבי המדינה כי נאריך את תוקפו של צו הביניים שניתן ביום 26.2.2024 ב</w:t>
      </w:r>
      <w:r>
        <w:rPr>
          <w:rFonts w:cs="Miriam"/>
          <w:b/>
          <w:spacing w:val="0"/>
          <w:szCs w:val="24"/>
          <w:rtl/>
        </w:rPr>
        <w:t>בג"ץ 6198/23</w:t>
      </w:r>
      <w:r>
        <w:rPr>
          <w:rtl/>
        </w:rPr>
        <w:t xml:space="preserve">, שבו נקבע כי תימנע </w:t>
      </w:r>
      <w:r>
        <w:rPr>
          <w:rFonts w:cs="Miriam"/>
          <w:b/>
          <w:spacing w:val="0"/>
          <w:szCs w:val="24"/>
          <w:rtl/>
        </w:rPr>
        <w:t>"הפחתה של תקופת השירות או כל תקופה רלוונטית אחרת לעניין גיוסם ושירותם של בני ישיבות"</w:t>
      </w:r>
      <w:r>
        <w:rPr>
          <w:rtl/>
        </w:rPr>
        <w:t xml:space="preserve"> (צו הביניים הוארך במסגרת פסק הדין עד סוף שנת 2025; ראו שם, פסקאות 18 ו-61) – עד סוף שנת 2026. זאת, על רקע הוראות סעיף 20 לחוק שירות בטחון, המורה כי בנסיבות מסוימות, לאחר תום תקופת הקריאה לשירות, חלוף הזמן יביא להפחתה של אותו פרק זמן מתקופת השירות הצבאי; ועל מנת </w:t>
      </w:r>
      <w:r>
        <w:rPr>
          <w:rFonts w:cs="Miriam"/>
          <w:b/>
          <w:spacing w:val="0"/>
          <w:szCs w:val="24"/>
          <w:rtl/>
        </w:rPr>
        <w:t>"לאפשר לגורמי הצבא למצות את תהליכי המיון והגיוס מתוך הציבור החרדי (אשר גיוסם נדחה מכוח הוראות פרק ג'1 לחוק שירות בטחון, לפני פקיעת תוקפו, או שהוקפא בהתאם להחלטת ממשלה 682)"</w:t>
      </w:r>
      <w:r>
        <w:rPr>
          <w:rtl/>
        </w:rPr>
        <w:t xml:space="preserve">. </w:t>
      </w:r>
    </w:p>
    <w:p w14:paraId="48FA0283" w14:textId="77777777" w:rsidR="00613BC3" w:rsidRDefault="00613BC3" w:rsidP="00613BC3">
      <w:pPr>
        <w:pStyle w:val="Ruller41"/>
        <w:rPr>
          <w:rtl/>
        </w:rPr>
      </w:pPr>
    </w:p>
    <w:p w14:paraId="3A3F2B04" w14:textId="77777777" w:rsidR="00613BC3" w:rsidRDefault="00613BC3" w:rsidP="00613BC3">
      <w:pPr>
        <w:pStyle w:val="Ruller4"/>
      </w:pPr>
      <w:r>
        <w:rPr>
          <w:rtl/>
        </w:rPr>
        <w:t>אכן, סבורני כי מתן צו ביניים כאמור – נדרש בענייננו. חרף התנגדותו של איחוד הישיבות, איני רואה הצדקה לסטות מן הדרך העקבית שננקטה על-ידי בית משפט זה במקרים קודמים, במצבים כגון דא (גם ב'תקופת הביניים' שבין פקיעת תוקפו של חוק טל, לבין חקיקתו של פרק ג'1, ניתן צו ביניים כאמור (</w:t>
      </w:r>
      <w:r>
        <w:rPr>
          <w:rFonts w:ascii="Century" w:hAnsi="Century"/>
          <w:sz w:val="22"/>
          <w:rtl/>
        </w:rPr>
        <w:t xml:space="preserve">בג"ץ 5823/12 </w:t>
      </w:r>
      <w:r>
        <w:rPr>
          <w:rFonts w:ascii="Century" w:hAnsi="Century" w:cs="Miriam"/>
          <w:b/>
          <w:spacing w:val="0"/>
          <w:sz w:val="22"/>
          <w:szCs w:val="24"/>
          <w:rtl/>
        </w:rPr>
        <w:t>התנועה לאיכות השלטון בישראל נ' שר הביטחון</w:t>
      </w:r>
      <w:r>
        <w:rPr>
          <w:rFonts w:ascii="Century" w:hAnsi="Century"/>
          <w:sz w:val="22"/>
          <w:rtl/>
        </w:rPr>
        <w:t xml:space="preserve"> (</w:t>
      </w:r>
      <w:r>
        <w:rPr>
          <w:rtl/>
        </w:rPr>
        <w:t xml:space="preserve">22.8.2013) (להלן: </w:t>
      </w:r>
      <w:r>
        <w:rPr>
          <w:rFonts w:ascii="Century" w:hAnsi="Century" w:cs="Miriam"/>
          <w:b/>
          <w:spacing w:val="0"/>
          <w:sz w:val="22"/>
          <w:szCs w:val="24"/>
          <w:rtl/>
        </w:rPr>
        <w:t>בג"ץ 5823/12</w:t>
      </w:r>
      <w:r>
        <w:rPr>
          <w:rtl/>
        </w:rPr>
        <w:t>)) מה גם, שאין טעם טוב שבגינו יתאפשר למי שהשתמט מחובת הגיוס, בניגוד לחובה החוקית החלה עליו – למצער החל מיום 25.6.2024, מועד פסק הדין ב</w:t>
      </w:r>
      <w:r>
        <w:rPr>
          <w:rFonts w:ascii="Century" w:hAnsi="Century" w:cs="Miriam"/>
          <w:b/>
          <w:spacing w:val="0"/>
          <w:sz w:val="22"/>
          <w:szCs w:val="24"/>
          <w:rtl/>
        </w:rPr>
        <w:t>בג"ץ 6198/23</w:t>
      </w:r>
      <w:r>
        <w:rPr>
          <w:rtl/>
        </w:rPr>
        <w:t xml:space="preserve">, שבו הובהר </w:t>
      </w:r>
      <w:r>
        <w:rPr>
          <w:rFonts w:ascii="Century" w:hAnsi="Century" w:cs="Miriam"/>
          <w:b/>
          <w:spacing w:val="0"/>
          <w:sz w:val="22"/>
          <w:szCs w:val="24"/>
          <w:rtl/>
        </w:rPr>
        <w:t>למעלה מכל ספק</w:t>
      </w:r>
      <w:r>
        <w:rPr>
          <w:rtl/>
        </w:rPr>
        <w:t xml:space="preserve"> כי חובה זו אכן חלה על בני הציבור החרדי – להפיק מכך יתרון או תועלת, ולהפחית </w:t>
      </w:r>
      <w:r>
        <w:rPr>
          <w:rtl/>
        </w:rPr>
        <w:lastRenderedPageBreak/>
        <w:t xml:space="preserve">מתקופת השירות שבה הוא מחויב, אך בשל זמן ההתארגנות שנדרש לצה"ל לשם הוצאת הצווים כאמור (ראו: </w:t>
      </w:r>
      <w:r>
        <w:rPr>
          <w:rFonts w:ascii="Century" w:hAnsi="Century" w:cs="Miriam"/>
          <w:b/>
          <w:spacing w:val="0"/>
          <w:sz w:val="22"/>
          <w:szCs w:val="24"/>
          <w:rtl/>
        </w:rPr>
        <w:t>בג"ץ 5823/12</w:t>
      </w:r>
      <w:r>
        <w:rPr>
          <w:rFonts w:ascii="Century" w:hAnsi="Century"/>
          <w:sz w:val="22"/>
          <w:rtl/>
        </w:rPr>
        <w:t xml:space="preserve">, פסקאות 7-6). </w:t>
      </w:r>
      <w:r>
        <w:rPr>
          <w:rtl/>
        </w:rPr>
        <w:t xml:space="preserve">       </w:t>
      </w:r>
    </w:p>
    <w:p w14:paraId="2462009C" w14:textId="77777777" w:rsidR="00613BC3" w:rsidRDefault="00613BC3" w:rsidP="00613BC3">
      <w:pPr>
        <w:pStyle w:val="Ruller41"/>
        <w:rPr>
          <w:rFonts w:ascii="Century" w:hAnsi="Century"/>
          <w:rtl/>
        </w:rPr>
      </w:pPr>
    </w:p>
    <w:p w14:paraId="5EBE3770"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w:t>
      </w:r>
      <w:proofErr w:type="spellStart"/>
      <w:r>
        <w:rPr>
          <w:rFonts w:ascii="Century" w:hAnsi="Century" w:cs="Miriam"/>
          <w:b/>
          <w:spacing w:val="0"/>
          <w:szCs w:val="24"/>
          <w:rtl/>
        </w:rPr>
        <w:t>הַאַחֵיכֶם</w:t>
      </w:r>
      <w:proofErr w:type="spellEnd"/>
      <w:r>
        <w:rPr>
          <w:rFonts w:ascii="Century" w:hAnsi="Century" w:cs="Miriam"/>
          <w:b/>
          <w:spacing w:val="0"/>
          <w:szCs w:val="24"/>
          <w:rtl/>
        </w:rPr>
        <w:t xml:space="preserve"> יָבֹאוּ לַמִּלְחָמָה וְאַתֶּם תֵּשְׁבוּ פֹה" (במדבר לב, ו) </w:t>
      </w:r>
      <w:r>
        <w:rPr>
          <w:rFonts w:ascii="Century" w:hAnsi="Century"/>
          <w:rtl/>
        </w:rPr>
        <w:t>–</w:t>
      </w:r>
      <w:r>
        <w:rPr>
          <w:rFonts w:ascii="Century" w:hAnsi="Century" w:cs="Miriam"/>
          <w:b/>
          <w:spacing w:val="0"/>
          <w:szCs w:val="24"/>
          <w:rtl/>
        </w:rPr>
        <w:t xml:space="preserve"> מעט על ערך לימוד התורה ועל חובת הגיוס מנקודת המבט הפנימית</w:t>
      </w:r>
    </w:p>
    <w:p w14:paraId="4261AA90" w14:textId="77777777" w:rsidR="00613BC3" w:rsidRDefault="00613BC3" w:rsidP="00613BC3">
      <w:pPr>
        <w:pStyle w:val="Ruller4"/>
        <w:rPr>
          <w:rtl/>
        </w:rPr>
      </w:pPr>
      <w:r>
        <w:rPr>
          <w:rtl/>
        </w:rPr>
        <w:t xml:space="preserve">כשופטים, תרים אנו תדיר אחר איזון בין ערכים שונים ומתחרים; לא בכדי, אחד מן הסמלים ומן הדימויים המקובלים של המשפט בכלל – ושל הרשות השופטת במחוזותינו, בפרט – הוא המאזניים (ראו, בהקשר זה: </w:t>
      </w:r>
      <w:r>
        <w:rPr>
          <w:rFonts w:ascii="Century" w:hAnsi="Century"/>
          <w:sz w:val="22"/>
          <w:rtl/>
        </w:rPr>
        <w:t>ספר יצירה</w:t>
      </w:r>
      <w:r>
        <w:rPr>
          <w:rtl/>
        </w:rPr>
        <w:t xml:space="preserve"> פרק ה, משנה ג). במבט שטחי, עשויות גם התדיינויות הגיוס, לדורותיהן, להיתפס כבעלות אותו אופי 'איזוני', כאשר במסגרתן ניצבים ערך לימוד התורה מזה, ואל מולו ההפליה הקשה </w:t>
      </w:r>
      <w:r>
        <w:rPr>
          <w:rFonts w:ascii="Century" w:hAnsi="Century" w:cs="Miriam"/>
          <w:b/>
          <w:spacing w:val="0"/>
          <w:sz w:val="22"/>
          <w:szCs w:val="24"/>
          <w:rtl/>
        </w:rPr>
        <w:t xml:space="preserve">"בֵּין דָּם לְדָם" </w:t>
      </w:r>
      <w:r>
        <w:rPr>
          <w:rtl/>
        </w:rPr>
        <w:t xml:space="preserve">(דברים </w:t>
      </w:r>
      <w:proofErr w:type="spellStart"/>
      <w:r>
        <w:rPr>
          <w:rtl/>
        </w:rPr>
        <w:t>יז</w:t>
      </w:r>
      <w:proofErr w:type="spellEnd"/>
      <w:r>
        <w:rPr>
          <w:rtl/>
        </w:rPr>
        <w:t>, ח), כמו גם הצורך האקוטי בהתגייסות ל</w:t>
      </w:r>
      <w:r>
        <w:rPr>
          <w:rFonts w:ascii="Century" w:hAnsi="Century" w:cs="Miriam"/>
          <w:b/>
          <w:spacing w:val="0"/>
          <w:sz w:val="22"/>
          <w:szCs w:val="24"/>
          <w:rtl/>
        </w:rPr>
        <w:t>"עזרת ישראל מיד צר שבא עליהם"</w:t>
      </w:r>
      <w:r>
        <w:rPr>
          <w:rtl/>
        </w:rPr>
        <w:t xml:space="preserve"> (</w:t>
      </w:r>
      <w:r>
        <w:rPr>
          <w:rFonts w:ascii="Century" w:hAnsi="Century"/>
          <w:sz w:val="22"/>
          <w:rtl/>
        </w:rPr>
        <w:t>משנה תורה</w:t>
      </w:r>
      <w:r>
        <w:rPr>
          <w:rtl/>
        </w:rPr>
        <w:t xml:space="preserve">, ספר שופטים, הלכות מלכים ומלחמות ה, א); להוותנו, 'צרים' הרבה נשאו ראש ובאו עלינו. </w:t>
      </w:r>
    </w:p>
    <w:p w14:paraId="37D93F37" w14:textId="77777777" w:rsidR="00613BC3" w:rsidRDefault="00613BC3" w:rsidP="00613BC3">
      <w:pPr>
        <w:pStyle w:val="Ruller4"/>
        <w:numPr>
          <w:ilvl w:val="0"/>
          <w:numId w:val="0"/>
        </w:numPr>
      </w:pPr>
    </w:p>
    <w:p w14:paraId="245ADFD9" w14:textId="77777777" w:rsidR="00613BC3" w:rsidRDefault="00613BC3" w:rsidP="00613BC3">
      <w:pPr>
        <w:pStyle w:val="Ruller4"/>
      </w:pPr>
      <w:r>
        <w:rPr>
          <w:rtl/>
        </w:rPr>
        <w:t>על רקע זה, הובהר זה מכבר, אך חשוב לחזור ולהדגיש – דווקא מנקודת המבט הפנימית – כי לא היא; עסקינן, הלכה למעשה, ב</w:t>
      </w:r>
      <w:r>
        <w:rPr>
          <w:rFonts w:ascii="Century" w:hAnsi="Century" w:cs="Miriam"/>
          <w:b/>
          <w:spacing w:val="0"/>
          <w:sz w:val="22"/>
          <w:szCs w:val="24"/>
          <w:rtl/>
        </w:rPr>
        <w:t>"קונפליקט מדומה. מנקודת מבטה של התורה עצמה, לא קונפליקט יש כאן כי אם שני צדדים של אותו המטבע: חובתו של היחיד לעמו, לארצו ולתורתו"</w:t>
      </w:r>
      <w:r>
        <w:rPr>
          <w:rtl/>
        </w:rPr>
        <w:t xml:space="preserve"> (</w:t>
      </w:r>
      <w:r>
        <w:rPr>
          <w:rFonts w:ascii="Century" w:hAnsi="Century" w:cs="Miriam"/>
          <w:b/>
          <w:spacing w:val="0"/>
          <w:sz w:val="22"/>
          <w:szCs w:val="24"/>
          <w:rtl/>
        </w:rPr>
        <w:t>בג"ץ 1877/14</w:t>
      </w:r>
      <w:r>
        <w:rPr>
          <w:rtl/>
        </w:rPr>
        <w:t xml:space="preserve">, פסקה 10 לפסק הדין של השופט </w:t>
      </w:r>
      <w:r>
        <w:rPr>
          <w:rFonts w:ascii="Century" w:hAnsi="Century" w:cs="Miriam"/>
          <w:b/>
          <w:spacing w:val="0"/>
          <w:sz w:val="22"/>
          <w:szCs w:val="24"/>
          <w:rtl/>
        </w:rPr>
        <w:t>נ' הנדל</w:t>
      </w:r>
      <w:r>
        <w:rPr>
          <w:rtl/>
        </w:rPr>
        <w:t xml:space="preserve">). כך, שכן החובה להתייצב למלחמות הגנה, מלחמות אין ברירה, מן הסוג שעמו מתמודדת מדינת ישראל מראשית ימיה, וביתר שאת בעת האחרונה – מלחמות אשר משתייכות לקטגוריה ההלכתית שבה </w:t>
      </w:r>
      <w:r>
        <w:rPr>
          <w:rFonts w:ascii="Century" w:hAnsi="Century" w:cs="Miriam"/>
          <w:b/>
          <w:spacing w:val="0"/>
          <w:sz w:val="22"/>
          <w:szCs w:val="24"/>
          <w:rtl/>
        </w:rPr>
        <w:t>"</w:t>
      </w:r>
      <w:proofErr w:type="spellStart"/>
      <w:r>
        <w:rPr>
          <w:rFonts w:ascii="Century" w:hAnsi="Century" w:cs="Miriam"/>
          <w:b/>
          <w:spacing w:val="0"/>
          <w:sz w:val="22"/>
          <w:szCs w:val="24"/>
          <w:rtl/>
        </w:rPr>
        <w:t>הכל</w:t>
      </w:r>
      <w:proofErr w:type="spellEnd"/>
      <w:r>
        <w:rPr>
          <w:rFonts w:ascii="Century" w:hAnsi="Century" w:cs="Miriam"/>
          <w:b/>
          <w:spacing w:val="0"/>
          <w:sz w:val="22"/>
          <w:szCs w:val="24"/>
          <w:rtl/>
        </w:rPr>
        <w:t xml:space="preserve"> </w:t>
      </w:r>
      <w:proofErr w:type="spellStart"/>
      <w:r>
        <w:rPr>
          <w:rFonts w:ascii="Century" w:hAnsi="Century" w:cs="Miriam"/>
          <w:b/>
          <w:spacing w:val="0"/>
          <w:sz w:val="22"/>
          <w:szCs w:val="24"/>
          <w:rtl/>
        </w:rPr>
        <w:t>יוצאין</w:t>
      </w:r>
      <w:proofErr w:type="spellEnd"/>
      <w:r>
        <w:rPr>
          <w:rFonts w:ascii="Century" w:hAnsi="Century" w:cs="Miriam"/>
          <w:b/>
          <w:spacing w:val="0"/>
          <w:sz w:val="22"/>
          <w:szCs w:val="24"/>
          <w:rtl/>
        </w:rPr>
        <w:t>, ואפילו חתן מחדרו וכלה מחופתה"</w:t>
      </w:r>
      <w:r>
        <w:rPr>
          <w:rtl/>
        </w:rPr>
        <w:t xml:space="preserve"> (</w:t>
      </w:r>
      <w:r>
        <w:rPr>
          <w:rFonts w:ascii="Century" w:hAnsi="Century"/>
          <w:sz w:val="22"/>
          <w:rtl/>
        </w:rPr>
        <w:t xml:space="preserve">משנה תורה </w:t>
      </w:r>
      <w:r>
        <w:rPr>
          <w:rtl/>
        </w:rPr>
        <w:t>שם, ה, א;</w:t>
      </w:r>
      <w:r>
        <w:rPr>
          <w:rFonts w:hint="cs"/>
        </w:rPr>
        <w:t xml:space="preserve"> </w:t>
      </w:r>
      <w:r>
        <w:rPr>
          <w:rtl/>
        </w:rPr>
        <w:t xml:space="preserve">ז, ד) – חלה גם חלה על לומדי תורה: </w:t>
      </w:r>
      <w:r>
        <w:rPr>
          <w:rFonts w:ascii="Century" w:hAnsi="Century" w:cs="Miriam"/>
          <w:b/>
          <w:spacing w:val="0"/>
          <w:sz w:val="22"/>
          <w:szCs w:val="24"/>
          <w:rtl/>
        </w:rPr>
        <w:t xml:space="preserve">"במלחמת מצוה </w:t>
      </w:r>
      <w:proofErr w:type="spellStart"/>
      <w:r>
        <w:rPr>
          <w:rFonts w:ascii="Century" w:hAnsi="Century" w:cs="Miriam"/>
          <w:b/>
          <w:spacing w:val="0"/>
          <w:sz w:val="22"/>
          <w:szCs w:val="24"/>
          <w:rtl/>
        </w:rPr>
        <w:t>הכל</w:t>
      </w:r>
      <w:proofErr w:type="spellEnd"/>
      <w:r>
        <w:rPr>
          <w:rFonts w:ascii="Century" w:hAnsi="Century" w:cs="Miriam"/>
          <w:b/>
          <w:spacing w:val="0"/>
          <w:sz w:val="22"/>
          <w:szCs w:val="24"/>
          <w:rtl/>
        </w:rPr>
        <w:t xml:space="preserve"> </w:t>
      </w:r>
      <w:proofErr w:type="spellStart"/>
      <w:r>
        <w:rPr>
          <w:rFonts w:ascii="Century" w:hAnsi="Century" w:cs="Miriam"/>
          <w:b/>
          <w:spacing w:val="0"/>
          <w:sz w:val="22"/>
          <w:szCs w:val="24"/>
          <w:rtl/>
        </w:rPr>
        <w:t>יוצאין</w:t>
      </w:r>
      <w:proofErr w:type="spellEnd"/>
      <w:r>
        <w:rPr>
          <w:rFonts w:ascii="Century" w:hAnsi="Century" w:cs="Miriam"/>
          <w:b/>
          <w:spacing w:val="0"/>
          <w:sz w:val="22"/>
          <w:szCs w:val="24"/>
          <w:rtl/>
        </w:rPr>
        <w:t xml:space="preserve"> ואפילו תלמידי חכמים צריכים </w:t>
      </w:r>
      <w:proofErr w:type="spellStart"/>
      <w:r>
        <w:rPr>
          <w:rFonts w:ascii="Century" w:hAnsi="Century" w:cs="Miriam"/>
          <w:b/>
          <w:spacing w:val="0"/>
          <w:sz w:val="22"/>
          <w:szCs w:val="24"/>
          <w:rtl/>
        </w:rPr>
        <w:t>ליבטל</w:t>
      </w:r>
      <w:proofErr w:type="spellEnd"/>
      <w:r>
        <w:rPr>
          <w:rFonts w:ascii="Century" w:hAnsi="Century" w:cs="Miriam"/>
          <w:b/>
          <w:spacing w:val="0"/>
          <w:sz w:val="22"/>
          <w:szCs w:val="24"/>
          <w:rtl/>
        </w:rPr>
        <w:t xml:space="preserve"> מלימודם" </w:t>
      </w:r>
      <w:r>
        <w:rPr>
          <w:rtl/>
        </w:rPr>
        <w:t xml:space="preserve">(רבי יצחק </w:t>
      </w:r>
      <w:proofErr w:type="spellStart"/>
      <w:r>
        <w:rPr>
          <w:rtl/>
        </w:rPr>
        <w:t>מינקובסקי</w:t>
      </w:r>
      <w:proofErr w:type="spellEnd"/>
      <w:r>
        <w:rPr>
          <w:rtl/>
        </w:rPr>
        <w:t xml:space="preserve"> </w:t>
      </w:r>
      <w:r>
        <w:rPr>
          <w:rFonts w:ascii="Century" w:hAnsi="Century" w:cs="Miriam"/>
          <w:b/>
          <w:spacing w:val="0"/>
          <w:sz w:val="22"/>
          <w:szCs w:val="24"/>
          <w:rtl/>
        </w:rPr>
        <w:t>קרן אורה</w:t>
      </w:r>
      <w:r>
        <w:rPr>
          <w:rtl/>
        </w:rPr>
        <w:t xml:space="preserve">, מסכת סוטה מד, ב). </w:t>
      </w:r>
    </w:p>
    <w:p w14:paraId="4D4A4A85" w14:textId="77777777" w:rsidR="00613BC3" w:rsidRDefault="00613BC3" w:rsidP="00613BC3">
      <w:pPr>
        <w:pStyle w:val="Ruller4"/>
        <w:numPr>
          <w:ilvl w:val="0"/>
          <w:numId w:val="0"/>
        </w:numPr>
      </w:pPr>
    </w:p>
    <w:p w14:paraId="36199D1E" w14:textId="77777777" w:rsidR="00613BC3" w:rsidRPr="00613BC3" w:rsidRDefault="00613BC3" w:rsidP="00613BC3">
      <w:pPr>
        <w:pStyle w:val="Ruller4"/>
      </w:pPr>
      <w:r>
        <w:rPr>
          <w:rtl/>
        </w:rPr>
        <w:t xml:space="preserve">אכן, הדברים כבר נאמרו, הוסברו ופורטו, בפסיקה ומחוצה לה (ראו, מִני רבים: </w:t>
      </w:r>
      <w:r>
        <w:rPr>
          <w:rFonts w:ascii="Century" w:hAnsi="Century" w:cs="Miriam"/>
          <w:b/>
          <w:spacing w:val="0"/>
          <w:sz w:val="22"/>
          <w:szCs w:val="24"/>
          <w:rtl/>
        </w:rPr>
        <w:t>בג"ץ 6298/07</w:t>
      </w:r>
      <w:r>
        <w:rPr>
          <w:rtl/>
        </w:rPr>
        <w:t xml:space="preserve">, בחווֹת הדעת של השופטים </w:t>
      </w:r>
      <w:r>
        <w:rPr>
          <w:rFonts w:ascii="Century" w:hAnsi="Century" w:cs="Miriam"/>
          <w:b/>
          <w:spacing w:val="0"/>
          <w:sz w:val="22"/>
          <w:szCs w:val="24"/>
          <w:rtl/>
        </w:rPr>
        <w:t>א' רובינשטיין</w:t>
      </w:r>
      <w:r>
        <w:rPr>
          <w:rtl/>
        </w:rPr>
        <w:t xml:space="preserve"> ו</w:t>
      </w:r>
      <w:r>
        <w:rPr>
          <w:rFonts w:ascii="Century" w:hAnsi="Century" w:cs="Miriam"/>
          <w:b/>
          <w:spacing w:val="0"/>
          <w:sz w:val="22"/>
          <w:szCs w:val="24"/>
          <w:rtl/>
        </w:rPr>
        <w:t>הנדל</w:t>
      </w:r>
      <w:r>
        <w:rPr>
          <w:rtl/>
        </w:rPr>
        <w:t xml:space="preserve">; אביעד הכהן "על חובת השוויון בשירות הצבאי" </w:t>
      </w:r>
      <w:r>
        <w:rPr>
          <w:rFonts w:ascii="Century" w:hAnsi="Century" w:cs="Miriam"/>
          <w:b/>
          <w:spacing w:val="0"/>
          <w:sz w:val="22"/>
          <w:szCs w:val="24"/>
          <w:rtl/>
        </w:rPr>
        <w:t>פרשת השבוע ברוח המשפט</w:t>
      </w:r>
      <w:r>
        <w:rPr>
          <w:rtl/>
        </w:rPr>
        <w:t xml:space="preserve"> 74, פרשת במדבר (</w:t>
      </w:r>
      <w:proofErr w:type="spellStart"/>
      <w:r>
        <w:rPr>
          <w:rtl/>
        </w:rPr>
        <w:t>התשס"ב</w:t>
      </w:r>
      <w:proofErr w:type="spellEnd"/>
      <w:r>
        <w:rPr>
          <w:rtl/>
        </w:rPr>
        <w:t xml:space="preserve">)). למעשה, מדובר בעקרונות מוסריים ואנושיים כה פשוטים וברורים, שעל תמיכתם במקורות ההלכה עשוי השואל לשאול </w:t>
      </w:r>
      <w:r>
        <w:rPr>
          <w:rFonts w:ascii="Century" w:hAnsi="Century" w:cs="Miriam"/>
          <w:b/>
          <w:spacing w:val="0"/>
          <w:sz w:val="22"/>
          <w:szCs w:val="24"/>
          <w:rtl/>
        </w:rPr>
        <w:t>"למה לי קרא? סברה הוא!"</w:t>
      </w:r>
      <w:r>
        <w:rPr>
          <w:rtl/>
        </w:rPr>
        <w:t xml:space="preserve"> (בבלי, בבא קמא מו, ב); כלומר, מדוע נדרשים מקורות והפניות, אם זהו היגיון פשוט ומתחייב לכל בר-דעת. מטעמים אלה, לא ארחיב בנושא; החפץ 'להגדיל תורה' – יעיין במקורות שהוזכרו לעיל. אסתפק בציון כי מיוחסת </w:t>
      </w:r>
      <w:proofErr w:type="spellStart"/>
      <w:r>
        <w:rPr>
          <w:rtl/>
        </w:rPr>
        <w:t>לר</w:t>
      </w:r>
      <w:proofErr w:type="spellEnd"/>
      <w:r>
        <w:rPr>
          <w:rtl/>
        </w:rPr>
        <w:t xml:space="preserve">' חיים </w:t>
      </w:r>
      <w:proofErr w:type="spellStart"/>
      <w:r>
        <w:rPr>
          <w:rtl/>
        </w:rPr>
        <w:t>מבריסק</w:t>
      </w:r>
      <w:proofErr w:type="spellEnd"/>
      <w:r>
        <w:rPr>
          <w:rtl/>
        </w:rPr>
        <w:t xml:space="preserve"> – אחד מגדולי החכמים בדורות האחרונים, </w:t>
      </w:r>
      <w:r>
        <w:rPr>
          <w:rtl/>
        </w:rPr>
        <w:lastRenderedPageBreak/>
        <w:t xml:space="preserve">ומי שהשפיע השפעה עצומה על לימוד התורה </w:t>
      </w:r>
      <w:proofErr w:type="spellStart"/>
      <w:r>
        <w:rPr>
          <w:rtl/>
        </w:rPr>
        <w:t>הישיבתי</w:t>
      </w:r>
      <w:proofErr w:type="spellEnd"/>
      <w:r>
        <w:rPr>
          <w:rtl/>
        </w:rPr>
        <w:t xml:space="preserve"> – האמירה שלפיה 'מי שאינו יודע מתי לסגור את הגמרא – מוטב שלא יפתח אותה'; ובגרסה אחרת: 'מי שאינו סוגר את הגמרא כשאלמנה מתדפקת על דלתו, גם </w:t>
      </w:r>
      <w:proofErr w:type="spellStart"/>
      <w:r>
        <w:rPr>
          <w:rtl/>
        </w:rPr>
        <w:t>כשגמרתו</w:t>
      </w:r>
      <w:proofErr w:type="spellEnd"/>
      <w:r>
        <w:rPr>
          <w:rtl/>
        </w:rPr>
        <w:t xml:space="preserve"> פתוחה – היא סגורה'. עוד מסופר, כי ר' שניאור זלמן </w:t>
      </w:r>
      <w:proofErr w:type="spellStart"/>
      <w:r>
        <w:rPr>
          <w:rtl/>
        </w:rPr>
        <w:t>מלאדי</w:t>
      </w:r>
      <w:proofErr w:type="spellEnd"/>
      <w:r>
        <w:rPr>
          <w:rtl/>
        </w:rPr>
        <w:t xml:space="preserve"> – 'האדמו"ר הזקן', מייסד חסידות חב"ד – לימד את נכדו, ה'צמח צדק', לאחר מעשה שהיה, כי אם אדם לומד תורה ואינו שומע בכיו של תינוק – הרי שמשהו פגום בלימודו.</w:t>
      </w:r>
      <w:r>
        <w:rPr>
          <w:rFonts w:hint="cs"/>
          <w:rtl/>
        </w:rPr>
        <w:t xml:space="preserve"> </w:t>
      </w:r>
      <w:r w:rsidRPr="00613BC3">
        <w:rPr>
          <w:rFonts w:ascii="Century" w:hAnsi="Century" w:cs="Miriam" w:hint="cs"/>
          <w:b/>
          <w:spacing w:val="0"/>
          <w:sz w:val="22"/>
          <w:szCs w:val="24"/>
          <w:rtl/>
        </w:rPr>
        <w:t>"</w:t>
      </w:r>
      <w:r w:rsidRPr="00613BC3">
        <w:rPr>
          <w:rFonts w:ascii="Century" w:hAnsi="Century" w:cs="Miriam"/>
          <w:b/>
          <w:spacing w:val="0"/>
          <w:sz w:val="22"/>
          <w:szCs w:val="24"/>
          <w:rtl/>
        </w:rPr>
        <w:t>יִשְׁמַע חָכָם וְיוֹסֶף לֶקַח</w:t>
      </w:r>
      <w:r w:rsidRPr="00613BC3">
        <w:rPr>
          <w:rFonts w:ascii="Century" w:hAnsi="Century" w:cs="Miriam" w:hint="cs"/>
          <w:b/>
          <w:spacing w:val="0"/>
          <w:sz w:val="22"/>
          <w:szCs w:val="24"/>
          <w:rtl/>
        </w:rPr>
        <w:t>"</w:t>
      </w:r>
      <w:r>
        <w:rPr>
          <w:rFonts w:hint="cs"/>
          <w:rtl/>
        </w:rPr>
        <w:t xml:space="preserve"> (משלי א, ה).</w:t>
      </w:r>
    </w:p>
    <w:p w14:paraId="0FAD68B6" w14:textId="77777777" w:rsidR="00613BC3" w:rsidRDefault="00613BC3" w:rsidP="00613BC3">
      <w:pPr>
        <w:pStyle w:val="Ruller4"/>
        <w:numPr>
          <w:ilvl w:val="0"/>
          <w:numId w:val="0"/>
        </w:numPr>
      </w:pPr>
    </w:p>
    <w:p w14:paraId="0A96B54F" w14:textId="77777777" w:rsidR="00613BC3" w:rsidRDefault="00613BC3" w:rsidP="00613BC3">
      <w:pPr>
        <w:pStyle w:val="Ruller4"/>
        <w:rPr>
          <w:rFonts w:ascii="Century" w:hAnsi="Century"/>
          <w:sz w:val="22"/>
        </w:rPr>
      </w:pPr>
      <w:r>
        <w:rPr>
          <w:rtl/>
        </w:rPr>
        <w:t xml:space="preserve">עוד אוסיף, בהתאם לאמור לעיל, ועל מנת להוציא מליבם של תוהים וטועים, כי הכרעתי אינה נובעת מהקטנה בחשיבות הלימוד והעמל בתורה – מצווה שעליה נאמר במקורותינו כי היא 'חיינו ואורך ימינו' (ראו: דברים ל, כ; תלמוד בבלי, ברכות </w:t>
      </w:r>
      <w:proofErr w:type="spellStart"/>
      <w:r>
        <w:rPr>
          <w:rtl/>
        </w:rPr>
        <w:t>סא</w:t>
      </w:r>
      <w:proofErr w:type="spellEnd"/>
      <w:r>
        <w:rPr>
          <w:rtl/>
        </w:rPr>
        <w:t xml:space="preserve">, ב), ושתקצרנה יריעות רבות מלהרחיב על אודות מרכזיותה בעולמה של היהדות ובמסגרת מורשתנו. די שאזכיר, כי לצד האמירה שלפיה </w:t>
      </w:r>
      <w:r>
        <w:rPr>
          <w:rFonts w:ascii="Century" w:hAnsi="Century" w:cs="Miriam"/>
          <w:b/>
          <w:spacing w:val="0"/>
          <w:sz w:val="22"/>
          <w:szCs w:val="24"/>
          <w:rtl/>
        </w:rPr>
        <w:t>"גדולה מצוות תלמוד תורה מכל המצוות"</w:t>
      </w:r>
      <w:r>
        <w:rPr>
          <w:rtl/>
        </w:rPr>
        <w:t xml:space="preserve"> (שולחן ערוך, חושן משפט רמז, </w:t>
      </w:r>
      <w:proofErr w:type="spellStart"/>
      <w:r>
        <w:rPr>
          <w:rtl/>
        </w:rPr>
        <w:t>יח</w:t>
      </w:r>
      <w:proofErr w:type="spellEnd"/>
      <w:r>
        <w:rPr>
          <w:rtl/>
        </w:rPr>
        <w:t xml:space="preserve">; וראו עוד: משנה, פאה א, א); צוין גם – במסגרת המענה על השאלה אם תלמוד גדול או מעשה גדול – כי </w:t>
      </w:r>
      <w:r>
        <w:rPr>
          <w:rFonts w:ascii="Century" w:hAnsi="Century" w:cs="Miriam"/>
          <w:b/>
          <w:spacing w:val="0"/>
          <w:sz w:val="22"/>
          <w:szCs w:val="24"/>
          <w:rtl/>
        </w:rPr>
        <w:t>"</w:t>
      </w:r>
      <w:r>
        <w:rPr>
          <w:rFonts w:ascii="Century" w:hAnsi="Century" w:cs="Miriam"/>
          <w:b/>
          <w:spacing w:val="0"/>
          <w:sz w:val="22"/>
          <w:szCs w:val="24"/>
          <w:shd w:val="clear" w:color="auto" w:fill="FFFFFF"/>
          <w:rtl/>
        </w:rPr>
        <w:t>תלמוד גדול"</w:t>
      </w:r>
      <w:r>
        <w:rPr>
          <w:rFonts w:ascii="Narkisim" w:hAnsi="Narkisim" w:cs="Narkisim"/>
          <w:color w:val="202122"/>
          <w:sz w:val="32"/>
          <w:szCs w:val="32"/>
          <w:shd w:val="clear" w:color="auto" w:fill="FFFFFF"/>
          <w:rtl/>
        </w:rPr>
        <w:t xml:space="preserve"> </w:t>
      </w:r>
      <w:r>
        <w:rPr>
          <w:rFonts w:ascii="Century" w:hAnsi="Century"/>
          <w:sz w:val="22"/>
          <w:shd w:val="clear" w:color="auto" w:fill="FFFFFF"/>
          <w:rtl/>
        </w:rPr>
        <w:t>דווקא מפני</w:t>
      </w:r>
      <w:r>
        <w:rPr>
          <w:rFonts w:ascii="Narkisim" w:hAnsi="Narkisim" w:cs="Narkisim"/>
          <w:color w:val="202122"/>
          <w:sz w:val="32"/>
          <w:szCs w:val="32"/>
          <w:shd w:val="clear" w:color="auto" w:fill="FFFFFF"/>
          <w:rtl/>
        </w:rPr>
        <w:t xml:space="preserve"> </w:t>
      </w:r>
      <w:r>
        <w:rPr>
          <w:rFonts w:ascii="Century" w:hAnsi="Century" w:cs="Miriam"/>
          <w:b/>
          <w:spacing w:val="0"/>
          <w:sz w:val="22"/>
          <w:szCs w:val="24"/>
          <w:shd w:val="clear" w:color="auto" w:fill="FFFFFF"/>
          <w:rtl/>
        </w:rPr>
        <w:t>"שהתלמוד מביא לידי מעשה</w:t>
      </w:r>
      <w:r>
        <w:rPr>
          <w:rFonts w:ascii="Century" w:hAnsi="Century" w:cs="Miriam"/>
          <w:b/>
          <w:spacing w:val="0"/>
          <w:sz w:val="22"/>
          <w:szCs w:val="24"/>
          <w:rtl/>
        </w:rPr>
        <w:t>"</w:t>
      </w:r>
      <w:r>
        <w:rPr>
          <w:rtl/>
        </w:rPr>
        <w:t xml:space="preserve"> (תלמוד בבלי, קידושין מ, ב; כן ראו: תלמוד בבלי, יבמות קט, ב; תלמוד ירושלמי, ברכות א, ב; </w:t>
      </w:r>
      <w:proofErr w:type="spellStart"/>
      <w:r>
        <w:rPr>
          <w:rtl/>
        </w:rPr>
        <w:t>תוספתא</w:t>
      </w:r>
      <w:proofErr w:type="spellEnd"/>
      <w:r>
        <w:rPr>
          <w:rtl/>
        </w:rPr>
        <w:t xml:space="preserve">, עבודה זרה ה, ב). בהינתן המתואר, יתכן – מבלי לטעת בדבר מסמרות – כי אף בגדרי הסדר שיעלה בקנה אחד עם העקרונות החוקתיים, כמו גם עם צרכי הביטחון, תיכלל האפשרות לכמה יחידי סגולה, המתבלטים למרחוק בלימודם ובהתמדתם, להיפטר מן הזכות והחובה שבשירות צבאי (ראו: </w:t>
      </w:r>
      <w:r>
        <w:rPr>
          <w:rFonts w:ascii="Century" w:hAnsi="Century" w:cs="Miriam"/>
          <w:b/>
          <w:spacing w:val="0"/>
          <w:sz w:val="22"/>
          <w:szCs w:val="24"/>
          <w:rtl/>
        </w:rPr>
        <w:t>בג"ץ 1877/14</w:t>
      </w:r>
      <w:r>
        <w:rPr>
          <w:rtl/>
        </w:rPr>
        <w:t xml:space="preserve">, פסקאות 44 ו-51 לחוות דעתי). ואולם, ברי אין זו דרך לרבים, ודאי לא לבני ציבור שלם; </w:t>
      </w:r>
      <w:r>
        <w:rPr>
          <w:rFonts w:ascii="Century" w:hAnsi="Century" w:cs="Miriam"/>
          <w:b/>
          <w:spacing w:val="0"/>
          <w:sz w:val="22"/>
          <w:szCs w:val="24"/>
          <w:rtl/>
        </w:rPr>
        <w:t xml:space="preserve">"בְּנֹהַג שֶׁבָּעוֹלָם אֶלֶף בְּנֵי אָדָם </w:t>
      </w:r>
      <w:proofErr w:type="spellStart"/>
      <w:r>
        <w:rPr>
          <w:rFonts w:ascii="Century" w:hAnsi="Century" w:cs="Miriam"/>
          <w:b/>
          <w:spacing w:val="0"/>
          <w:sz w:val="22"/>
          <w:szCs w:val="24"/>
          <w:rtl/>
        </w:rPr>
        <w:t>נִכְנָסִין</w:t>
      </w:r>
      <w:proofErr w:type="spellEnd"/>
      <w:r>
        <w:rPr>
          <w:rFonts w:ascii="Century" w:hAnsi="Century" w:cs="Miriam"/>
          <w:b/>
          <w:spacing w:val="0"/>
          <w:sz w:val="22"/>
          <w:szCs w:val="24"/>
          <w:rtl/>
        </w:rPr>
        <w:t xml:space="preserve"> לַמִּקְרָא </w:t>
      </w:r>
      <w:proofErr w:type="spellStart"/>
      <w:r>
        <w:rPr>
          <w:rFonts w:ascii="Century" w:hAnsi="Century" w:cs="Miriam"/>
          <w:b/>
          <w:spacing w:val="0"/>
          <w:sz w:val="22"/>
          <w:szCs w:val="24"/>
          <w:rtl/>
        </w:rPr>
        <w:t>יוֹצְאִין</w:t>
      </w:r>
      <w:proofErr w:type="spellEnd"/>
      <w:r>
        <w:rPr>
          <w:rFonts w:ascii="Century" w:hAnsi="Century" w:cs="Miriam"/>
          <w:b/>
          <w:spacing w:val="0"/>
          <w:sz w:val="22"/>
          <w:szCs w:val="24"/>
          <w:rtl/>
        </w:rPr>
        <w:t xml:space="preserve"> מֵהֶן מֵאָה לַמִּשְׁנָה </w:t>
      </w:r>
      <w:proofErr w:type="spellStart"/>
      <w:r>
        <w:rPr>
          <w:rFonts w:ascii="Century" w:hAnsi="Century" w:cs="Miriam"/>
          <w:b/>
          <w:spacing w:val="0"/>
          <w:sz w:val="22"/>
          <w:szCs w:val="24"/>
          <w:rtl/>
        </w:rPr>
        <w:t>יוֹצְאִין</w:t>
      </w:r>
      <w:proofErr w:type="spellEnd"/>
      <w:r>
        <w:rPr>
          <w:rFonts w:ascii="Century" w:hAnsi="Century" w:cs="Miriam"/>
          <w:b/>
          <w:spacing w:val="0"/>
          <w:sz w:val="22"/>
          <w:szCs w:val="24"/>
          <w:rtl/>
        </w:rPr>
        <w:t xml:space="preserve"> מֵהֶן עֲשָׂרָה לְתַלְמוּד יוֹצֵא מֵהֶם אֶחָד לְהוֹרָאָה"</w:t>
      </w:r>
      <w:r>
        <w:rPr>
          <w:rtl/>
        </w:rPr>
        <w:t xml:space="preserve"> (מדרש קהלת רבה ז, </w:t>
      </w:r>
      <w:proofErr w:type="spellStart"/>
      <w:r>
        <w:rPr>
          <w:rtl/>
        </w:rPr>
        <w:t>כח</w:t>
      </w:r>
      <w:proofErr w:type="spellEnd"/>
      <w:r>
        <w:rPr>
          <w:rtl/>
        </w:rPr>
        <w:t xml:space="preserve">; כן ראו: ברכות לה, ב; מנחות </w:t>
      </w:r>
      <w:proofErr w:type="spellStart"/>
      <w:r>
        <w:rPr>
          <w:rtl/>
        </w:rPr>
        <w:t>צט</w:t>
      </w:r>
      <w:proofErr w:type="spellEnd"/>
      <w:r>
        <w:rPr>
          <w:rtl/>
        </w:rPr>
        <w:t xml:space="preserve">, ב). הוי אומר: 'בני עליה מעטים' (על-פי: תלמוד בבלי, סוכה מה , ב) – יתכן; דרך כבושה לרבים – בפירוש לא (ראו, בהקשר זה: </w:t>
      </w:r>
      <w:r>
        <w:rPr>
          <w:rFonts w:ascii="Century" w:hAnsi="Century" w:cs="Miriam"/>
          <w:b/>
          <w:spacing w:val="0"/>
          <w:sz w:val="22"/>
          <w:szCs w:val="24"/>
          <w:rtl/>
        </w:rPr>
        <w:t>בג"ץ 1877/14</w:t>
      </w:r>
      <w:r>
        <w:rPr>
          <w:rtl/>
        </w:rPr>
        <w:t xml:space="preserve">, פסקה 13 לחוות הדעת של השופט </w:t>
      </w:r>
      <w:r>
        <w:rPr>
          <w:rFonts w:ascii="Century" w:hAnsi="Century" w:cs="Miriam"/>
          <w:b/>
          <w:spacing w:val="0"/>
          <w:sz w:val="22"/>
          <w:szCs w:val="24"/>
          <w:rtl/>
        </w:rPr>
        <w:t>הנדל</w:t>
      </w:r>
      <w:r>
        <w:rPr>
          <w:rFonts w:ascii="Century" w:hAnsi="Century"/>
          <w:sz w:val="22"/>
          <w:rtl/>
        </w:rPr>
        <w:t>).</w:t>
      </w:r>
    </w:p>
    <w:p w14:paraId="52B64B19" w14:textId="77777777" w:rsidR="00613BC3" w:rsidRDefault="00613BC3" w:rsidP="00613BC3">
      <w:pPr>
        <w:pStyle w:val="Ruller41"/>
        <w:rPr>
          <w:rtl/>
        </w:rPr>
      </w:pPr>
    </w:p>
    <w:p w14:paraId="366BEF26"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הערות נוספות</w:t>
      </w:r>
    </w:p>
    <w:p w14:paraId="65C26250" w14:textId="77777777" w:rsidR="00613BC3" w:rsidRDefault="00613BC3" w:rsidP="00613BC3">
      <w:pPr>
        <w:pStyle w:val="Ruller4"/>
        <w:rPr>
          <w:rtl/>
        </w:rPr>
      </w:pPr>
      <w:r>
        <w:rPr>
          <w:rtl/>
        </w:rPr>
        <w:t>ב</w:t>
      </w:r>
      <w:r>
        <w:rPr>
          <w:rFonts w:ascii="Century" w:hAnsi="Century" w:cs="Miriam"/>
          <w:b/>
          <w:spacing w:val="0"/>
          <w:sz w:val="22"/>
          <w:szCs w:val="24"/>
          <w:rtl/>
        </w:rPr>
        <w:t>בג"ץ 1877/14</w:t>
      </w:r>
      <w:r>
        <w:rPr>
          <w:rFonts w:ascii="Century" w:hAnsi="Century"/>
          <w:sz w:val="22"/>
          <w:rtl/>
        </w:rPr>
        <w:t xml:space="preserve"> ציינתי, כי </w:t>
      </w:r>
      <w:r>
        <w:rPr>
          <w:rFonts w:ascii="Century" w:hAnsi="Century" w:cs="Miriam"/>
          <w:b/>
          <w:spacing w:val="0"/>
          <w:sz w:val="22"/>
          <w:szCs w:val="24"/>
          <w:rtl/>
        </w:rPr>
        <w:t>"אולי יבוא יום שבו יהיה זה נכון להטיל את כובד משקלו של החזון על המציאות"</w:t>
      </w:r>
      <w:r>
        <w:rPr>
          <w:rFonts w:ascii="Century" w:hAnsi="Century"/>
          <w:sz w:val="22"/>
          <w:rtl/>
        </w:rPr>
        <w:t xml:space="preserve">. דומני, כי הגיע היום והשעה דוחקת. למעלה מ-8 שנים חלפו, ומצב הדברים בכל הנוגע לעמידתם של בני הציבור החרדי בחובת הגיוס – לא השתפר. מלחמה קשה ונוראה פרצה. רבים נהרגו; אלפים נפצעו, בגוף ובנפש. משפחות התפרקו, אנשי מילואים איבדו את פרנסתם; חיילים ואזרחים רבים </w:t>
      </w:r>
      <w:proofErr w:type="spellStart"/>
      <w:r>
        <w:rPr>
          <w:rFonts w:ascii="Century" w:hAnsi="Century"/>
          <w:sz w:val="22"/>
          <w:rtl/>
        </w:rPr>
        <w:t>יִשאו</w:t>
      </w:r>
      <w:proofErr w:type="spellEnd"/>
      <w:r>
        <w:rPr>
          <w:rFonts w:ascii="Century" w:hAnsi="Century"/>
          <w:sz w:val="22"/>
          <w:rtl/>
        </w:rPr>
        <w:t xml:space="preserve"> איתם צלקות שהותירה בהם תקופה זו כל ימי חייהם. טלטלה עזה עברנו כולנו, כיחידים וכציבור. כל זאת, </w:t>
      </w:r>
      <w:r>
        <w:rPr>
          <w:rFonts w:ascii="Century" w:hAnsi="Century"/>
          <w:sz w:val="22"/>
          <w:rtl/>
        </w:rPr>
        <w:lastRenderedPageBreak/>
        <w:t xml:space="preserve">והנוגעים בדבר, אשר מופקדים על סוגיית הגיוס – בשלהם. רבים מבני הציבור החרדי, מצדם, אינם נענים לחובה – החוקית והמוסרית כאחד – להושיט יד לאחיהם בעת צרה; וממשלת ישראל, מצדה, אינה עושה כל אשר לאל ידה כדי להביא לגיוסם. </w:t>
      </w:r>
    </w:p>
    <w:p w14:paraId="6D428B46" w14:textId="77777777" w:rsidR="00613BC3" w:rsidRDefault="00613BC3" w:rsidP="00613BC3">
      <w:pPr>
        <w:pStyle w:val="Ruller4"/>
        <w:numPr>
          <w:ilvl w:val="0"/>
          <w:numId w:val="0"/>
        </w:numPr>
      </w:pPr>
    </w:p>
    <w:p w14:paraId="2CE5F212" w14:textId="77777777" w:rsidR="00613BC3" w:rsidRDefault="00613BC3" w:rsidP="00613BC3">
      <w:pPr>
        <w:pStyle w:val="Ruller4"/>
      </w:pPr>
      <w:r>
        <w:rPr>
          <w:rFonts w:ascii="Century" w:hAnsi="Century"/>
          <w:sz w:val="22"/>
          <w:rtl/>
        </w:rPr>
        <w:t>על רקע המציאות הקשה, הלך אי-השוויון והעמיק ביתר שאת; נמתח עד הקצוות, ומעבר להם. בד בבד, נוסף שיקול חשוב ביותר, שלא עמד על הפרק ב</w:t>
      </w:r>
      <w:r>
        <w:rPr>
          <w:rFonts w:ascii="Century" w:hAnsi="Century" w:cs="Miriam"/>
          <w:b/>
          <w:spacing w:val="0"/>
          <w:sz w:val="22"/>
          <w:szCs w:val="24"/>
          <w:rtl/>
        </w:rPr>
        <w:t>בג"ץ 1877/14</w:t>
      </w:r>
      <w:r>
        <w:rPr>
          <w:rFonts w:ascii="Century" w:hAnsi="Century"/>
          <w:sz w:val="22"/>
          <w:rtl/>
        </w:rPr>
        <w:t xml:space="preserve"> – הצורך הביטחוני הדוחק, אשר קיבל ביטוי בקביעת גורמי המקצוע בצה"ל, כי נדרשים 12,000 חיילים – למעלה ממחציתם לוחמים – לצורך מילוי השורות. בנסיבות אלה, ובהינתן שהמצב המשפטי כה ברור וחד-משמעי (אזכיר, כי להבדיל מ</w:t>
      </w:r>
      <w:r>
        <w:rPr>
          <w:rFonts w:ascii="Century" w:hAnsi="Century" w:cs="Miriam"/>
          <w:b/>
          <w:spacing w:val="0"/>
          <w:sz w:val="22"/>
          <w:szCs w:val="24"/>
          <w:rtl/>
        </w:rPr>
        <w:t>בג"ץ 1877/14</w:t>
      </w:r>
      <w:r>
        <w:rPr>
          <w:rFonts w:ascii="Century" w:hAnsi="Century"/>
          <w:sz w:val="22"/>
          <w:rtl/>
        </w:rPr>
        <w:t xml:space="preserve">, אין עסקינן כאן בביקורת שיפוטית על חקיקה, ואף יתרה מזאת – מדובר בביקורת שיפוטית על </w:t>
      </w:r>
      <w:r>
        <w:rPr>
          <w:rFonts w:ascii="Century" w:hAnsi="Century" w:cs="Miriam"/>
          <w:b/>
          <w:spacing w:val="0"/>
          <w:sz w:val="22"/>
          <w:szCs w:val="24"/>
          <w:rtl/>
        </w:rPr>
        <w:t>אי-אכיפת הוראות החוק</w:t>
      </w:r>
      <w:r>
        <w:rPr>
          <w:rFonts w:ascii="Century" w:hAnsi="Century"/>
          <w:sz w:val="22"/>
          <w:rtl/>
        </w:rPr>
        <w:t>) – סבורני כי ההכרעה בעתירות שלפנינו נחוצה ומתבקשת כמו מאליה; דינן להתקבל.</w:t>
      </w:r>
    </w:p>
    <w:p w14:paraId="0C8456E9" w14:textId="77777777" w:rsidR="00613BC3" w:rsidRDefault="00613BC3" w:rsidP="00613BC3">
      <w:pPr>
        <w:pStyle w:val="Ruller4"/>
        <w:numPr>
          <w:ilvl w:val="0"/>
          <w:numId w:val="0"/>
        </w:numPr>
      </w:pPr>
    </w:p>
    <w:p w14:paraId="4C06EF3A" w14:textId="77777777" w:rsidR="00613BC3" w:rsidRDefault="00613BC3" w:rsidP="00613BC3">
      <w:pPr>
        <w:pStyle w:val="Ruller4"/>
      </w:pPr>
      <w:r>
        <w:rPr>
          <w:rFonts w:ascii="Century" w:hAnsi="Century"/>
          <w:sz w:val="22"/>
          <w:shd w:val="clear" w:color="auto" w:fill="FFFFFF"/>
          <w:rtl/>
        </w:rPr>
        <w:t xml:space="preserve">טרם סיום, ניתנת האמת להיאמר; </w:t>
      </w:r>
      <w:proofErr w:type="spellStart"/>
      <w:r>
        <w:rPr>
          <w:rFonts w:ascii="Century" w:hAnsi="Century"/>
          <w:sz w:val="22"/>
          <w:shd w:val="clear" w:color="auto" w:fill="FFFFFF"/>
          <w:rtl/>
        </w:rPr>
        <w:t>הסעדים</w:t>
      </w:r>
      <w:proofErr w:type="spellEnd"/>
      <w:r>
        <w:rPr>
          <w:rFonts w:ascii="Century" w:hAnsi="Century"/>
          <w:sz w:val="22"/>
          <w:shd w:val="clear" w:color="auto" w:fill="FFFFFF"/>
          <w:rtl/>
        </w:rPr>
        <w:t xml:space="preserve"> שעליהם אנו מורים כאן, אינם פשוטים כלל וכלל. אלא שזמנים קשים דורשים, לעתים, צעדים קשים; בנסיבות כה חמורות וקיצוניות, נדרשים סעדים חריגים, יוצאי דופן. מצב הדברים הנוכחי, של </w:t>
      </w:r>
      <w:r>
        <w:rPr>
          <w:rFonts w:ascii="Century" w:hAnsi="Century" w:cs="Miriam"/>
          <w:b/>
          <w:spacing w:val="0"/>
          <w:sz w:val="22"/>
          <w:szCs w:val="24"/>
          <w:shd w:val="clear" w:color="auto" w:fill="FFFFFF"/>
          <w:rtl/>
        </w:rPr>
        <w:t>הפרת חוק</w:t>
      </w:r>
      <w:r>
        <w:rPr>
          <w:rFonts w:ascii="Century" w:hAnsi="Century"/>
          <w:sz w:val="22"/>
          <w:shd w:val="clear" w:color="auto" w:fill="FFFFFF"/>
          <w:rtl/>
        </w:rPr>
        <w:t xml:space="preserve"> </w:t>
      </w:r>
      <w:r>
        <w:rPr>
          <w:rFonts w:ascii="Century" w:hAnsi="Century" w:cs="Miriam"/>
          <w:b/>
          <w:spacing w:val="0"/>
          <w:sz w:val="22"/>
          <w:szCs w:val="24"/>
          <w:shd w:val="clear" w:color="auto" w:fill="FFFFFF"/>
          <w:rtl/>
        </w:rPr>
        <w:t>המונית</w:t>
      </w:r>
      <w:r>
        <w:rPr>
          <w:rFonts w:ascii="Century" w:hAnsi="Century"/>
          <w:sz w:val="22"/>
          <w:shd w:val="clear" w:color="auto" w:fill="FFFFFF"/>
          <w:rtl/>
        </w:rPr>
        <w:t xml:space="preserve">, מוּדעת ומתמשכת, תוך </w:t>
      </w:r>
      <w:r>
        <w:rPr>
          <w:rFonts w:ascii="Century" w:hAnsi="Century" w:cs="Miriam"/>
          <w:b/>
          <w:spacing w:val="0"/>
          <w:sz w:val="22"/>
          <w:szCs w:val="24"/>
          <w:shd w:val="clear" w:color="auto" w:fill="FFFFFF"/>
          <w:rtl/>
        </w:rPr>
        <w:t>פגיעה כה חריפה בשוויון</w:t>
      </w:r>
      <w:r>
        <w:rPr>
          <w:rFonts w:ascii="Century" w:hAnsi="Century"/>
          <w:sz w:val="22"/>
          <w:shd w:val="clear" w:color="auto" w:fill="FFFFFF"/>
          <w:rtl/>
        </w:rPr>
        <w:t xml:space="preserve"> – אינו מתקבל על הדעת, לא כל שכן בהינתן </w:t>
      </w:r>
      <w:r>
        <w:rPr>
          <w:rFonts w:ascii="Century" w:hAnsi="Century" w:cs="Miriam"/>
          <w:b/>
          <w:spacing w:val="0"/>
          <w:sz w:val="22"/>
          <w:szCs w:val="24"/>
          <w:shd w:val="clear" w:color="auto" w:fill="FFFFFF"/>
          <w:rtl/>
        </w:rPr>
        <w:t>הצורך הביטחוני</w:t>
      </w:r>
      <w:r>
        <w:rPr>
          <w:rFonts w:ascii="Century" w:hAnsi="Century"/>
          <w:sz w:val="22"/>
          <w:shd w:val="clear" w:color="auto" w:fill="FFFFFF"/>
          <w:rtl/>
        </w:rPr>
        <w:t xml:space="preserve"> הדוחק, ההכרחי, בגיוס חיילי חובה (ובהמשך גם מילואים) נוספים. לכדי פיקוח נפש היגענו. בנסיבות אלו, אנו סבורים כי אין מנוס ממתן צו מוחלט. פעם אחר פעם, לצד הצהרות עקרוניות בלתי מתפשרות, נענה בית משפט זה, מתוך תפיסה של כיבוד הדדי בין הרשויות (ואף הכרה במורכבות הפוליטית הנלווית לעיסוק בסוגיה זו), לבקשות מצד משיבי המדינה למתן שהות לשם הסדרת </w:t>
      </w:r>
      <w:proofErr w:type="spellStart"/>
      <w:r>
        <w:rPr>
          <w:rFonts w:ascii="Century" w:hAnsi="Century"/>
          <w:sz w:val="22"/>
          <w:shd w:val="clear" w:color="auto" w:fill="FFFFFF"/>
          <w:rtl/>
        </w:rPr>
        <w:t>הסוגיה</w:t>
      </w:r>
      <w:proofErr w:type="spellEnd"/>
      <w:r>
        <w:rPr>
          <w:rFonts w:ascii="Century" w:hAnsi="Century"/>
          <w:sz w:val="22"/>
          <w:shd w:val="clear" w:color="auto" w:fill="FFFFFF"/>
          <w:rtl/>
        </w:rPr>
        <w:t xml:space="preserve">; כך, במישור המעשי – בהעדר פעולה אפקטיבית מצד משיבי המדינה – עולם המשיך לנהוג כמנהגו. אף עתה, רבים, רבים מדי, מן העוסקים במלאכה מוסיפים להפטיר </w:t>
      </w:r>
      <w:proofErr w:type="spellStart"/>
      <w:r>
        <w:rPr>
          <w:rFonts w:ascii="Century" w:hAnsi="Century"/>
          <w:sz w:val="22"/>
          <w:shd w:val="clear" w:color="auto" w:fill="FFFFFF"/>
          <w:rtl/>
        </w:rPr>
        <w:t>כדאשתקד</w:t>
      </w:r>
      <w:proofErr w:type="spellEnd"/>
      <w:r>
        <w:rPr>
          <w:rFonts w:ascii="Century" w:hAnsi="Century"/>
          <w:sz w:val="22"/>
          <w:shd w:val="clear" w:color="auto" w:fill="FFFFFF"/>
          <w:rtl/>
        </w:rPr>
        <w:t xml:space="preserve">, מבלי לשמוע את זעקת הנושאים בנטל והקרובים אליהם, ומבלי ליתן מענה ראוי לאתגרי הביטחון הכבירים. זו הפעם, על רקע כלל האמור, לא ניתן עוד לאפשר זאת. לא לחשות. בנפשנו הדבר, פשוטו כמשמעו. </w:t>
      </w:r>
    </w:p>
    <w:p w14:paraId="411461F5" w14:textId="77777777" w:rsidR="00613BC3" w:rsidRDefault="00613BC3" w:rsidP="00613BC3">
      <w:pPr>
        <w:pStyle w:val="Ruller41"/>
        <w:rPr>
          <w:rtl/>
        </w:rPr>
      </w:pPr>
    </w:p>
    <w:p w14:paraId="45FEBE55" w14:textId="77777777" w:rsidR="00613BC3" w:rsidRDefault="00613BC3" w:rsidP="00613BC3">
      <w:pPr>
        <w:pStyle w:val="Ruller41"/>
        <w:rPr>
          <w:rFonts w:ascii="Century" w:hAnsi="Century" w:cs="Miriam"/>
          <w:b/>
          <w:spacing w:val="0"/>
          <w:szCs w:val="24"/>
          <w:rtl/>
        </w:rPr>
      </w:pPr>
      <w:r>
        <w:rPr>
          <w:rFonts w:ascii="Century" w:hAnsi="Century" w:cs="Miriam"/>
          <w:b/>
          <w:spacing w:val="0"/>
          <w:szCs w:val="24"/>
          <w:rtl/>
        </w:rPr>
        <w:t>סוף דבר</w:t>
      </w:r>
    </w:p>
    <w:p w14:paraId="58D8A3E9" w14:textId="77777777" w:rsidR="00613BC3" w:rsidRDefault="00613BC3" w:rsidP="00613BC3">
      <w:pPr>
        <w:pStyle w:val="Ruller4"/>
        <w:rPr>
          <w:rtl/>
        </w:rPr>
      </w:pPr>
      <w:r>
        <w:rPr>
          <w:rtl/>
        </w:rPr>
        <w:t xml:space="preserve">דינן של העתירות – להתקבל. </w:t>
      </w:r>
    </w:p>
    <w:p w14:paraId="0A15041B" w14:textId="77777777" w:rsidR="00613BC3" w:rsidRDefault="00613BC3" w:rsidP="00613BC3">
      <w:pPr>
        <w:pStyle w:val="Ruller4"/>
        <w:numPr>
          <w:ilvl w:val="0"/>
          <w:numId w:val="0"/>
        </w:numPr>
      </w:pPr>
    </w:p>
    <w:p w14:paraId="634B26D8" w14:textId="77777777" w:rsidR="00613BC3" w:rsidRDefault="00613BC3" w:rsidP="00613BC3">
      <w:pPr>
        <w:pStyle w:val="Ruller4"/>
        <w:numPr>
          <w:ilvl w:val="0"/>
          <w:numId w:val="0"/>
        </w:numPr>
      </w:pPr>
      <w:r>
        <w:rPr>
          <w:rtl/>
        </w:rPr>
        <w:lastRenderedPageBreak/>
        <w:tab/>
        <w:t xml:space="preserve">ניתן אפוא בזאת צו מוחלט, בהתאם לראשו השני של הצו על-תנאי, המחייב את משיבי המדינה לנקוט </w:t>
      </w:r>
      <w:r>
        <w:rPr>
          <w:rFonts w:cs="Miriam"/>
          <w:b/>
          <w:spacing w:val="0"/>
          <w:szCs w:val="24"/>
          <w:rtl/>
        </w:rPr>
        <w:t>"צעדי אכיפה אישיים אפקטיביים כלפי מי שהוצאו להם צווי גיוס ולא התייצבו בהתאם"</w:t>
      </w:r>
      <w:r>
        <w:rPr>
          <w:rtl/>
        </w:rPr>
        <w:t xml:space="preserve">. </w:t>
      </w:r>
    </w:p>
    <w:p w14:paraId="551E1EA9" w14:textId="77777777" w:rsidR="00613BC3" w:rsidRDefault="00613BC3" w:rsidP="00613BC3">
      <w:pPr>
        <w:pStyle w:val="Ruller4"/>
        <w:numPr>
          <w:ilvl w:val="0"/>
          <w:numId w:val="0"/>
        </w:numPr>
        <w:rPr>
          <w:rtl/>
        </w:rPr>
      </w:pPr>
    </w:p>
    <w:p w14:paraId="7F8B0C56" w14:textId="77777777" w:rsidR="00613BC3" w:rsidRDefault="00613BC3" w:rsidP="00613BC3">
      <w:pPr>
        <w:pStyle w:val="Ruller4"/>
        <w:rPr>
          <w:rtl/>
        </w:rPr>
      </w:pPr>
      <w:r>
        <w:rPr>
          <w:rtl/>
        </w:rPr>
        <w:tab/>
        <w:t xml:space="preserve">לגבי צעדי האכיפה במישור הפלילי, על משיבי המדינה לפעול בשקידה ראויה ובמהירות האפשרית, לשם נקיטת הליכים פליליים ממשיים כלפי מי שהוכרזו כמשתמטים מקרב בני הציבור החרדי; אמת מידה רלבנטית לכך, היא שנדרש להגיע בהקדם האפשרי, במסגרת המגבלות הקיימות (במונחי משאבים וכדומה), למצב </w:t>
      </w:r>
      <w:r>
        <w:rPr>
          <w:rFonts w:ascii="Century" w:hAnsi="Century" w:cs="Miriam"/>
          <w:b/>
          <w:spacing w:val="0"/>
          <w:sz w:val="22"/>
          <w:szCs w:val="24"/>
          <w:rtl/>
        </w:rPr>
        <w:t>שוויוני</w:t>
      </w:r>
      <w:r>
        <w:rPr>
          <w:rtl/>
        </w:rPr>
        <w:t xml:space="preserve">, כך ששיעור המשתמטים בני הציבור החרדי שננקט לגביהם הליך פלילי, לא יהיה נמוך מזה של ציבורים אחרים. </w:t>
      </w:r>
    </w:p>
    <w:p w14:paraId="1465425F" w14:textId="77777777" w:rsidR="00613BC3" w:rsidRDefault="00613BC3" w:rsidP="00613BC3">
      <w:pPr>
        <w:pStyle w:val="Ruller4"/>
        <w:numPr>
          <w:ilvl w:val="0"/>
          <w:numId w:val="0"/>
        </w:numPr>
        <w:rPr>
          <w:rtl/>
        </w:rPr>
      </w:pPr>
    </w:p>
    <w:p w14:paraId="0BAFE532" w14:textId="77777777" w:rsidR="00613BC3" w:rsidRDefault="00613BC3" w:rsidP="00613BC3">
      <w:pPr>
        <w:pStyle w:val="Ruller4"/>
        <w:rPr>
          <w:rtl/>
        </w:rPr>
      </w:pPr>
      <w:r>
        <w:rPr>
          <w:rtl/>
        </w:rPr>
        <w:tab/>
        <w:t xml:space="preserve">אשר לצעדים המשלימים, בדגש על המישור הכלכלי-אזרחי, על הממשלה לגבש, בתוך 45 ימים, מדיניות אפקטיבית, שתעמוד בעקרונות המפורטים לעיל בפסקה 67. אדגיש בהקשר זה, כפי שפורט לעיל, כי חלק ניכר מעבודת המטה הנדרשת מצד גורמי המקצוע – כבר נעשה; דומה כי מלאכה רבה הושקעה בכך, וכי מרבית הצעדים שעל הפרק – נבחנו ונשקלו (לפירוט, לא ממצה כמובן, ראו פסקאות 65-63 לעיל). משאלה הם פני הדברים, אין הצדקה להמשיך ולהתמהמה; עת לעשות.    </w:t>
      </w:r>
    </w:p>
    <w:p w14:paraId="75F868DB" w14:textId="77777777" w:rsidR="00613BC3" w:rsidRDefault="00613BC3" w:rsidP="00613BC3">
      <w:pPr>
        <w:pStyle w:val="Ruller41"/>
        <w:rPr>
          <w:rtl/>
        </w:rPr>
      </w:pPr>
    </w:p>
    <w:p w14:paraId="55DB9484" w14:textId="77777777" w:rsidR="00613BC3" w:rsidRDefault="00613BC3" w:rsidP="00613BC3">
      <w:pPr>
        <w:pStyle w:val="Ruller4"/>
        <w:rPr>
          <w:rtl/>
        </w:rPr>
      </w:pPr>
      <w:r>
        <w:rPr>
          <w:rtl/>
        </w:rPr>
        <w:tab/>
        <w:t>נוסף על האמור, ניתן בזאת צו ביניים, המונע הפחתה של תקופת השירות או כל תקופה רלבנטית אחרת לעניין גיוסם ושירותם של בני ישיבות, עד ליום 31.12.2026.</w:t>
      </w:r>
    </w:p>
    <w:p w14:paraId="63DD68A3" w14:textId="77777777" w:rsidR="00613BC3" w:rsidRDefault="00613BC3" w:rsidP="00613BC3">
      <w:pPr>
        <w:pStyle w:val="Ruller41"/>
        <w:rPr>
          <w:rtl/>
        </w:rPr>
      </w:pPr>
    </w:p>
    <w:p w14:paraId="40042981" w14:textId="77777777" w:rsidR="00613BC3" w:rsidRDefault="00613BC3" w:rsidP="00613BC3">
      <w:pPr>
        <w:pStyle w:val="Ruller4"/>
        <w:numPr>
          <w:ilvl w:val="0"/>
          <w:numId w:val="0"/>
        </w:numPr>
        <w:rPr>
          <w:rtl/>
        </w:rPr>
      </w:pPr>
      <w:r>
        <w:rPr>
          <w:rtl/>
        </w:rPr>
        <w:tab/>
        <w:t xml:space="preserve">משיבי המדינה </w:t>
      </w:r>
      <w:proofErr w:type="spellStart"/>
      <w:r>
        <w:rPr>
          <w:rtl/>
        </w:rPr>
        <w:t>יִשאו</w:t>
      </w:r>
      <w:proofErr w:type="spellEnd"/>
      <w:r>
        <w:rPr>
          <w:rtl/>
        </w:rPr>
        <w:t xml:space="preserve"> בהוצאות העותרים, בסך של 10,000 ₪ בכל עתירה.</w:t>
      </w:r>
    </w:p>
    <w:p w14:paraId="7AB9101A" w14:textId="77777777" w:rsidR="00613BC3" w:rsidRDefault="00613BC3" w:rsidP="00613BC3">
      <w:pPr>
        <w:pStyle w:val="Ruller4"/>
        <w:numPr>
          <w:ilvl w:val="0"/>
          <w:numId w:val="0"/>
        </w:numPr>
        <w:rPr>
          <w:rtl/>
        </w:rPr>
      </w:pPr>
    </w:p>
    <w:p w14:paraId="28ABB846" w14:textId="77777777" w:rsidR="00613BC3" w:rsidRDefault="00613BC3" w:rsidP="00613BC3">
      <w:pPr>
        <w:pStyle w:val="Ruller41"/>
        <w:rPr>
          <w:rtl/>
        </w:rPr>
      </w:pPr>
      <w:r>
        <w:rPr>
          <w:rtl/>
        </w:rPr>
        <w:tab/>
        <w:t xml:space="preserve">הוחלט אפוא פה אחד ליתן צו מוחלט, לפי האמור בפסק הדין של המשנה לנשיא </w:t>
      </w:r>
      <w:r>
        <w:rPr>
          <w:rFonts w:ascii="Century" w:hAnsi="Century" w:cs="Miriam"/>
          <w:b/>
          <w:spacing w:val="0"/>
          <w:szCs w:val="24"/>
          <w:rtl/>
        </w:rPr>
        <w:t>נעם סולברג</w:t>
      </w:r>
      <w:r>
        <w:rPr>
          <w:rtl/>
        </w:rPr>
        <w:t>.</w:t>
      </w:r>
    </w:p>
    <w:p w14:paraId="5EC90E99" w14:textId="77777777" w:rsidR="007F1C55" w:rsidRDefault="007F1C55" w:rsidP="00613BC3">
      <w:pPr>
        <w:pStyle w:val="Ruller41"/>
        <w:rPr>
          <w:rtl/>
        </w:rPr>
      </w:pPr>
    </w:p>
    <w:p w14:paraId="6241F41F" w14:textId="77777777" w:rsidR="00632E67" w:rsidRPr="00BC5A54" w:rsidRDefault="00632E67" w:rsidP="00632E67">
      <w:pPr>
        <w:pStyle w:val="Ruller41"/>
        <w:rPr>
          <w:rFonts w:ascii="FrankRuehl" w:hAnsi="FrankRuehl"/>
          <w:sz w:val="28"/>
          <w:rtl/>
        </w:rPr>
      </w:pPr>
    </w:p>
    <w:p w14:paraId="173F42B9" w14:textId="77777777" w:rsidR="00694556" w:rsidRDefault="0043502B" w:rsidP="00613BC3">
      <w:pPr>
        <w:spacing w:line="360" w:lineRule="auto"/>
        <w:ind w:firstLine="720"/>
        <w:jc w:val="both"/>
        <w:rPr>
          <w:rFonts w:ascii="FrankRuehl" w:hAnsi="FrankRuehl" w:cs="FrankRuehl"/>
          <w:spacing w:val="10"/>
          <w:sz w:val="28"/>
          <w:szCs w:val="28"/>
          <w:rtl/>
        </w:rPr>
      </w:pPr>
      <w:r w:rsidRPr="00C615AB">
        <w:rPr>
          <w:rFonts w:ascii="FrankRuehl" w:hAnsi="FrankRuehl" w:cs="FrankRuehl"/>
          <w:spacing w:val="10"/>
          <w:sz w:val="28"/>
          <w:szCs w:val="28"/>
          <w:rtl/>
        </w:rPr>
        <w:t>נית</w:t>
      </w:r>
      <w:r w:rsidR="006D2099">
        <w:rPr>
          <w:rFonts w:ascii="FrankRuehl" w:hAnsi="FrankRuehl" w:cs="FrankRuehl" w:hint="cs"/>
          <w:spacing w:val="10"/>
          <w:sz w:val="28"/>
          <w:szCs w:val="28"/>
          <w:rtl/>
        </w:rPr>
        <w:t>ן</w:t>
      </w:r>
      <w:r w:rsidR="00005C8B" w:rsidRPr="00C615AB">
        <w:rPr>
          <w:rFonts w:ascii="FrankRuehl" w:hAnsi="FrankRuehl" w:cs="FrankRuehl"/>
          <w:spacing w:val="10"/>
          <w:sz w:val="28"/>
          <w:szCs w:val="28"/>
          <w:rtl/>
        </w:rPr>
        <w:t xml:space="preserve"> 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כ"ח חשוון תשפ"ו</w:t>
          </w:r>
        </w:sdtContent>
      </w:sdt>
      <w:r w:rsidR="00005C8B" w:rsidRPr="00C615AB">
        <w:rPr>
          <w:rFonts w:ascii="FrankRuehl" w:hAnsi="FrankRuehl" w:cs="FrankRuehl"/>
          <w:spacing w:val="10"/>
          <w:sz w:val="28"/>
          <w:szCs w:val="28"/>
          <w:rtl/>
        </w:rPr>
        <w:t xml:space="preserve"> </w:t>
      </w:r>
      <w:r w:rsidR="00AF2178" w:rsidRPr="00C615AB">
        <w:rPr>
          <w:rFonts w:ascii="FrankRuehl" w:hAnsi="FrankRuehl" w:cs="FrankRuehl" w:hint="cs"/>
          <w:spacing w:val="10"/>
          <w:sz w:val="28"/>
          <w:szCs w:val="28"/>
          <w:rtl/>
        </w:rPr>
        <w:t>(</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hint="cs"/>
              <w:spacing w:val="10"/>
              <w:sz w:val="28"/>
              <w:szCs w:val="28"/>
              <w:rtl/>
            </w:rPr>
            <w:t>19 נובמבר 2025</w:t>
          </w:r>
        </w:sdtContent>
      </w:sdt>
      <w:r w:rsidR="00AF2178" w:rsidRPr="00C615AB">
        <w:rPr>
          <w:rFonts w:ascii="FrankRuehl" w:hAnsi="FrankRuehl" w:cs="FrankRuehl" w:hint="cs"/>
          <w:spacing w:val="10"/>
          <w:sz w:val="28"/>
          <w:szCs w:val="28"/>
          <w:rtl/>
        </w:rPr>
        <w:t>)</w:t>
      </w:r>
      <w:r w:rsidR="00005C8B" w:rsidRPr="00C615AB">
        <w:rPr>
          <w:rFonts w:ascii="FrankRuehl" w:hAnsi="FrankRuehl" w:cs="FrankRuehl"/>
          <w:spacing w:val="10"/>
          <w:sz w:val="28"/>
          <w:szCs w:val="28"/>
          <w:rtl/>
        </w:rPr>
        <w:t>.</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58"/>
        <w:gridCol w:w="2755"/>
      </w:tblGrid>
      <w:tr w:rsidR="00A402F3" w14:paraId="070091AC" w14:textId="77777777" w:rsidTr="006B7F78">
        <w:trPr>
          <w:jc w:val="center"/>
        </w:trPr>
        <w:tc>
          <w:tcPr>
            <w:tcW w:w="279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E1DB8" w:rsidRPr="00922D7C" w14:paraId="2DC9DC26" w14:textId="77777777" w:rsidTr="00B27E26">
              <w:trPr>
                <w:trHeight w:val="1247"/>
              </w:trPr>
              <w:tc>
                <w:tcPr>
                  <w:tcW w:w="2551" w:type="dxa"/>
                  <w:tcBorders>
                    <w:top w:val="nil"/>
                    <w:left w:val="nil"/>
                    <w:bottom w:val="single" w:sz="4" w:space="0" w:color="auto"/>
                    <w:right w:val="nil"/>
                  </w:tcBorders>
                  <w:vAlign w:val="center"/>
                </w:tcPr>
                <w:p w14:paraId="70EF778A" w14:textId="77777777" w:rsidR="00FE1DB8" w:rsidRPr="00922D7C" w:rsidRDefault="00FE1DB8" w:rsidP="00122D06">
                  <w:pPr>
                    <w:jc w:val="center"/>
                    <w:rPr>
                      <w:rFonts w:ascii="Courier New" w:hAnsi="Courier New"/>
                      <w:rtl/>
                    </w:rPr>
                  </w:pPr>
                  <w:r w:rsidRPr="001F0965">
                    <w:rPr>
                      <w:rFonts w:ascii="Courier New" w:hAnsi="Courier New"/>
                      <w:noProof/>
                      <w:rtl/>
                    </w:rPr>
                    <w:lastRenderedPageBreak/>
                    <w:drawing>
                      <wp:inline distT="0" distB="0" distL="0" distR="0" wp14:anchorId="16C43095" wp14:editId="7F8894D3">
                        <wp:extent cx="627797" cy="426469"/>
                        <wp:effectExtent l="0" t="0" r="1270" b="0"/>
                        <wp:docPr id="1" name="תמונה 1" descr="\\ctlnfsv02\Doc_repository\JudgesSignatures\05042006\נעם סולבר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נעם סולברג.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210" cy="477698"/>
                                </a:xfrm>
                                <a:prstGeom prst="rect">
                                  <a:avLst/>
                                </a:prstGeom>
                                <a:noFill/>
                                <a:ln>
                                  <a:noFill/>
                                </a:ln>
                              </pic:spPr>
                            </pic:pic>
                          </a:graphicData>
                        </a:graphic>
                      </wp:inline>
                    </w:drawing>
                  </w:r>
                </w:p>
              </w:tc>
            </w:tr>
            <w:tr w:rsidR="00FE1DB8" w:rsidRPr="00922D7C" w14:paraId="7D1B407B" w14:textId="77777777" w:rsidTr="00B27E26">
              <w:trPr>
                <w:trHeight w:val="454"/>
              </w:trPr>
              <w:tc>
                <w:tcPr>
                  <w:tcW w:w="2551" w:type="dxa"/>
                  <w:tcBorders>
                    <w:top w:val="single" w:sz="4" w:space="0" w:color="auto"/>
                    <w:left w:val="nil"/>
                    <w:bottom w:val="nil"/>
                    <w:right w:val="nil"/>
                  </w:tcBorders>
                  <w:vAlign w:val="center"/>
                </w:tcPr>
                <w:p w14:paraId="340F70C0" w14:textId="77777777" w:rsidR="00FE1DB8" w:rsidRPr="00922D7C" w:rsidRDefault="00FE1DB8" w:rsidP="00C759B6">
                  <w:pPr>
                    <w:pStyle w:val="31"/>
                    <w:spacing w:line="240" w:lineRule="auto"/>
                    <w:jc w:val="center"/>
                    <w:rPr>
                      <w:rFonts w:cs="FrankRuehl"/>
                      <w:b w:val="0"/>
                      <w:bCs w:val="0"/>
                      <w:spacing w:val="10"/>
                      <w:sz w:val="28"/>
                      <w:szCs w:val="28"/>
                      <w:rtl/>
                    </w:rPr>
                  </w:pPr>
                  <w:r w:rsidRPr="00922D7C">
                    <w:rPr>
                      <w:rFonts w:cs="FrankRuehl" w:hint="cs"/>
                      <w:b w:val="0"/>
                      <w:bCs w:val="0"/>
                      <w:spacing w:val="10"/>
                      <w:sz w:val="28"/>
                      <w:szCs w:val="28"/>
                      <w:rtl/>
                    </w:rPr>
                    <w:t xml:space="preserve">נעם סולברג </w:t>
                  </w:r>
                </w:p>
                <w:p w14:paraId="4F655283" w14:textId="77777777" w:rsidR="00FE1DB8" w:rsidRPr="00922D7C" w:rsidRDefault="00FE1DB8" w:rsidP="00C759B6">
                  <w:pPr>
                    <w:pStyle w:val="31"/>
                    <w:spacing w:line="240" w:lineRule="auto"/>
                    <w:jc w:val="center"/>
                    <w:rPr>
                      <w:rFonts w:cs="FrankRuehl"/>
                      <w:b w:val="0"/>
                      <w:bCs w:val="0"/>
                      <w:spacing w:val="10"/>
                      <w:sz w:val="28"/>
                      <w:szCs w:val="28"/>
                      <w:rtl/>
                    </w:rPr>
                  </w:pPr>
                  <w:r>
                    <w:rPr>
                      <w:rFonts w:cs="FrankRuehl" w:hint="cs"/>
                      <w:b w:val="0"/>
                      <w:bCs w:val="0"/>
                      <w:spacing w:val="10"/>
                      <w:sz w:val="28"/>
                      <w:szCs w:val="28"/>
                      <w:rtl/>
                    </w:rPr>
                    <w:t>משנה לנשיא</w:t>
                  </w:r>
                </w:p>
              </w:tc>
            </w:tr>
          </w:tbl>
          <w:p w14:paraId="1985A72C" w14:textId="77777777" w:rsidR="00FE1DB8" w:rsidRDefault="00FE1DB8">
            <w:pPr>
              <w:jc w:val="center"/>
              <w:rPr>
                <w:rtl/>
              </w:rPr>
            </w:pPr>
          </w:p>
          <w:p w14:paraId="376AF975" w14:textId="77777777" w:rsidR="00A402F3" w:rsidRDefault="00A402F3">
            <w:pPr>
              <w:jc w:val="center"/>
              <w:rPr>
                <w:rtl/>
              </w:rPr>
            </w:pPr>
          </w:p>
          <w:p w14:paraId="1DF0D95E" w14:textId="77777777" w:rsidR="00A402F3" w:rsidRPr="00D26B63" w:rsidRDefault="00A402F3" w:rsidP="006B7F78">
            <w:pPr>
              <w:spacing w:line="360" w:lineRule="auto"/>
              <w:rPr>
                <w:rFonts w:ascii="FrankRuehl" w:hAnsi="FrankRuehl" w:cs="FrankRuehl"/>
                <w:spacing w:val="10"/>
                <w:sz w:val="28"/>
                <w:szCs w:val="28"/>
                <w:rtl/>
              </w:rPr>
            </w:pPr>
          </w:p>
        </w:tc>
        <w:tc>
          <w:tcPr>
            <w:tcW w:w="2758"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2"/>
            </w:tblGrid>
            <w:tr w:rsidR="00FE1DB8" w:rsidRPr="00075AF1" w14:paraId="2AFEC404" w14:textId="77777777" w:rsidTr="003512F1">
              <w:trPr>
                <w:trHeight w:val="1247"/>
              </w:trPr>
              <w:tc>
                <w:tcPr>
                  <w:tcW w:w="2551" w:type="dxa"/>
                  <w:tcBorders>
                    <w:top w:val="nil"/>
                    <w:left w:val="nil"/>
                    <w:bottom w:val="single" w:sz="4" w:space="0" w:color="auto"/>
                    <w:right w:val="nil"/>
                  </w:tcBorders>
                  <w:vAlign w:val="center"/>
                </w:tcPr>
                <w:p w14:paraId="3BCFB926" w14:textId="77777777" w:rsidR="00FE1DB8" w:rsidRPr="00075AF1" w:rsidRDefault="00FE1DB8" w:rsidP="00900E75">
                  <w:pPr>
                    <w:jc w:val="center"/>
                    <w:rPr>
                      <w:rFonts w:ascii="Courier New" w:hAnsi="Courier New"/>
                      <w:rtl/>
                    </w:rPr>
                  </w:pPr>
                  <w:r w:rsidRPr="00075AF1">
                    <w:rPr>
                      <w:noProof/>
                    </w:rPr>
                    <w:drawing>
                      <wp:inline distT="0" distB="0" distL="0" distR="0" wp14:anchorId="35C2548B" wp14:editId="7B3235EE">
                        <wp:extent cx="1280160" cy="686695"/>
                        <wp:effectExtent l="0" t="0" r="0" b="0"/>
                        <wp:docPr id="3" name="תמונה 3"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FE1DB8" w:rsidRPr="00075AF1" w14:paraId="4C10FFF2" w14:textId="77777777" w:rsidTr="003512F1">
              <w:trPr>
                <w:trHeight w:val="454"/>
              </w:trPr>
              <w:tc>
                <w:tcPr>
                  <w:tcW w:w="2551" w:type="dxa"/>
                  <w:tcBorders>
                    <w:top w:val="single" w:sz="4" w:space="0" w:color="auto"/>
                    <w:left w:val="nil"/>
                    <w:bottom w:val="nil"/>
                    <w:right w:val="nil"/>
                  </w:tcBorders>
                  <w:vAlign w:val="center"/>
                </w:tcPr>
                <w:p w14:paraId="0AB2A5CC" w14:textId="77777777" w:rsidR="00FE1DB8" w:rsidRPr="00075AF1" w:rsidRDefault="00FE1DB8" w:rsidP="00E70E12">
                  <w:pPr>
                    <w:pStyle w:val="31"/>
                    <w:spacing w:line="240" w:lineRule="auto"/>
                    <w:jc w:val="center"/>
                    <w:rPr>
                      <w:rFonts w:cs="FrankRuehl"/>
                      <w:b w:val="0"/>
                      <w:bCs w:val="0"/>
                      <w:spacing w:val="10"/>
                      <w:sz w:val="28"/>
                      <w:szCs w:val="28"/>
                      <w:rtl/>
                    </w:rPr>
                  </w:pPr>
                  <w:r w:rsidRPr="00075AF1">
                    <w:rPr>
                      <w:rFonts w:cs="FrankRuehl" w:hint="cs"/>
                      <w:b w:val="0"/>
                      <w:bCs w:val="0"/>
                      <w:spacing w:val="10"/>
                      <w:sz w:val="28"/>
                      <w:szCs w:val="28"/>
                      <w:rtl/>
                    </w:rPr>
                    <w:t xml:space="preserve">דפנה ברק-ארז </w:t>
                  </w:r>
                </w:p>
                <w:p w14:paraId="028F3C82" w14:textId="77777777" w:rsidR="00FE1DB8" w:rsidRPr="00075AF1" w:rsidRDefault="00FE1DB8" w:rsidP="00900E75">
                  <w:pPr>
                    <w:pStyle w:val="31"/>
                    <w:spacing w:line="240" w:lineRule="auto"/>
                    <w:jc w:val="center"/>
                    <w:rPr>
                      <w:rFonts w:cs="FrankRuehl"/>
                      <w:b w:val="0"/>
                      <w:bCs w:val="0"/>
                      <w:spacing w:val="10"/>
                      <w:sz w:val="28"/>
                      <w:szCs w:val="28"/>
                      <w:rtl/>
                    </w:rPr>
                  </w:pPr>
                  <w:r w:rsidRPr="00075AF1">
                    <w:rPr>
                      <w:rFonts w:cs="FrankRuehl"/>
                      <w:b w:val="0"/>
                      <w:bCs w:val="0"/>
                      <w:spacing w:val="10"/>
                      <w:sz w:val="28"/>
                      <w:szCs w:val="28"/>
                      <w:rtl/>
                    </w:rPr>
                    <w:t>שופטת</w:t>
                  </w:r>
                </w:p>
              </w:tc>
            </w:tr>
          </w:tbl>
          <w:p w14:paraId="4337D403" w14:textId="77777777" w:rsidR="00FE1DB8" w:rsidRDefault="00FE1DB8" w:rsidP="005E2F72">
            <w:pPr>
              <w:rPr>
                <w:rtl/>
              </w:rPr>
            </w:pPr>
          </w:p>
          <w:p w14:paraId="4FCD538D" w14:textId="77777777" w:rsidR="00A402F3" w:rsidRDefault="00A402F3" w:rsidP="005E2F72">
            <w:pPr>
              <w:rPr>
                <w:rtl/>
              </w:rPr>
            </w:pPr>
          </w:p>
          <w:p w14:paraId="130B279C" w14:textId="77777777" w:rsidR="00A402F3" w:rsidRPr="00D26B63" w:rsidRDefault="00A402F3" w:rsidP="006B7F78">
            <w:pPr>
              <w:spacing w:line="360" w:lineRule="auto"/>
              <w:jc w:val="center"/>
              <w:rPr>
                <w:rFonts w:ascii="FrankRuehl" w:hAnsi="FrankRuehl" w:cs="FrankRuehl"/>
                <w:spacing w:val="10"/>
                <w:sz w:val="28"/>
                <w:szCs w:val="28"/>
                <w:rtl/>
              </w:rPr>
            </w:pPr>
          </w:p>
        </w:tc>
        <w:tc>
          <w:tcPr>
            <w:tcW w:w="2755"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9"/>
            </w:tblGrid>
            <w:tr w:rsidR="00FE1DB8" w:rsidRPr="007363E6" w14:paraId="1C02B759" w14:textId="77777777" w:rsidTr="00F74379">
              <w:trPr>
                <w:trHeight w:val="1247"/>
              </w:trPr>
              <w:tc>
                <w:tcPr>
                  <w:tcW w:w="2551" w:type="dxa"/>
                  <w:tcBorders>
                    <w:top w:val="nil"/>
                    <w:left w:val="nil"/>
                    <w:bottom w:val="single" w:sz="4" w:space="0" w:color="auto"/>
                    <w:right w:val="nil"/>
                  </w:tcBorders>
                  <w:vAlign w:val="center"/>
                </w:tcPr>
                <w:p w14:paraId="2DFB47EA" w14:textId="77777777" w:rsidR="00FE1DB8" w:rsidRPr="007363E6" w:rsidRDefault="00FE1DB8" w:rsidP="00F74379">
                  <w:pPr>
                    <w:jc w:val="center"/>
                    <w:rPr>
                      <w:rFonts w:ascii="Courier New" w:hAnsi="Courier New"/>
                      <w:rtl/>
                    </w:rPr>
                  </w:pPr>
                  <w:r w:rsidRPr="007363E6">
                    <w:rPr>
                      <w:noProof/>
                    </w:rPr>
                    <w:drawing>
                      <wp:inline distT="0" distB="0" distL="0" distR="0" wp14:anchorId="504BD8B5" wp14:editId="08C56B4D">
                        <wp:extent cx="1171575" cy="765175"/>
                        <wp:effectExtent l="0" t="0" r="9525" b="0"/>
                        <wp:docPr id="4" name="תמונה 4"/>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0"/>
                                <a:stretch>
                                  <a:fillRect/>
                                </a:stretch>
                              </pic:blipFill>
                              <pic:spPr>
                                <a:xfrm>
                                  <a:off x="0" y="0"/>
                                  <a:ext cx="1171575" cy="765175"/>
                                </a:xfrm>
                                <a:prstGeom prst="rect">
                                  <a:avLst/>
                                </a:prstGeom>
                              </pic:spPr>
                            </pic:pic>
                          </a:graphicData>
                        </a:graphic>
                      </wp:inline>
                    </w:drawing>
                  </w:r>
                </w:p>
              </w:tc>
            </w:tr>
            <w:tr w:rsidR="00FE1DB8" w:rsidRPr="007363E6" w14:paraId="501D94E5" w14:textId="77777777" w:rsidTr="00F74379">
              <w:trPr>
                <w:trHeight w:val="454"/>
              </w:trPr>
              <w:tc>
                <w:tcPr>
                  <w:tcW w:w="2551" w:type="dxa"/>
                  <w:tcBorders>
                    <w:top w:val="single" w:sz="4" w:space="0" w:color="auto"/>
                    <w:left w:val="nil"/>
                    <w:bottom w:val="nil"/>
                    <w:right w:val="nil"/>
                  </w:tcBorders>
                  <w:vAlign w:val="center"/>
                </w:tcPr>
                <w:p w14:paraId="2F4094EB" w14:textId="77777777" w:rsidR="00FE1DB8" w:rsidRPr="007363E6" w:rsidRDefault="00FE1DB8" w:rsidP="00E13087">
                  <w:pPr>
                    <w:pStyle w:val="31"/>
                    <w:spacing w:line="240" w:lineRule="auto"/>
                    <w:jc w:val="center"/>
                    <w:rPr>
                      <w:rFonts w:cs="FrankRuehl"/>
                      <w:b w:val="0"/>
                      <w:bCs w:val="0"/>
                      <w:spacing w:val="10"/>
                      <w:sz w:val="28"/>
                      <w:szCs w:val="28"/>
                      <w:rtl/>
                    </w:rPr>
                  </w:pPr>
                  <w:r w:rsidRPr="007363E6">
                    <w:rPr>
                      <w:rFonts w:cs="FrankRuehl" w:hint="cs"/>
                      <w:b w:val="0"/>
                      <w:bCs w:val="0"/>
                      <w:spacing w:val="10"/>
                      <w:sz w:val="28"/>
                      <w:szCs w:val="28"/>
                      <w:rtl/>
                    </w:rPr>
                    <w:t xml:space="preserve">דוד מינץ </w:t>
                  </w:r>
                </w:p>
                <w:p w14:paraId="5B9DCF11" w14:textId="77777777" w:rsidR="00FE1DB8" w:rsidRPr="007363E6" w:rsidRDefault="00FE1DB8" w:rsidP="00E13087">
                  <w:pPr>
                    <w:pStyle w:val="31"/>
                    <w:spacing w:line="240" w:lineRule="auto"/>
                    <w:jc w:val="center"/>
                    <w:rPr>
                      <w:rFonts w:cs="FrankRuehl"/>
                      <w:b w:val="0"/>
                      <w:bCs w:val="0"/>
                      <w:spacing w:val="10"/>
                      <w:sz w:val="28"/>
                      <w:szCs w:val="28"/>
                      <w:rtl/>
                    </w:rPr>
                  </w:pPr>
                  <w:r w:rsidRPr="007363E6">
                    <w:rPr>
                      <w:rFonts w:cs="FrankRuehl" w:hint="cs"/>
                      <w:b w:val="0"/>
                      <w:bCs w:val="0"/>
                      <w:spacing w:val="10"/>
                      <w:sz w:val="28"/>
                      <w:szCs w:val="28"/>
                      <w:rtl/>
                    </w:rPr>
                    <w:t>שופט</w:t>
                  </w:r>
                </w:p>
              </w:tc>
            </w:tr>
          </w:tbl>
          <w:p w14:paraId="19E5E73E" w14:textId="77777777" w:rsidR="00FE1DB8" w:rsidRDefault="00FE1DB8" w:rsidP="0036309B">
            <w:pPr>
              <w:rPr>
                <w:rtl/>
              </w:rPr>
            </w:pPr>
          </w:p>
          <w:p w14:paraId="23E4E508" w14:textId="77777777" w:rsidR="00A402F3" w:rsidRDefault="00A402F3" w:rsidP="0036309B">
            <w:pPr>
              <w:rPr>
                <w:rtl/>
              </w:rPr>
            </w:pPr>
          </w:p>
          <w:p w14:paraId="1F331D87" w14:textId="77777777" w:rsidR="00A402F3" w:rsidRDefault="00A402F3" w:rsidP="006B7F78">
            <w:pPr>
              <w:spacing w:line="360" w:lineRule="auto"/>
              <w:jc w:val="center"/>
              <w:rPr>
                <w:rFonts w:ascii="FrankRuehl" w:hAnsi="FrankRuehl" w:cs="FrankRuehl"/>
                <w:spacing w:val="10"/>
                <w:sz w:val="28"/>
                <w:szCs w:val="28"/>
                <w:rtl/>
              </w:rPr>
            </w:pPr>
          </w:p>
        </w:tc>
      </w:tr>
      <w:tr w:rsidR="008A481A" w14:paraId="68402C0D" w14:textId="77777777" w:rsidTr="00A402F3">
        <w:trPr>
          <w:jc w:val="center"/>
        </w:trPr>
        <w:tc>
          <w:tcPr>
            <w:tcW w:w="279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E1DB8" w:rsidRPr="00902600" w14:paraId="48A8F124" w14:textId="77777777" w:rsidTr="004C1BF8">
              <w:trPr>
                <w:trHeight w:val="1247"/>
              </w:trPr>
              <w:tc>
                <w:tcPr>
                  <w:tcW w:w="2551" w:type="dxa"/>
                  <w:tcBorders>
                    <w:top w:val="nil"/>
                    <w:left w:val="nil"/>
                    <w:bottom w:val="single" w:sz="4" w:space="0" w:color="auto"/>
                    <w:right w:val="nil"/>
                  </w:tcBorders>
                  <w:vAlign w:val="center"/>
                </w:tcPr>
                <w:p w14:paraId="3BE12DDB" w14:textId="77777777" w:rsidR="00FE1DB8" w:rsidRPr="00902600" w:rsidRDefault="00FE1DB8" w:rsidP="004C1BF8">
                  <w:pPr>
                    <w:jc w:val="center"/>
                    <w:rPr>
                      <w:rFonts w:ascii="Courier New" w:hAnsi="Courier New"/>
                    </w:rPr>
                  </w:pPr>
                  <w:r w:rsidRPr="00902600">
                    <w:rPr>
                      <w:rFonts w:ascii="Courier New" w:hAnsi="Courier New"/>
                      <w:noProof/>
                    </w:rPr>
                    <w:drawing>
                      <wp:inline distT="0" distB="0" distL="0" distR="0" wp14:anchorId="18B230C2" wp14:editId="07053668">
                        <wp:extent cx="898497" cy="743157"/>
                        <wp:effectExtent l="0" t="0" r="0" b="0"/>
                        <wp:docPr id="5"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00FE1DB8" w:rsidRPr="00902600" w14:paraId="655F7D7B" w14:textId="77777777" w:rsidTr="004C1BF8">
              <w:trPr>
                <w:trHeight w:val="454"/>
              </w:trPr>
              <w:tc>
                <w:tcPr>
                  <w:tcW w:w="2551" w:type="dxa"/>
                  <w:tcBorders>
                    <w:top w:val="single" w:sz="4" w:space="0" w:color="auto"/>
                    <w:left w:val="nil"/>
                    <w:bottom w:val="nil"/>
                    <w:right w:val="nil"/>
                  </w:tcBorders>
                  <w:vAlign w:val="center"/>
                </w:tcPr>
                <w:p w14:paraId="1437CFF7" w14:textId="77777777" w:rsidR="00FE1DB8" w:rsidRPr="00902600" w:rsidRDefault="00FE1DB8" w:rsidP="00AF6F94">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14:paraId="3C32010F" w14:textId="77777777" w:rsidR="00FE1DB8" w:rsidRPr="00902600" w:rsidRDefault="00FE1DB8" w:rsidP="00AF6F94">
                  <w:pPr>
                    <w:jc w:val="center"/>
                    <w:rPr>
                      <w:rFonts w:ascii="Courier New" w:hAnsi="Courier New"/>
                    </w:rPr>
                  </w:pPr>
                  <w:r w:rsidRPr="00902600">
                    <w:rPr>
                      <w:rFonts w:ascii="FrankRuehl" w:hAnsi="FrankRuehl" w:cs="FrankRuehl"/>
                      <w:spacing w:val="10"/>
                      <w:sz w:val="28"/>
                      <w:szCs w:val="28"/>
                      <w:rtl/>
                    </w:rPr>
                    <w:t>שופטת</w:t>
                  </w:r>
                </w:p>
              </w:tc>
            </w:tr>
          </w:tbl>
          <w:p w14:paraId="1B5DBA24" w14:textId="77777777" w:rsidR="00FE1DB8" w:rsidRPr="00902600" w:rsidRDefault="00FE1DB8"/>
          <w:p w14:paraId="75BAC47A" w14:textId="77777777" w:rsidR="00A402F3" w:rsidRPr="00902600" w:rsidRDefault="00A402F3">
            <w:pPr>
              <w:rPr>
                <w:rtl/>
              </w:rPr>
            </w:pPr>
          </w:p>
          <w:p w14:paraId="19106E84" w14:textId="77777777" w:rsidR="008A481A" w:rsidRPr="00D26B63" w:rsidRDefault="008A481A" w:rsidP="00A402F3">
            <w:pPr>
              <w:spacing w:line="360" w:lineRule="auto"/>
              <w:rPr>
                <w:rFonts w:ascii="FrankRuehl" w:hAnsi="FrankRuehl" w:cs="FrankRuehl"/>
                <w:spacing w:val="10"/>
                <w:sz w:val="28"/>
                <w:szCs w:val="28"/>
                <w:rtl/>
              </w:rPr>
            </w:pPr>
          </w:p>
        </w:tc>
        <w:tc>
          <w:tcPr>
            <w:tcW w:w="2758"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2"/>
            </w:tblGrid>
            <w:tr w:rsidR="00FE1DB8" w:rsidRPr="006F3A20" w14:paraId="283FE688" w14:textId="77777777" w:rsidTr="00F569D6">
              <w:trPr>
                <w:trHeight w:val="1247"/>
              </w:trPr>
              <w:tc>
                <w:tcPr>
                  <w:tcW w:w="2551" w:type="dxa"/>
                  <w:tcBorders>
                    <w:bottom w:val="single" w:sz="4" w:space="0" w:color="auto"/>
                  </w:tcBorders>
                  <w:vAlign w:val="center"/>
                </w:tcPr>
                <w:p w14:paraId="266C6A8A" w14:textId="77777777" w:rsidR="00FE1DB8" w:rsidRPr="006F3A20" w:rsidRDefault="00FE1DB8" w:rsidP="00F569D6">
                  <w:pPr>
                    <w:jc w:val="center"/>
                    <w:rPr>
                      <w:rFonts w:ascii="Courier New" w:hAnsi="Courier New"/>
                      <w:sz w:val="20"/>
                      <w:szCs w:val="20"/>
                      <w:rtl/>
                    </w:rPr>
                  </w:pPr>
                  <w:r w:rsidRPr="00F569D6">
                    <w:rPr>
                      <w:rFonts w:ascii="Courier New" w:hAnsi="Courier New"/>
                      <w:noProof/>
                      <w:sz w:val="20"/>
                      <w:szCs w:val="20"/>
                      <w:rtl/>
                    </w:rPr>
                    <w:drawing>
                      <wp:inline distT="0" distB="0" distL="0" distR="0" wp14:anchorId="6E04E289" wp14:editId="4C7388CC">
                        <wp:extent cx="1036955" cy="607060"/>
                        <wp:effectExtent l="0" t="0" r="0" b="2540"/>
                        <wp:docPr id="6" name="תמונה 6" descr="\\ctlnfsv02\Doc_repository\JudgesSignatures\05042006\עופר גרוסקופף.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lnfsv02\Doc_repository\JudgesSignatures\05042006\עופר גרוסקופף.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955" cy="607060"/>
                                </a:xfrm>
                                <a:prstGeom prst="rect">
                                  <a:avLst/>
                                </a:prstGeom>
                                <a:noFill/>
                                <a:ln>
                                  <a:noFill/>
                                </a:ln>
                              </pic:spPr>
                            </pic:pic>
                          </a:graphicData>
                        </a:graphic>
                      </wp:inline>
                    </w:drawing>
                  </w:r>
                </w:p>
              </w:tc>
            </w:tr>
            <w:tr w:rsidR="00FE1DB8" w:rsidRPr="006F3A20" w14:paraId="7372C58D" w14:textId="77777777" w:rsidTr="000002AC">
              <w:trPr>
                <w:trHeight w:val="454"/>
              </w:trPr>
              <w:tc>
                <w:tcPr>
                  <w:tcW w:w="2551" w:type="dxa"/>
                  <w:tcBorders>
                    <w:top w:val="single" w:sz="4" w:space="0" w:color="auto"/>
                  </w:tcBorders>
                </w:tcPr>
                <w:p w14:paraId="367BC44D" w14:textId="77777777" w:rsidR="00FE1DB8" w:rsidRPr="006F3A20" w:rsidRDefault="00FE1DB8">
                  <w:pPr>
                    <w:jc w:val="center"/>
                    <w:rPr>
                      <w:rFonts w:ascii="FrankRuehl" w:hAnsi="FrankRuehl" w:cs="FrankRuehl"/>
                      <w:spacing w:val="10"/>
                      <w:sz w:val="28"/>
                      <w:szCs w:val="28"/>
                      <w:rtl/>
                    </w:rPr>
                  </w:pPr>
                  <w:r>
                    <w:rPr>
                      <w:rFonts w:ascii="FrankRuehl" w:hAnsi="FrankRuehl" w:cs="FrankRuehl"/>
                      <w:spacing w:val="10"/>
                      <w:sz w:val="28"/>
                      <w:szCs w:val="28"/>
                      <w:rtl/>
                    </w:rPr>
                    <w:t>עופר גרוסקופף</w:t>
                  </w:r>
                </w:p>
                <w:p w14:paraId="45269018" w14:textId="77777777" w:rsidR="00FE1DB8" w:rsidRPr="006F3A20" w:rsidRDefault="00FE1DB8">
                  <w:pPr>
                    <w:jc w:val="center"/>
                    <w:rPr>
                      <w:rFonts w:ascii="FrankRuehl" w:hAnsi="FrankRuehl" w:cs="FrankRuehl"/>
                      <w:spacing w:val="10"/>
                      <w:sz w:val="28"/>
                      <w:szCs w:val="28"/>
                      <w:rtl/>
                    </w:rPr>
                  </w:pPr>
                  <w:r w:rsidRPr="006F3A20">
                    <w:rPr>
                      <w:rFonts w:ascii="FrankRuehl" w:hAnsi="FrankRuehl" w:cs="FrankRuehl"/>
                      <w:spacing w:val="10"/>
                      <w:sz w:val="28"/>
                      <w:szCs w:val="28"/>
                      <w:rtl/>
                    </w:rPr>
                    <w:t>שופט</w:t>
                  </w:r>
                </w:p>
              </w:tc>
            </w:tr>
          </w:tbl>
          <w:p w14:paraId="1511B473" w14:textId="77777777" w:rsidR="00FE1DB8" w:rsidRPr="006F3A20" w:rsidRDefault="00FE1DB8" w:rsidP="004527DB"/>
          <w:p w14:paraId="63446DED" w14:textId="77777777" w:rsidR="008A481A" w:rsidRPr="00D26B63" w:rsidRDefault="008A481A" w:rsidP="00FE1DB8">
            <w:pPr>
              <w:rPr>
                <w:rFonts w:ascii="FrankRuehl" w:hAnsi="FrankRuehl" w:cs="FrankRuehl"/>
                <w:spacing w:val="10"/>
                <w:sz w:val="28"/>
                <w:szCs w:val="28"/>
                <w:rtl/>
              </w:rPr>
            </w:pPr>
          </w:p>
        </w:tc>
        <w:tc>
          <w:tcPr>
            <w:tcW w:w="2755" w:type="dxa"/>
          </w:tcPr>
          <w:p w14:paraId="533A083F" w14:textId="77777777" w:rsidR="00A402F3" w:rsidRDefault="00A402F3" w:rsidP="0036309B">
            <w:pPr>
              <w:rPr>
                <w:rtl/>
              </w:rPr>
            </w:pPr>
          </w:p>
          <w:p w14:paraId="745B28FB" w14:textId="77777777" w:rsidR="008A481A" w:rsidRDefault="008A481A" w:rsidP="008A481A">
            <w:pPr>
              <w:spacing w:line="360" w:lineRule="auto"/>
              <w:jc w:val="center"/>
              <w:rPr>
                <w:rFonts w:ascii="FrankRuehl" w:hAnsi="FrankRuehl" w:cs="FrankRuehl"/>
                <w:spacing w:val="10"/>
                <w:sz w:val="28"/>
                <w:szCs w:val="28"/>
                <w:rtl/>
              </w:rPr>
            </w:pPr>
          </w:p>
        </w:tc>
      </w:tr>
    </w:tbl>
    <w:p w14:paraId="00E6ED21" w14:textId="77777777" w:rsidR="00A402F3" w:rsidRPr="00C615AB" w:rsidRDefault="00A402F3" w:rsidP="00A402F3">
      <w:pPr>
        <w:spacing w:line="360" w:lineRule="auto"/>
        <w:jc w:val="both"/>
        <w:rPr>
          <w:rFonts w:ascii="FrankRuehl" w:hAnsi="FrankRuehl" w:cs="FrankRuehl"/>
          <w:spacing w:val="10"/>
          <w:sz w:val="28"/>
          <w:szCs w:val="28"/>
          <w:rtl/>
        </w:rPr>
      </w:pPr>
    </w:p>
    <w:p w14:paraId="3623CEE0" w14:textId="77777777" w:rsidR="00694556" w:rsidRPr="00105E0F" w:rsidRDefault="00BD6531" w:rsidP="008A481A">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sectPr w:rsidR="00694556" w:rsidRPr="00105E0F" w:rsidSect="00B01789">
      <w:headerReference w:type="even" r:id="rId13"/>
      <w:headerReference w:type="default" r:id="rId14"/>
      <w:footerReference w:type="even" r:id="rId15"/>
      <w:footerReference w:type="default" r:id="rId16"/>
      <w:headerReference w:type="first" r:id="rId17"/>
      <w:footerReference w:type="first" r:id="rId18"/>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38A5" w14:textId="77777777" w:rsidR="00694556" w:rsidRDefault="00005C8B">
      <w:r>
        <w:separator/>
      </w:r>
    </w:p>
  </w:endnote>
  <w:endnote w:type="continuationSeparator" w:id="0">
    <w:p w14:paraId="496734C4" w14:textId="77777777"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870F" w14:textId="77777777" w:rsidR="008B3EAB" w:rsidRDefault="008B3E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1FD8" w14:textId="77777777" w:rsidR="008B3EAB" w:rsidRDefault="008B3E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EABE" w14:textId="77777777" w:rsidR="008B3EAB" w:rsidRDefault="008B3E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72FD" w14:textId="77777777" w:rsidR="00694556" w:rsidRDefault="00005C8B">
      <w:r>
        <w:separator/>
      </w:r>
    </w:p>
  </w:footnote>
  <w:footnote w:type="continuationSeparator" w:id="0">
    <w:p w14:paraId="74B85E33" w14:textId="77777777"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E6BF" w14:textId="77777777" w:rsidR="008B3EAB" w:rsidRDefault="008B3EA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4856615"/>
      <w:docPartObj>
        <w:docPartGallery w:val="Page Numbers (Top of Page)"/>
        <w:docPartUnique/>
      </w:docPartObj>
    </w:sdtPr>
    <w:sdtEndPr>
      <w:rPr>
        <w:cs/>
      </w:rPr>
    </w:sdtEndPr>
    <w:sdtContent>
      <w:p w14:paraId="3ACCAB49" w14:textId="77777777" w:rsidR="00B01789" w:rsidRDefault="00B01789">
        <w:pPr>
          <w:pStyle w:val="a5"/>
          <w:jc w:val="center"/>
          <w:rPr>
            <w:rtl/>
            <w:cs/>
          </w:rPr>
        </w:pPr>
        <w:r>
          <w:fldChar w:fldCharType="begin"/>
        </w:r>
        <w:r>
          <w:rPr>
            <w:rtl/>
            <w:cs/>
          </w:rPr>
          <w:instrText>PAGE   \* MERGEFORMAT</w:instrText>
        </w:r>
        <w:r>
          <w:fldChar w:fldCharType="separate"/>
        </w:r>
        <w:r w:rsidR="008B3EAB" w:rsidRPr="008B3EAB">
          <w:rPr>
            <w:noProof/>
            <w:rtl/>
            <w:lang w:val="he-IL"/>
          </w:rPr>
          <w:t>2</w:t>
        </w:r>
        <w:r w:rsidR="008B3EAB" w:rsidRPr="008B3EAB">
          <w:rPr>
            <w:noProof/>
            <w:rtl/>
            <w:lang w:val="he-IL"/>
          </w:rPr>
          <w:t>8</w:t>
        </w:r>
        <w:r>
          <w:fldChar w:fldCharType="end"/>
        </w:r>
      </w:p>
    </w:sdtContent>
  </w:sdt>
  <w:p w14:paraId="58D3E756" w14:textId="77777777" w:rsidR="00694556" w:rsidRDefault="00694556" w:rsidP="00860920">
    <w:pP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4E10" w14:textId="77777777" w:rsidR="00B01789" w:rsidRDefault="00B01789" w:rsidP="00B01789">
    <w:pPr>
      <w:pStyle w:val="a5"/>
      <w:jc w:val="center"/>
    </w:pPr>
    <w:r>
      <w:rPr>
        <w:noProof/>
      </w:rPr>
      <w:drawing>
        <wp:inline distT="0" distB="0" distL="0" distR="0" wp14:anchorId="70714E14" wp14:editId="45CD4E5A">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74CF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0CEFF4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BECF0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DE654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E80B68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2DE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0F20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871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249D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B4C577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7B387884"/>
    <w:lvl w:ilvl="0" w:tplc="BC2A4AB0">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webHidden w:val="0"/>
        <w:color w:val="auto"/>
        <w:spacing w:val="10"/>
        <w:w w:val="100"/>
        <w:kern w:val="0"/>
        <w:position w:val="0"/>
        <w:sz w:val="22"/>
        <w:szCs w:val="28"/>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5679779">
    <w:abstractNumId w:val="8"/>
  </w:num>
  <w:num w:numId="2" w16cid:durableId="1614902241">
    <w:abstractNumId w:val="3"/>
  </w:num>
  <w:num w:numId="3" w16cid:durableId="2139759529">
    <w:abstractNumId w:val="2"/>
  </w:num>
  <w:num w:numId="4" w16cid:durableId="627006331">
    <w:abstractNumId w:val="1"/>
  </w:num>
  <w:num w:numId="5" w16cid:durableId="1683049828">
    <w:abstractNumId w:val="0"/>
  </w:num>
  <w:num w:numId="6" w16cid:durableId="814494573">
    <w:abstractNumId w:val="9"/>
  </w:num>
  <w:num w:numId="7" w16cid:durableId="2089228487">
    <w:abstractNumId w:val="7"/>
  </w:num>
  <w:num w:numId="8" w16cid:durableId="973945902">
    <w:abstractNumId w:val="6"/>
  </w:num>
  <w:num w:numId="9" w16cid:durableId="464007207">
    <w:abstractNumId w:val="5"/>
  </w:num>
  <w:num w:numId="10" w16cid:durableId="1550994954">
    <w:abstractNumId w:val="4"/>
  </w:num>
  <w:num w:numId="11" w16cid:durableId="1723211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529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07DE0"/>
    <w:rsid w:val="000346CC"/>
    <w:rsid w:val="000529D2"/>
    <w:rsid w:val="000564AB"/>
    <w:rsid w:val="00064FBD"/>
    <w:rsid w:val="00082AB2"/>
    <w:rsid w:val="000906FE"/>
    <w:rsid w:val="00096AF7"/>
    <w:rsid w:val="000B344B"/>
    <w:rsid w:val="000C3B0F"/>
    <w:rsid w:val="000C3B60"/>
    <w:rsid w:val="000C7050"/>
    <w:rsid w:val="000D7E31"/>
    <w:rsid w:val="000E0DD2"/>
    <w:rsid w:val="000E12EA"/>
    <w:rsid w:val="000E3AF1"/>
    <w:rsid w:val="000F0BC8"/>
    <w:rsid w:val="000F0DD6"/>
    <w:rsid w:val="00103959"/>
    <w:rsid w:val="00105E0F"/>
    <w:rsid w:val="00107E6D"/>
    <w:rsid w:val="0011194C"/>
    <w:rsid w:val="0011424C"/>
    <w:rsid w:val="001173C6"/>
    <w:rsid w:val="0012190F"/>
    <w:rsid w:val="001367BC"/>
    <w:rsid w:val="00144D2A"/>
    <w:rsid w:val="0014653E"/>
    <w:rsid w:val="00180519"/>
    <w:rsid w:val="00191C82"/>
    <w:rsid w:val="001B30C3"/>
    <w:rsid w:val="001C4003"/>
    <w:rsid w:val="001C6EEC"/>
    <w:rsid w:val="001D4DBF"/>
    <w:rsid w:val="001E75CA"/>
    <w:rsid w:val="002265FF"/>
    <w:rsid w:val="00235B97"/>
    <w:rsid w:val="00271B56"/>
    <w:rsid w:val="00295CCA"/>
    <w:rsid w:val="002C344E"/>
    <w:rsid w:val="002C53BA"/>
    <w:rsid w:val="002E75E9"/>
    <w:rsid w:val="002F0B1E"/>
    <w:rsid w:val="002F2D22"/>
    <w:rsid w:val="00307A6A"/>
    <w:rsid w:val="00307C40"/>
    <w:rsid w:val="00320433"/>
    <w:rsid w:val="003230C7"/>
    <w:rsid w:val="00327E50"/>
    <w:rsid w:val="0033597A"/>
    <w:rsid w:val="00343D89"/>
    <w:rsid w:val="00362612"/>
    <w:rsid w:val="0036743F"/>
    <w:rsid w:val="00367B06"/>
    <w:rsid w:val="003711E5"/>
    <w:rsid w:val="003715DD"/>
    <w:rsid w:val="003823E0"/>
    <w:rsid w:val="00397836"/>
    <w:rsid w:val="003A4521"/>
    <w:rsid w:val="003B3E8D"/>
    <w:rsid w:val="003D1C8C"/>
    <w:rsid w:val="003F5E93"/>
    <w:rsid w:val="003F781C"/>
    <w:rsid w:val="0040096C"/>
    <w:rsid w:val="00411FCE"/>
    <w:rsid w:val="00414F1F"/>
    <w:rsid w:val="004240D5"/>
    <w:rsid w:val="0043125D"/>
    <w:rsid w:val="0043502B"/>
    <w:rsid w:val="004443AC"/>
    <w:rsid w:val="00444B02"/>
    <w:rsid w:val="00451E28"/>
    <w:rsid w:val="00462C62"/>
    <w:rsid w:val="00465D36"/>
    <w:rsid w:val="004974A6"/>
    <w:rsid w:val="004B3A40"/>
    <w:rsid w:val="004C17EE"/>
    <w:rsid w:val="004C4BDF"/>
    <w:rsid w:val="004D1187"/>
    <w:rsid w:val="004D3AA0"/>
    <w:rsid w:val="004D511C"/>
    <w:rsid w:val="004E1987"/>
    <w:rsid w:val="004E2347"/>
    <w:rsid w:val="004E2E15"/>
    <w:rsid w:val="004E6E3C"/>
    <w:rsid w:val="00511B90"/>
    <w:rsid w:val="00517911"/>
    <w:rsid w:val="00520898"/>
    <w:rsid w:val="00523621"/>
    <w:rsid w:val="00524986"/>
    <w:rsid w:val="0052547C"/>
    <w:rsid w:val="005268F6"/>
    <w:rsid w:val="00534284"/>
    <w:rsid w:val="00547DB7"/>
    <w:rsid w:val="00562D52"/>
    <w:rsid w:val="005777A3"/>
    <w:rsid w:val="005B066A"/>
    <w:rsid w:val="005C0627"/>
    <w:rsid w:val="005D7C4B"/>
    <w:rsid w:val="005F4892"/>
    <w:rsid w:val="005F4F09"/>
    <w:rsid w:val="00613BC3"/>
    <w:rsid w:val="0061431B"/>
    <w:rsid w:val="00620A35"/>
    <w:rsid w:val="00622BAA"/>
    <w:rsid w:val="006306CF"/>
    <w:rsid w:val="006318D8"/>
    <w:rsid w:val="00632E67"/>
    <w:rsid w:val="00644E9A"/>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34689"/>
    <w:rsid w:val="007511C5"/>
    <w:rsid w:val="00753019"/>
    <w:rsid w:val="00754801"/>
    <w:rsid w:val="00761441"/>
    <w:rsid w:val="0077342C"/>
    <w:rsid w:val="00795365"/>
    <w:rsid w:val="007A351D"/>
    <w:rsid w:val="007A75AF"/>
    <w:rsid w:val="007B7765"/>
    <w:rsid w:val="007C5BDD"/>
    <w:rsid w:val="007D45E3"/>
    <w:rsid w:val="007E6115"/>
    <w:rsid w:val="007F1C55"/>
    <w:rsid w:val="007F4609"/>
    <w:rsid w:val="00814468"/>
    <w:rsid w:val="008176A1"/>
    <w:rsid w:val="00820005"/>
    <w:rsid w:val="00841158"/>
    <w:rsid w:val="00844318"/>
    <w:rsid w:val="0085059C"/>
    <w:rsid w:val="00851257"/>
    <w:rsid w:val="00860920"/>
    <w:rsid w:val="00863F5D"/>
    <w:rsid w:val="00870890"/>
    <w:rsid w:val="00873602"/>
    <w:rsid w:val="00875D12"/>
    <w:rsid w:val="0088479D"/>
    <w:rsid w:val="00891F42"/>
    <w:rsid w:val="00895881"/>
    <w:rsid w:val="00896889"/>
    <w:rsid w:val="008A481A"/>
    <w:rsid w:val="008A59EE"/>
    <w:rsid w:val="008A6E97"/>
    <w:rsid w:val="008B3EAB"/>
    <w:rsid w:val="008C5714"/>
    <w:rsid w:val="008D10B2"/>
    <w:rsid w:val="00903896"/>
    <w:rsid w:val="00906F3D"/>
    <w:rsid w:val="009208FE"/>
    <w:rsid w:val="00931A9D"/>
    <w:rsid w:val="0094424E"/>
    <w:rsid w:val="00955642"/>
    <w:rsid w:val="00960D2B"/>
    <w:rsid w:val="009622DF"/>
    <w:rsid w:val="0096493F"/>
    <w:rsid w:val="00967DFF"/>
    <w:rsid w:val="00981B11"/>
    <w:rsid w:val="00991FC5"/>
    <w:rsid w:val="00994341"/>
    <w:rsid w:val="009D1A48"/>
    <w:rsid w:val="009D426B"/>
    <w:rsid w:val="009E1CE7"/>
    <w:rsid w:val="009E4EA5"/>
    <w:rsid w:val="009F164B"/>
    <w:rsid w:val="009F323C"/>
    <w:rsid w:val="00A131B7"/>
    <w:rsid w:val="00A3392B"/>
    <w:rsid w:val="00A35ADB"/>
    <w:rsid w:val="00A402F3"/>
    <w:rsid w:val="00A81988"/>
    <w:rsid w:val="00A85E34"/>
    <w:rsid w:val="00A87DF6"/>
    <w:rsid w:val="00A9144F"/>
    <w:rsid w:val="00A94B64"/>
    <w:rsid w:val="00AA3229"/>
    <w:rsid w:val="00AA7596"/>
    <w:rsid w:val="00AB5E52"/>
    <w:rsid w:val="00AC3B02"/>
    <w:rsid w:val="00AC3B7B"/>
    <w:rsid w:val="00AC5209"/>
    <w:rsid w:val="00AE0E34"/>
    <w:rsid w:val="00AE3074"/>
    <w:rsid w:val="00AE5390"/>
    <w:rsid w:val="00AE729E"/>
    <w:rsid w:val="00AE7752"/>
    <w:rsid w:val="00AF2178"/>
    <w:rsid w:val="00AF7FDA"/>
    <w:rsid w:val="00B01789"/>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C5A54"/>
    <w:rsid w:val="00BD6531"/>
    <w:rsid w:val="00BE05B2"/>
    <w:rsid w:val="00BF1908"/>
    <w:rsid w:val="00C105F9"/>
    <w:rsid w:val="00C22D93"/>
    <w:rsid w:val="00C23458"/>
    <w:rsid w:val="00C31120"/>
    <w:rsid w:val="00C342E3"/>
    <w:rsid w:val="00C34482"/>
    <w:rsid w:val="00C43648"/>
    <w:rsid w:val="00C50A9F"/>
    <w:rsid w:val="00C55EB3"/>
    <w:rsid w:val="00C615AB"/>
    <w:rsid w:val="00C642FA"/>
    <w:rsid w:val="00CC7622"/>
    <w:rsid w:val="00CD516B"/>
    <w:rsid w:val="00CD608F"/>
    <w:rsid w:val="00CE0084"/>
    <w:rsid w:val="00CF6BB7"/>
    <w:rsid w:val="00D04AA4"/>
    <w:rsid w:val="00D26B63"/>
    <w:rsid w:val="00D27982"/>
    <w:rsid w:val="00D33B86"/>
    <w:rsid w:val="00D44968"/>
    <w:rsid w:val="00D53924"/>
    <w:rsid w:val="00D55D0C"/>
    <w:rsid w:val="00D96D8C"/>
    <w:rsid w:val="00DA6649"/>
    <w:rsid w:val="00DC1259"/>
    <w:rsid w:val="00DC1BD2"/>
    <w:rsid w:val="00DC2571"/>
    <w:rsid w:val="00DC487C"/>
    <w:rsid w:val="00DD4335"/>
    <w:rsid w:val="00DE1E7D"/>
    <w:rsid w:val="00DE627F"/>
    <w:rsid w:val="00DE6BF6"/>
    <w:rsid w:val="00E1068A"/>
    <w:rsid w:val="00E25884"/>
    <w:rsid w:val="00E25B55"/>
    <w:rsid w:val="00E31C2B"/>
    <w:rsid w:val="00E5426A"/>
    <w:rsid w:val="00E54642"/>
    <w:rsid w:val="00E561E8"/>
    <w:rsid w:val="00E80CBE"/>
    <w:rsid w:val="00E9269D"/>
    <w:rsid w:val="00E9345A"/>
    <w:rsid w:val="00E962E3"/>
    <w:rsid w:val="00EA137A"/>
    <w:rsid w:val="00EA608C"/>
    <w:rsid w:val="00EB6C79"/>
    <w:rsid w:val="00EC37E9"/>
    <w:rsid w:val="00EC6ACB"/>
    <w:rsid w:val="00EE5FA0"/>
    <w:rsid w:val="00EE6389"/>
    <w:rsid w:val="00F038D8"/>
    <w:rsid w:val="00F06995"/>
    <w:rsid w:val="00F117C4"/>
    <w:rsid w:val="00F12D66"/>
    <w:rsid w:val="00F1337C"/>
    <w:rsid w:val="00F13623"/>
    <w:rsid w:val="00F221DB"/>
    <w:rsid w:val="00F44D1D"/>
    <w:rsid w:val="00F82B59"/>
    <w:rsid w:val="00F84B6D"/>
    <w:rsid w:val="00F856E6"/>
    <w:rsid w:val="00F957E8"/>
    <w:rsid w:val="00FA20C9"/>
    <w:rsid w:val="00FA311A"/>
    <w:rsid w:val="00FA5FDA"/>
    <w:rsid w:val="00FA7FD0"/>
    <w:rsid w:val="00FB6AB3"/>
    <w:rsid w:val="00FD1419"/>
    <w:rsid w:val="00FD79E4"/>
    <w:rsid w:val="00FE09EC"/>
    <w:rsid w:val="00FE1DB8"/>
    <w:rsid w:val="00FE222A"/>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52929"/>
    <o:shapelayout v:ext="edit">
      <o:idmap v:ext="edit" data="1"/>
    </o:shapelayout>
  </w:shapeDefaults>
  <w:decimalSymbol w:val="."/>
  <w:listSeparator w:val=","/>
  <w14:docId w14:val="6C8CF47A"/>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A402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A402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qFormat/>
    <w:rsid w:val="00A402F3"/>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A402F3"/>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A402F3"/>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A402F3"/>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A402F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A402F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table" w:customStyle="1" w:styleId="12">
    <w:name w:val="רשת טבלה1"/>
    <w:basedOn w:val="a3"/>
    <w:next w:val="ad"/>
    <w:rsid w:val="000D7E3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1"/>
    <w:uiPriority w:val="34"/>
    <w:qFormat/>
    <w:rsid w:val="000D7E31"/>
    <w:pPr>
      <w:ind w:left="720"/>
      <w:contextualSpacing/>
    </w:pPr>
  </w:style>
  <w:style w:type="character" w:customStyle="1" w:styleId="32">
    <w:name w:val="כותרת 3 תו"/>
    <w:basedOn w:val="a2"/>
    <w:link w:val="31"/>
    <w:rsid w:val="00A402F3"/>
    <w:rPr>
      <w:rFonts w:cs="David"/>
      <w:b/>
      <w:bCs/>
      <w:noProof w:val="0"/>
      <w:szCs w:val="24"/>
      <w:lang w:eastAsia="he-IL"/>
    </w:rPr>
  </w:style>
  <w:style w:type="character" w:styleId="FollowedHyperlink">
    <w:name w:val="FollowedHyperlink"/>
    <w:basedOn w:val="a2"/>
    <w:semiHidden/>
    <w:unhideWhenUsed/>
    <w:rsid w:val="00A402F3"/>
    <w:rPr>
      <w:noProof w:val="0"/>
      <w:color w:val="800080" w:themeColor="followedHyperlink"/>
      <w:u w:val="single"/>
    </w:rPr>
  </w:style>
  <w:style w:type="character" w:styleId="HTMLCite">
    <w:name w:val="HTML Cite"/>
    <w:basedOn w:val="a2"/>
    <w:semiHidden/>
    <w:unhideWhenUsed/>
    <w:rsid w:val="00A402F3"/>
    <w:rPr>
      <w:i/>
      <w:iCs/>
      <w:noProof w:val="0"/>
    </w:rPr>
  </w:style>
  <w:style w:type="character" w:styleId="HTMLCode">
    <w:name w:val="HTML Code"/>
    <w:basedOn w:val="a2"/>
    <w:semiHidden/>
    <w:unhideWhenUsed/>
    <w:rsid w:val="00A402F3"/>
    <w:rPr>
      <w:rFonts w:ascii="Consolas" w:hAnsi="Consolas"/>
      <w:noProof w:val="0"/>
      <w:sz w:val="20"/>
      <w:szCs w:val="20"/>
    </w:rPr>
  </w:style>
  <w:style w:type="character" w:styleId="HTMLDefinition">
    <w:name w:val="HTML Definition"/>
    <w:basedOn w:val="a2"/>
    <w:semiHidden/>
    <w:unhideWhenUsed/>
    <w:rsid w:val="00A402F3"/>
    <w:rPr>
      <w:i/>
      <w:iCs/>
      <w:noProof w:val="0"/>
    </w:rPr>
  </w:style>
  <w:style w:type="character" w:styleId="HTMLVariable">
    <w:name w:val="HTML Variable"/>
    <w:basedOn w:val="a2"/>
    <w:semiHidden/>
    <w:unhideWhenUsed/>
    <w:rsid w:val="00A402F3"/>
    <w:rPr>
      <w:i/>
      <w:iCs/>
      <w:noProof w:val="0"/>
    </w:rPr>
  </w:style>
  <w:style w:type="paragraph" w:styleId="HTML">
    <w:name w:val="HTML Preformatted"/>
    <w:basedOn w:val="a1"/>
    <w:link w:val="HTML0"/>
    <w:semiHidden/>
    <w:unhideWhenUsed/>
    <w:rsid w:val="00A402F3"/>
    <w:rPr>
      <w:rFonts w:ascii="Consolas" w:hAnsi="Consolas"/>
      <w:sz w:val="20"/>
      <w:szCs w:val="20"/>
    </w:rPr>
  </w:style>
  <w:style w:type="character" w:customStyle="1" w:styleId="HTML0">
    <w:name w:val="HTML מעוצב מראש תו"/>
    <w:basedOn w:val="a2"/>
    <w:link w:val="HTML"/>
    <w:semiHidden/>
    <w:rsid w:val="00A402F3"/>
    <w:rPr>
      <w:rFonts w:ascii="Consolas" w:hAnsi="Consolas" w:cs="David"/>
      <w:noProof w:val="0"/>
    </w:rPr>
  </w:style>
  <w:style w:type="character" w:styleId="Hyperlink">
    <w:name w:val="Hyperlink"/>
    <w:basedOn w:val="a2"/>
    <w:semiHidden/>
    <w:unhideWhenUsed/>
    <w:rsid w:val="00A402F3"/>
    <w:rPr>
      <w:noProof w:val="0"/>
      <w:color w:val="0000FF" w:themeColor="hyperlink"/>
      <w:u w:val="single"/>
    </w:rPr>
  </w:style>
  <w:style w:type="paragraph" w:styleId="Index1">
    <w:name w:val="index 1"/>
    <w:basedOn w:val="a1"/>
    <w:next w:val="a1"/>
    <w:autoRedefine/>
    <w:semiHidden/>
    <w:unhideWhenUsed/>
    <w:rsid w:val="00A402F3"/>
    <w:pPr>
      <w:ind w:left="240" w:hanging="240"/>
    </w:pPr>
  </w:style>
  <w:style w:type="paragraph" w:styleId="Index2">
    <w:name w:val="index 2"/>
    <w:basedOn w:val="a1"/>
    <w:next w:val="a1"/>
    <w:autoRedefine/>
    <w:semiHidden/>
    <w:unhideWhenUsed/>
    <w:rsid w:val="00A402F3"/>
    <w:pPr>
      <w:ind w:left="480" w:hanging="240"/>
    </w:pPr>
  </w:style>
  <w:style w:type="paragraph" w:styleId="Index3">
    <w:name w:val="index 3"/>
    <w:basedOn w:val="a1"/>
    <w:next w:val="a1"/>
    <w:autoRedefine/>
    <w:semiHidden/>
    <w:unhideWhenUsed/>
    <w:rsid w:val="00A402F3"/>
    <w:pPr>
      <w:ind w:left="720" w:hanging="240"/>
    </w:pPr>
  </w:style>
  <w:style w:type="paragraph" w:styleId="Index4">
    <w:name w:val="index 4"/>
    <w:basedOn w:val="a1"/>
    <w:next w:val="a1"/>
    <w:autoRedefine/>
    <w:semiHidden/>
    <w:unhideWhenUsed/>
    <w:rsid w:val="00A402F3"/>
    <w:pPr>
      <w:ind w:left="960" w:hanging="240"/>
    </w:pPr>
  </w:style>
  <w:style w:type="paragraph" w:styleId="Index5">
    <w:name w:val="index 5"/>
    <w:basedOn w:val="a1"/>
    <w:next w:val="a1"/>
    <w:autoRedefine/>
    <w:semiHidden/>
    <w:unhideWhenUsed/>
    <w:rsid w:val="00A402F3"/>
    <w:pPr>
      <w:ind w:left="1200" w:hanging="240"/>
    </w:pPr>
  </w:style>
  <w:style w:type="paragraph" w:styleId="Index6">
    <w:name w:val="index 6"/>
    <w:basedOn w:val="a1"/>
    <w:next w:val="a1"/>
    <w:autoRedefine/>
    <w:semiHidden/>
    <w:unhideWhenUsed/>
    <w:rsid w:val="00A402F3"/>
    <w:pPr>
      <w:ind w:left="1440" w:hanging="240"/>
    </w:pPr>
  </w:style>
  <w:style w:type="paragraph" w:styleId="Index7">
    <w:name w:val="index 7"/>
    <w:basedOn w:val="a1"/>
    <w:next w:val="a1"/>
    <w:autoRedefine/>
    <w:semiHidden/>
    <w:unhideWhenUsed/>
    <w:rsid w:val="00A402F3"/>
    <w:pPr>
      <w:ind w:left="1680" w:hanging="240"/>
    </w:pPr>
  </w:style>
  <w:style w:type="paragraph" w:styleId="Index8">
    <w:name w:val="index 8"/>
    <w:basedOn w:val="a1"/>
    <w:next w:val="a1"/>
    <w:autoRedefine/>
    <w:semiHidden/>
    <w:unhideWhenUsed/>
    <w:rsid w:val="00A402F3"/>
    <w:pPr>
      <w:ind w:left="1920" w:hanging="240"/>
    </w:pPr>
  </w:style>
  <w:style w:type="paragraph" w:styleId="Index9">
    <w:name w:val="index 9"/>
    <w:basedOn w:val="a1"/>
    <w:next w:val="a1"/>
    <w:autoRedefine/>
    <w:semiHidden/>
    <w:unhideWhenUsed/>
    <w:rsid w:val="00A402F3"/>
    <w:pPr>
      <w:ind w:left="2160" w:hanging="240"/>
    </w:pPr>
  </w:style>
  <w:style w:type="paragraph" w:styleId="NormalWeb">
    <w:name w:val="Normal (Web)"/>
    <w:basedOn w:val="a1"/>
    <w:semiHidden/>
    <w:unhideWhenUsed/>
    <w:rsid w:val="00A402F3"/>
    <w:rPr>
      <w:rFonts w:cs="Times New Roman"/>
    </w:rPr>
  </w:style>
  <w:style w:type="paragraph" w:styleId="TOC1">
    <w:name w:val="toc 1"/>
    <w:basedOn w:val="a1"/>
    <w:next w:val="a1"/>
    <w:autoRedefine/>
    <w:semiHidden/>
    <w:unhideWhenUsed/>
    <w:rsid w:val="00A402F3"/>
    <w:pPr>
      <w:spacing w:after="100"/>
    </w:pPr>
  </w:style>
  <w:style w:type="paragraph" w:styleId="TOC2">
    <w:name w:val="toc 2"/>
    <w:basedOn w:val="a1"/>
    <w:next w:val="a1"/>
    <w:autoRedefine/>
    <w:semiHidden/>
    <w:unhideWhenUsed/>
    <w:rsid w:val="00A402F3"/>
    <w:pPr>
      <w:spacing w:after="100"/>
      <w:ind w:left="240"/>
    </w:pPr>
  </w:style>
  <w:style w:type="paragraph" w:styleId="TOC3">
    <w:name w:val="toc 3"/>
    <w:basedOn w:val="a1"/>
    <w:next w:val="a1"/>
    <w:autoRedefine/>
    <w:semiHidden/>
    <w:unhideWhenUsed/>
    <w:rsid w:val="00A402F3"/>
    <w:pPr>
      <w:spacing w:after="100"/>
      <w:ind w:left="480"/>
    </w:pPr>
  </w:style>
  <w:style w:type="paragraph" w:styleId="TOC4">
    <w:name w:val="toc 4"/>
    <w:basedOn w:val="a1"/>
    <w:next w:val="a1"/>
    <w:autoRedefine/>
    <w:semiHidden/>
    <w:unhideWhenUsed/>
    <w:rsid w:val="00A402F3"/>
    <w:pPr>
      <w:spacing w:after="100"/>
      <w:ind w:left="720"/>
    </w:pPr>
  </w:style>
  <w:style w:type="paragraph" w:styleId="TOC5">
    <w:name w:val="toc 5"/>
    <w:basedOn w:val="a1"/>
    <w:next w:val="a1"/>
    <w:autoRedefine/>
    <w:semiHidden/>
    <w:unhideWhenUsed/>
    <w:rsid w:val="00A402F3"/>
    <w:pPr>
      <w:spacing w:after="100"/>
      <w:ind w:left="960"/>
    </w:pPr>
  </w:style>
  <w:style w:type="paragraph" w:styleId="TOC6">
    <w:name w:val="toc 6"/>
    <w:basedOn w:val="a1"/>
    <w:next w:val="a1"/>
    <w:autoRedefine/>
    <w:semiHidden/>
    <w:unhideWhenUsed/>
    <w:rsid w:val="00A402F3"/>
    <w:pPr>
      <w:spacing w:after="100"/>
      <w:ind w:left="1200"/>
    </w:pPr>
  </w:style>
  <w:style w:type="paragraph" w:styleId="TOC7">
    <w:name w:val="toc 7"/>
    <w:basedOn w:val="a1"/>
    <w:next w:val="a1"/>
    <w:autoRedefine/>
    <w:semiHidden/>
    <w:unhideWhenUsed/>
    <w:rsid w:val="00A402F3"/>
    <w:pPr>
      <w:spacing w:after="100"/>
      <w:ind w:left="1440"/>
    </w:pPr>
  </w:style>
  <w:style w:type="paragraph" w:styleId="TOC8">
    <w:name w:val="toc 8"/>
    <w:basedOn w:val="a1"/>
    <w:next w:val="a1"/>
    <w:autoRedefine/>
    <w:semiHidden/>
    <w:unhideWhenUsed/>
    <w:rsid w:val="00A402F3"/>
    <w:pPr>
      <w:spacing w:after="100"/>
      <w:ind w:left="1680"/>
    </w:pPr>
  </w:style>
  <w:style w:type="paragraph" w:styleId="TOC9">
    <w:name w:val="toc 9"/>
    <w:basedOn w:val="a1"/>
    <w:next w:val="a1"/>
    <w:autoRedefine/>
    <w:semiHidden/>
    <w:unhideWhenUsed/>
    <w:rsid w:val="00A402F3"/>
    <w:pPr>
      <w:spacing w:after="100"/>
      <w:ind w:left="1920"/>
    </w:pPr>
  </w:style>
  <w:style w:type="table" w:styleId="-1">
    <w:name w:val="Table 3D effects 1"/>
    <w:basedOn w:val="a3"/>
    <w:semiHidden/>
    <w:unhideWhenUsed/>
    <w:rsid w:val="00A402F3"/>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A402F3"/>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A402F3"/>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2">
    <w:name w:val="Bibliography"/>
    <w:basedOn w:val="a1"/>
    <w:next w:val="a1"/>
    <w:uiPriority w:val="37"/>
    <w:semiHidden/>
    <w:unhideWhenUsed/>
    <w:rsid w:val="00A402F3"/>
  </w:style>
  <w:style w:type="paragraph" w:styleId="af3">
    <w:name w:val="Salutation"/>
    <w:basedOn w:val="a1"/>
    <w:next w:val="a1"/>
    <w:link w:val="af4"/>
    <w:rsid w:val="00A402F3"/>
  </w:style>
  <w:style w:type="character" w:customStyle="1" w:styleId="af4">
    <w:name w:val="ברכה תו"/>
    <w:basedOn w:val="a2"/>
    <w:link w:val="af3"/>
    <w:rsid w:val="00A402F3"/>
    <w:rPr>
      <w:rFonts w:cs="David"/>
      <w:noProof w:val="0"/>
      <w:sz w:val="24"/>
      <w:szCs w:val="24"/>
    </w:rPr>
  </w:style>
  <w:style w:type="paragraph" w:styleId="af5">
    <w:name w:val="Body Text"/>
    <w:basedOn w:val="a1"/>
    <w:link w:val="af6"/>
    <w:unhideWhenUsed/>
    <w:rsid w:val="00A402F3"/>
    <w:pPr>
      <w:spacing w:after="120"/>
    </w:pPr>
  </w:style>
  <w:style w:type="character" w:customStyle="1" w:styleId="af6">
    <w:name w:val="גוף טקסט תו"/>
    <w:basedOn w:val="a2"/>
    <w:link w:val="af5"/>
    <w:semiHidden/>
    <w:rsid w:val="00A402F3"/>
    <w:rPr>
      <w:rFonts w:cs="David"/>
      <w:noProof w:val="0"/>
      <w:sz w:val="24"/>
      <w:szCs w:val="24"/>
    </w:rPr>
  </w:style>
  <w:style w:type="paragraph" w:styleId="23">
    <w:name w:val="Body Text 2"/>
    <w:basedOn w:val="a1"/>
    <w:link w:val="24"/>
    <w:semiHidden/>
    <w:unhideWhenUsed/>
    <w:rsid w:val="00A402F3"/>
    <w:pPr>
      <w:spacing w:after="120" w:line="480" w:lineRule="auto"/>
    </w:pPr>
  </w:style>
  <w:style w:type="character" w:customStyle="1" w:styleId="24">
    <w:name w:val="גוף טקסט 2 תו"/>
    <w:basedOn w:val="a2"/>
    <w:link w:val="23"/>
    <w:semiHidden/>
    <w:rsid w:val="00A402F3"/>
    <w:rPr>
      <w:rFonts w:cs="David"/>
      <w:noProof w:val="0"/>
      <w:sz w:val="24"/>
      <w:szCs w:val="24"/>
    </w:rPr>
  </w:style>
  <w:style w:type="paragraph" w:styleId="33">
    <w:name w:val="Body Text 3"/>
    <w:basedOn w:val="a1"/>
    <w:link w:val="34"/>
    <w:semiHidden/>
    <w:unhideWhenUsed/>
    <w:rsid w:val="00A402F3"/>
    <w:pPr>
      <w:spacing w:after="120"/>
    </w:pPr>
    <w:rPr>
      <w:sz w:val="16"/>
      <w:szCs w:val="16"/>
    </w:rPr>
  </w:style>
  <w:style w:type="character" w:customStyle="1" w:styleId="34">
    <w:name w:val="גוף טקסט 3 תו"/>
    <w:basedOn w:val="a2"/>
    <w:link w:val="33"/>
    <w:semiHidden/>
    <w:rsid w:val="00A402F3"/>
    <w:rPr>
      <w:rFonts w:cs="David"/>
      <w:noProof w:val="0"/>
      <w:sz w:val="16"/>
      <w:szCs w:val="16"/>
    </w:rPr>
  </w:style>
  <w:style w:type="character" w:styleId="HTML1">
    <w:name w:val="HTML Sample"/>
    <w:basedOn w:val="a2"/>
    <w:semiHidden/>
    <w:unhideWhenUsed/>
    <w:rsid w:val="00A402F3"/>
    <w:rPr>
      <w:rFonts w:ascii="Consolas" w:hAnsi="Consolas"/>
      <w:noProof w:val="0"/>
      <w:sz w:val="24"/>
      <w:szCs w:val="24"/>
    </w:rPr>
  </w:style>
  <w:style w:type="character" w:styleId="af7">
    <w:name w:val="Emphasis"/>
    <w:basedOn w:val="a2"/>
    <w:qFormat/>
    <w:rsid w:val="00A402F3"/>
    <w:rPr>
      <w:i/>
      <w:iCs/>
      <w:noProof w:val="0"/>
    </w:rPr>
  </w:style>
  <w:style w:type="character" w:styleId="af8">
    <w:name w:val="Intense Emphasis"/>
    <w:basedOn w:val="a2"/>
    <w:uiPriority w:val="21"/>
    <w:qFormat/>
    <w:rsid w:val="00A402F3"/>
    <w:rPr>
      <w:i/>
      <w:iCs/>
      <w:noProof w:val="0"/>
      <w:color w:val="4F81BD" w:themeColor="accent1"/>
    </w:rPr>
  </w:style>
  <w:style w:type="character" w:styleId="af9">
    <w:name w:val="Subtle Emphasis"/>
    <w:basedOn w:val="a2"/>
    <w:uiPriority w:val="19"/>
    <w:qFormat/>
    <w:rsid w:val="00A402F3"/>
    <w:rPr>
      <w:i/>
      <w:iCs/>
      <w:noProof w:val="0"/>
      <w:color w:val="404040" w:themeColor="text1" w:themeTint="BF"/>
    </w:rPr>
  </w:style>
  <w:style w:type="paragraph" w:styleId="afa">
    <w:name w:val="List Continue"/>
    <w:basedOn w:val="a1"/>
    <w:semiHidden/>
    <w:unhideWhenUsed/>
    <w:rsid w:val="00A402F3"/>
    <w:pPr>
      <w:spacing w:after="120"/>
      <w:ind w:left="283"/>
      <w:contextualSpacing/>
    </w:pPr>
  </w:style>
  <w:style w:type="paragraph" w:styleId="25">
    <w:name w:val="List Continue 2"/>
    <w:basedOn w:val="a1"/>
    <w:semiHidden/>
    <w:unhideWhenUsed/>
    <w:rsid w:val="00A402F3"/>
    <w:pPr>
      <w:spacing w:after="120"/>
      <w:ind w:left="566"/>
      <w:contextualSpacing/>
    </w:pPr>
  </w:style>
  <w:style w:type="paragraph" w:styleId="35">
    <w:name w:val="List Continue 3"/>
    <w:basedOn w:val="a1"/>
    <w:semiHidden/>
    <w:unhideWhenUsed/>
    <w:rsid w:val="00A402F3"/>
    <w:pPr>
      <w:spacing w:after="120"/>
      <w:ind w:left="849"/>
      <w:contextualSpacing/>
    </w:pPr>
  </w:style>
  <w:style w:type="paragraph" w:styleId="42">
    <w:name w:val="List Continue 4"/>
    <w:basedOn w:val="a1"/>
    <w:semiHidden/>
    <w:unhideWhenUsed/>
    <w:rsid w:val="00A402F3"/>
    <w:pPr>
      <w:spacing w:after="120"/>
      <w:ind w:left="1132"/>
      <w:contextualSpacing/>
    </w:pPr>
  </w:style>
  <w:style w:type="paragraph" w:styleId="53">
    <w:name w:val="List Continue 5"/>
    <w:basedOn w:val="a1"/>
    <w:semiHidden/>
    <w:unhideWhenUsed/>
    <w:rsid w:val="00A402F3"/>
    <w:pPr>
      <w:spacing w:after="120"/>
      <w:ind w:left="1415"/>
      <w:contextualSpacing/>
    </w:pPr>
  </w:style>
  <w:style w:type="character" w:styleId="afb">
    <w:name w:val="Intense Reference"/>
    <w:basedOn w:val="a2"/>
    <w:uiPriority w:val="32"/>
    <w:qFormat/>
    <w:rsid w:val="00A402F3"/>
    <w:rPr>
      <w:b/>
      <w:bCs/>
      <w:smallCaps/>
      <w:noProof w:val="0"/>
      <w:color w:val="4F81BD" w:themeColor="accent1"/>
      <w:spacing w:val="5"/>
    </w:rPr>
  </w:style>
  <w:style w:type="character" w:styleId="afc">
    <w:name w:val="endnote reference"/>
    <w:basedOn w:val="a2"/>
    <w:semiHidden/>
    <w:unhideWhenUsed/>
    <w:rsid w:val="00A402F3"/>
    <w:rPr>
      <w:noProof w:val="0"/>
      <w:vertAlign w:val="superscript"/>
    </w:rPr>
  </w:style>
  <w:style w:type="character" w:styleId="afd">
    <w:name w:val="footnote reference"/>
    <w:basedOn w:val="a2"/>
    <w:semiHidden/>
    <w:unhideWhenUsed/>
    <w:rsid w:val="00A402F3"/>
    <w:rPr>
      <w:noProof w:val="0"/>
      <w:vertAlign w:val="superscript"/>
    </w:rPr>
  </w:style>
  <w:style w:type="character" w:styleId="afe">
    <w:name w:val="Subtle Reference"/>
    <w:basedOn w:val="a2"/>
    <w:uiPriority w:val="31"/>
    <w:qFormat/>
    <w:rsid w:val="00A402F3"/>
    <w:rPr>
      <w:smallCaps/>
      <w:noProof w:val="0"/>
      <w:color w:val="5A5A5A" w:themeColor="text1" w:themeTint="A5"/>
    </w:rPr>
  </w:style>
  <w:style w:type="table" w:styleId="aff">
    <w:name w:val="Light Shading"/>
    <w:basedOn w:val="a3"/>
    <w:uiPriority w:val="60"/>
    <w:semiHidden/>
    <w:unhideWhenUsed/>
    <w:rsid w:val="00A402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A402F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A402F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A402F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A402F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A402F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A402F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Shading 1"/>
    <w:basedOn w:val="a3"/>
    <w:uiPriority w:val="63"/>
    <w:semiHidden/>
    <w:unhideWhenUsed/>
    <w:rsid w:val="00A402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A402F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A402F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A402F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A402F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A402F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A402F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A402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0">
    <w:name w:val="Colorful Shading"/>
    <w:basedOn w:val="a3"/>
    <w:uiPriority w:val="71"/>
    <w:semiHidden/>
    <w:unhideWhenUsed/>
    <w:rsid w:val="00A402F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A402F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A402F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A402F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A402F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A402F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A402F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1">
    <w:name w:val="Strong"/>
    <w:basedOn w:val="a2"/>
    <w:qFormat/>
    <w:rsid w:val="00A402F3"/>
    <w:rPr>
      <w:b/>
      <w:bCs/>
      <w:noProof w:val="0"/>
    </w:rPr>
  </w:style>
  <w:style w:type="paragraph" w:styleId="aff2">
    <w:name w:val="Signature"/>
    <w:basedOn w:val="a1"/>
    <w:link w:val="aff3"/>
    <w:semiHidden/>
    <w:unhideWhenUsed/>
    <w:rsid w:val="00A402F3"/>
    <w:pPr>
      <w:ind w:left="4252"/>
    </w:pPr>
  </w:style>
  <w:style w:type="character" w:customStyle="1" w:styleId="aff3">
    <w:name w:val="חתימה תו"/>
    <w:basedOn w:val="a2"/>
    <w:link w:val="aff2"/>
    <w:semiHidden/>
    <w:rsid w:val="00A402F3"/>
    <w:rPr>
      <w:rFonts w:cs="David"/>
      <w:noProof w:val="0"/>
      <w:sz w:val="24"/>
      <w:szCs w:val="24"/>
    </w:rPr>
  </w:style>
  <w:style w:type="paragraph" w:styleId="aff4">
    <w:name w:val="E-mail Signature"/>
    <w:basedOn w:val="a1"/>
    <w:link w:val="aff5"/>
    <w:semiHidden/>
    <w:unhideWhenUsed/>
    <w:rsid w:val="00A402F3"/>
  </w:style>
  <w:style w:type="character" w:customStyle="1" w:styleId="aff5">
    <w:name w:val="חתימת דואר אלקטרוני תו"/>
    <w:basedOn w:val="a2"/>
    <w:link w:val="aff4"/>
    <w:semiHidden/>
    <w:rsid w:val="00A402F3"/>
    <w:rPr>
      <w:rFonts w:cs="David"/>
      <w:noProof w:val="0"/>
      <w:sz w:val="24"/>
      <w:szCs w:val="24"/>
    </w:rPr>
  </w:style>
  <w:style w:type="table" w:styleId="aff6">
    <w:name w:val="Table Elegant"/>
    <w:basedOn w:val="a3"/>
    <w:semiHidden/>
    <w:unhideWhenUsed/>
    <w:rsid w:val="00A402F3"/>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7">
    <w:name w:val="Table Professional"/>
    <w:basedOn w:val="a3"/>
    <w:semiHidden/>
    <w:unhideWhenUsed/>
    <w:rsid w:val="00A402F3"/>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Subtle 1"/>
    <w:basedOn w:val="a3"/>
    <w:semiHidden/>
    <w:unhideWhenUsed/>
    <w:rsid w:val="00A402F3"/>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A402F3"/>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Contemporary"/>
    <w:basedOn w:val="a3"/>
    <w:semiHidden/>
    <w:unhideWhenUsed/>
    <w:rsid w:val="00A402F3"/>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3"/>
    <w:semiHidden/>
    <w:unhideWhenUsed/>
    <w:rsid w:val="00A402F3"/>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A402F3"/>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A402F3"/>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3"/>
    <w:semiHidden/>
    <w:unhideWhenUsed/>
    <w:rsid w:val="00A402F3"/>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A402F3"/>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A402F3"/>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3"/>
    <w:semiHidden/>
    <w:unhideWhenUsed/>
    <w:rsid w:val="00A402F3"/>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A402F3"/>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A402F3"/>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A402F3"/>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Plain Table 1"/>
    <w:basedOn w:val="a3"/>
    <w:uiPriority w:val="41"/>
    <w:rsid w:val="00A402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A402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A402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A402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A402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9">
    <w:name w:val="Table Web 1"/>
    <w:basedOn w:val="a3"/>
    <w:semiHidden/>
    <w:unhideWhenUsed/>
    <w:rsid w:val="00A402F3"/>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A402F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A402F3"/>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List Table 1 Light"/>
    <w:basedOn w:val="a3"/>
    <w:uiPriority w:val="46"/>
    <w:rsid w:val="00A402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A402F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A402F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A402F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A402F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A402F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A402F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A402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A402F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A402F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A402F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A402F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A402F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A402F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A402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A402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A402F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A402F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A402F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A402F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A402F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A402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A402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A402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A402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A402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A402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A402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A402F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A402F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A402F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A402F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A402F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A402F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A402F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A402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A402F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A402F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A402F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A402F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A402F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A402F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A402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A402F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A402F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A402F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A402F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A402F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A402F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b">
    <w:name w:val="Grid Table 1 Light"/>
    <w:basedOn w:val="a3"/>
    <w:uiPriority w:val="46"/>
    <w:rsid w:val="00A402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A402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A402F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A402F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A402F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A402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A402F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A402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A402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A402F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A402F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A402F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A402F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A402F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A402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A402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A402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A402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A402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A402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A402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A402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A402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A402F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A402F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A402F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A402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A402F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A402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A402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A402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A402F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A402F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A402F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A402F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A402F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A402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A402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A402F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A402F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A402F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A402F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A402F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9">
    <w:name w:val="Block Text"/>
    <w:basedOn w:val="a1"/>
    <w:semiHidden/>
    <w:unhideWhenUsed/>
    <w:rsid w:val="00A402F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a">
    <w:name w:val="endnote text"/>
    <w:basedOn w:val="a1"/>
    <w:link w:val="affb"/>
    <w:semiHidden/>
    <w:unhideWhenUsed/>
    <w:rsid w:val="00A402F3"/>
    <w:rPr>
      <w:sz w:val="20"/>
      <w:szCs w:val="20"/>
    </w:rPr>
  </w:style>
  <w:style w:type="character" w:customStyle="1" w:styleId="affb">
    <w:name w:val="טקסט הערת סיום תו"/>
    <w:basedOn w:val="a2"/>
    <w:link w:val="affa"/>
    <w:semiHidden/>
    <w:rsid w:val="00A402F3"/>
    <w:rPr>
      <w:rFonts w:cs="David"/>
      <w:noProof w:val="0"/>
    </w:rPr>
  </w:style>
  <w:style w:type="paragraph" w:styleId="affc">
    <w:name w:val="footnote text"/>
    <w:basedOn w:val="a1"/>
    <w:link w:val="affd"/>
    <w:semiHidden/>
    <w:unhideWhenUsed/>
    <w:rsid w:val="00A402F3"/>
    <w:rPr>
      <w:sz w:val="20"/>
      <w:szCs w:val="20"/>
    </w:rPr>
  </w:style>
  <w:style w:type="character" w:customStyle="1" w:styleId="affd">
    <w:name w:val="טקסט הערת שוליים תו"/>
    <w:basedOn w:val="a2"/>
    <w:link w:val="affc"/>
    <w:semiHidden/>
    <w:rsid w:val="00A402F3"/>
    <w:rPr>
      <w:rFonts w:cs="David"/>
      <w:noProof w:val="0"/>
    </w:rPr>
  </w:style>
  <w:style w:type="paragraph" w:styleId="affe">
    <w:name w:val="macro"/>
    <w:link w:val="afff"/>
    <w:semiHidden/>
    <w:unhideWhenUsed/>
    <w:rsid w:val="00A402F3"/>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f">
    <w:name w:val="טקסט מאקרו תו"/>
    <w:basedOn w:val="a2"/>
    <w:link w:val="affe"/>
    <w:semiHidden/>
    <w:rsid w:val="00A402F3"/>
    <w:rPr>
      <w:rFonts w:ascii="Consolas" w:hAnsi="Consolas" w:cs="David"/>
      <w:noProof w:val="0"/>
    </w:rPr>
  </w:style>
  <w:style w:type="paragraph" w:styleId="afff0">
    <w:name w:val="Plain Text"/>
    <w:basedOn w:val="a1"/>
    <w:link w:val="afff1"/>
    <w:semiHidden/>
    <w:unhideWhenUsed/>
    <w:rsid w:val="00A402F3"/>
    <w:rPr>
      <w:rFonts w:ascii="Consolas" w:hAnsi="Consolas"/>
      <w:sz w:val="21"/>
      <w:szCs w:val="21"/>
    </w:rPr>
  </w:style>
  <w:style w:type="character" w:customStyle="1" w:styleId="afff1">
    <w:name w:val="טקסט רגיל תו"/>
    <w:basedOn w:val="a2"/>
    <w:link w:val="afff0"/>
    <w:semiHidden/>
    <w:rsid w:val="00A402F3"/>
    <w:rPr>
      <w:rFonts w:ascii="Consolas" w:hAnsi="Consolas" w:cs="David"/>
      <w:noProof w:val="0"/>
      <w:sz w:val="21"/>
      <w:szCs w:val="21"/>
    </w:rPr>
  </w:style>
  <w:style w:type="character" w:styleId="afff2">
    <w:name w:val="Book Title"/>
    <w:basedOn w:val="a2"/>
    <w:uiPriority w:val="33"/>
    <w:qFormat/>
    <w:rsid w:val="00A402F3"/>
    <w:rPr>
      <w:b/>
      <w:bCs/>
      <w:i/>
      <w:iCs/>
      <w:noProof w:val="0"/>
      <w:spacing w:val="5"/>
    </w:rPr>
  </w:style>
  <w:style w:type="character" w:customStyle="1" w:styleId="10">
    <w:name w:val="כותרת 1 תו"/>
    <w:basedOn w:val="a2"/>
    <w:link w:val="1"/>
    <w:rsid w:val="00A402F3"/>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A402F3"/>
    <w:rPr>
      <w:rFonts w:asciiTheme="majorHAnsi" w:eastAsiaTheme="majorEastAsia" w:hAnsiTheme="majorHAnsi" w:cstheme="majorBidi"/>
      <w:noProof w:val="0"/>
      <w:color w:val="365F91" w:themeColor="accent1" w:themeShade="BF"/>
      <w:sz w:val="26"/>
      <w:szCs w:val="26"/>
    </w:rPr>
  </w:style>
  <w:style w:type="character" w:customStyle="1" w:styleId="52">
    <w:name w:val="כותרת 5 תו"/>
    <w:basedOn w:val="a2"/>
    <w:link w:val="51"/>
    <w:semiHidden/>
    <w:rsid w:val="00A402F3"/>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A402F3"/>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A402F3"/>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A402F3"/>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A402F3"/>
    <w:rPr>
      <w:rFonts w:asciiTheme="majorHAnsi" w:eastAsiaTheme="majorEastAsia" w:hAnsiTheme="majorHAnsi" w:cstheme="majorBidi"/>
      <w:i/>
      <w:iCs/>
      <w:noProof w:val="0"/>
      <w:color w:val="272727" w:themeColor="text1" w:themeTint="D8"/>
      <w:sz w:val="21"/>
      <w:szCs w:val="21"/>
    </w:rPr>
  </w:style>
  <w:style w:type="paragraph" w:styleId="afff3">
    <w:name w:val="index heading"/>
    <w:basedOn w:val="a1"/>
    <w:next w:val="Index1"/>
    <w:semiHidden/>
    <w:unhideWhenUsed/>
    <w:rsid w:val="00A402F3"/>
    <w:rPr>
      <w:rFonts w:asciiTheme="majorHAnsi" w:eastAsiaTheme="majorEastAsia" w:hAnsiTheme="majorHAnsi" w:cstheme="majorBidi"/>
      <w:b/>
      <w:bCs/>
    </w:rPr>
  </w:style>
  <w:style w:type="paragraph" w:styleId="afff4">
    <w:name w:val="Note Heading"/>
    <w:basedOn w:val="a1"/>
    <w:next w:val="a1"/>
    <w:link w:val="afff5"/>
    <w:semiHidden/>
    <w:unhideWhenUsed/>
    <w:rsid w:val="00A402F3"/>
  </w:style>
  <w:style w:type="character" w:customStyle="1" w:styleId="afff5">
    <w:name w:val="כותרת הערות תו"/>
    <w:basedOn w:val="a2"/>
    <w:link w:val="afff4"/>
    <w:semiHidden/>
    <w:rsid w:val="00A402F3"/>
    <w:rPr>
      <w:rFonts w:cs="David"/>
      <w:noProof w:val="0"/>
      <w:sz w:val="24"/>
      <w:szCs w:val="24"/>
    </w:rPr>
  </w:style>
  <w:style w:type="paragraph" w:styleId="afff6">
    <w:name w:val="Title"/>
    <w:basedOn w:val="a1"/>
    <w:next w:val="a1"/>
    <w:link w:val="afff7"/>
    <w:qFormat/>
    <w:rsid w:val="00A402F3"/>
    <w:pPr>
      <w:contextualSpacing/>
    </w:pPr>
    <w:rPr>
      <w:rFonts w:asciiTheme="majorHAnsi" w:eastAsiaTheme="majorEastAsia" w:hAnsiTheme="majorHAnsi" w:cstheme="majorBidi"/>
      <w:spacing w:val="-10"/>
      <w:kern w:val="28"/>
      <w:sz w:val="56"/>
      <w:szCs w:val="56"/>
    </w:rPr>
  </w:style>
  <w:style w:type="character" w:customStyle="1" w:styleId="afff7">
    <w:name w:val="כותרת טקסט תו"/>
    <w:basedOn w:val="a2"/>
    <w:link w:val="afff6"/>
    <w:rsid w:val="00A402F3"/>
    <w:rPr>
      <w:rFonts w:asciiTheme="majorHAnsi" w:eastAsiaTheme="majorEastAsia" w:hAnsiTheme="majorHAnsi" w:cstheme="majorBidi"/>
      <w:noProof w:val="0"/>
      <w:spacing w:val="-10"/>
      <w:kern w:val="28"/>
      <w:sz w:val="56"/>
      <w:szCs w:val="56"/>
    </w:rPr>
  </w:style>
  <w:style w:type="paragraph" w:styleId="afff8">
    <w:name w:val="Subtitle"/>
    <w:basedOn w:val="a1"/>
    <w:next w:val="a1"/>
    <w:link w:val="afff9"/>
    <w:qFormat/>
    <w:rsid w:val="00A402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9">
    <w:name w:val="כותרת משנה תו"/>
    <w:basedOn w:val="a2"/>
    <w:link w:val="afff8"/>
    <w:rsid w:val="00A402F3"/>
    <w:rPr>
      <w:rFonts w:asciiTheme="minorHAnsi" w:eastAsiaTheme="minorEastAsia" w:hAnsiTheme="minorHAnsi" w:cstheme="minorBidi"/>
      <w:noProof w:val="0"/>
      <w:color w:val="5A5A5A" w:themeColor="text1" w:themeTint="A5"/>
      <w:spacing w:val="15"/>
      <w:sz w:val="22"/>
      <w:szCs w:val="22"/>
    </w:rPr>
  </w:style>
  <w:style w:type="paragraph" w:styleId="afffa">
    <w:name w:val="Message Header"/>
    <w:basedOn w:val="a1"/>
    <w:link w:val="afffb"/>
    <w:semiHidden/>
    <w:unhideWhenUsed/>
    <w:rsid w:val="00A402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b">
    <w:name w:val="כותרת עליונה של הודעה תו"/>
    <w:basedOn w:val="a2"/>
    <w:link w:val="afffa"/>
    <w:semiHidden/>
    <w:rsid w:val="00A402F3"/>
    <w:rPr>
      <w:rFonts w:asciiTheme="majorHAnsi" w:eastAsiaTheme="majorEastAsia" w:hAnsiTheme="majorHAnsi" w:cstheme="majorBidi"/>
      <w:noProof w:val="0"/>
      <w:sz w:val="24"/>
      <w:szCs w:val="24"/>
      <w:shd w:val="pct20" w:color="auto" w:fill="auto"/>
    </w:rPr>
  </w:style>
  <w:style w:type="paragraph" w:styleId="afffc">
    <w:name w:val="toa heading"/>
    <w:basedOn w:val="a1"/>
    <w:next w:val="a1"/>
    <w:semiHidden/>
    <w:unhideWhenUsed/>
    <w:rsid w:val="00A402F3"/>
    <w:pPr>
      <w:spacing w:before="120"/>
    </w:pPr>
    <w:rPr>
      <w:rFonts w:asciiTheme="majorHAnsi" w:eastAsiaTheme="majorEastAsia" w:hAnsiTheme="majorHAnsi" w:cstheme="majorBidi"/>
      <w:b/>
      <w:bCs/>
    </w:rPr>
  </w:style>
  <w:style w:type="paragraph" w:styleId="afffd">
    <w:name w:val="TOC Heading"/>
    <w:basedOn w:val="1"/>
    <w:next w:val="a1"/>
    <w:uiPriority w:val="39"/>
    <w:semiHidden/>
    <w:unhideWhenUsed/>
    <w:qFormat/>
    <w:rsid w:val="00A402F3"/>
    <w:pPr>
      <w:outlineLvl w:val="9"/>
    </w:pPr>
  </w:style>
  <w:style w:type="paragraph" w:styleId="afffe">
    <w:name w:val="caption"/>
    <w:basedOn w:val="a1"/>
    <w:next w:val="a1"/>
    <w:semiHidden/>
    <w:unhideWhenUsed/>
    <w:qFormat/>
    <w:rsid w:val="00A402F3"/>
    <w:pPr>
      <w:spacing w:after="200"/>
    </w:pPr>
    <w:rPr>
      <w:i/>
      <w:iCs/>
      <w:color w:val="1F497D" w:themeColor="text2"/>
      <w:sz w:val="18"/>
      <w:szCs w:val="18"/>
    </w:rPr>
  </w:style>
  <w:style w:type="paragraph" w:styleId="affff">
    <w:name w:val="Body Text Indent"/>
    <w:basedOn w:val="a1"/>
    <w:link w:val="affff0"/>
    <w:semiHidden/>
    <w:unhideWhenUsed/>
    <w:rsid w:val="00A402F3"/>
    <w:pPr>
      <w:spacing w:after="120"/>
      <w:ind w:left="283"/>
    </w:pPr>
  </w:style>
  <w:style w:type="character" w:customStyle="1" w:styleId="affff0">
    <w:name w:val="כניסה בגוף טקסט תו"/>
    <w:basedOn w:val="a2"/>
    <w:link w:val="affff"/>
    <w:semiHidden/>
    <w:rsid w:val="00A402F3"/>
    <w:rPr>
      <w:rFonts w:cs="David"/>
      <w:noProof w:val="0"/>
      <w:sz w:val="24"/>
      <w:szCs w:val="24"/>
    </w:rPr>
  </w:style>
  <w:style w:type="paragraph" w:styleId="2f">
    <w:name w:val="Body Text Indent 2"/>
    <w:basedOn w:val="a1"/>
    <w:link w:val="2f0"/>
    <w:semiHidden/>
    <w:unhideWhenUsed/>
    <w:rsid w:val="00A402F3"/>
    <w:pPr>
      <w:spacing w:after="120" w:line="480" w:lineRule="auto"/>
      <w:ind w:left="283"/>
    </w:pPr>
  </w:style>
  <w:style w:type="character" w:customStyle="1" w:styleId="2f0">
    <w:name w:val="כניסה בגוף טקסט 2 תו"/>
    <w:basedOn w:val="a2"/>
    <w:link w:val="2f"/>
    <w:semiHidden/>
    <w:rsid w:val="00A402F3"/>
    <w:rPr>
      <w:rFonts w:cs="David"/>
      <w:noProof w:val="0"/>
      <w:sz w:val="24"/>
      <w:szCs w:val="24"/>
    </w:rPr>
  </w:style>
  <w:style w:type="paragraph" w:styleId="3d">
    <w:name w:val="Body Text Indent 3"/>
    <w:basedOn w:val="a1"/>
    <w:link w:val="3e"/>
    <w:semiHidden/>
    <w:unhideWhenUsed/>
    <w:rsid w:val="00A402F3"/>
    <w:pPr>
      <w:spacing w:after="120"/>
      <w:ind w:left="283"/>
    </w:pPr>
    <w:rPr>
      <w:sz w:val="16"/>
      <w:szCs w:val="16"/>
    </w:rPr>
  </w:style>
  <w:style w:type="character" w:customStyle="1" w:styleId="3e">
    <w:name w:val="כניסה בגוף טקסט 3 תו"/>
    <w:basedOn w:val="a2"/>
    <w:link w:val="3d"/>
    <w:semiHidden/>
    <w:rsid w:val="00A402F3"/>
    <w:rPr>
      <w:rFonts w:cs="David"/>
      <w:noProof w:val="0"/>
      <w:sz w:val="16"/>
      <w:szCs w:val="16"/>
    </w:rPr>
  </w:style>
  <w:style w:type="paragraph" w:styleId="affff1">
    <w:name w:val="Normal Indent"/>
    <w:basedOn w:val="a1"/>
    <w:semiHidden/>
    <w:unhideWhenUsed/>
    <w:rsid w:val="00A402F3"/>
    <w:pPr>
      <w:ind w:left="720"/>
    </w:pPr>
  </w:style>
  <w:style w:type="paragraph" w:styleId="affff2">
    <w:name w:val="Body Text First Indent"/>
    <w:basedOn w:val="af5"/>
    <w:link w:val="affff3"/>
    <w:rsid w:val="00A402F3"/>
    <w:pPr>
      <w:spacing w:after="0"/>
      <w:ind w:firstLine="360"/>
    </w:pPr>
  </w:style>
  <w:style w:type="character" w:customStyle="1" w:styleId="affff3">
    <w:name w:val="כניסת שורה ראשונה בגוף טקסט תו"/>
    <w:basedOn w:val="af6"/>
    <w:link w:val="affff2"/>
    <w:rsid w:val="00A402F3"/>
    <w:rPr>
      <w:rFonts w:cs="David"/>
      <w:noProof w:val="0"/>
      <w:sz w:val="24"/>
      <w:szCs w:val="24"/>
    </w:rPr>
  </w:style>
  <w:style w:type="paragraph" w:styleId="2f1">
    <w:name w:val="Body Text First Indent 2"/>
    <w:basedOn w:val="affff"/>
    <w:link w:val="2f2"/>
    <w:semiHidden/>
    <w:unhideWhenUsed/>
    <w:rsid w:val="00A402F3"/>
    <w:pPr>
      <w:spacing w:after="0"/>
      <w:ind w:left="360" w:firstLine="360"/>
    </w:pPr>
  </w:style>
  <w:style w:type="character" w:customStyle="1" w:styleId="2f2">
    <w:name w:val="כניסת שורה ראשונה בגוף טקסט 2 תו"/>
    <w:basedOn w:val="affff0"/>
    <w:link w:val="2f1"/>
    <w:semiHidden/>
    <w:rsid w:val="00A402F3"/>
    <w:rPr>
      <w:rFonts w:cs="David"/>
      <w:noProof w:val="0"/>
      <w:sz w:val="24"/>
      <w:szCs w:val="24"/>
    </w:rPr>
  </w:style>
  <w:style w:type="paragraph" w:styleId="HTML2">
    <w:name w:val="HTML Address"/>
    <w:basedOn w:val="a1"/>
    <w:link w:val="HTML3"/>
    <w:semiHidden/>
    <w:unhideWhenUsed/>
    <w:rsid w:val="00A402F3"/>
    <w:rPr>
      <w:i/>
      <w:iCs/>
    </w:rPr>
  </w:style>
  <w:style w:type="character" w:customStyle="1" w:styleId="HTML3">
    <w:name w:val="כתובת HTML תו"/>
    <w:basedOn w:val="a2"/>
    <w:link w:val="HTML2"/>
    <w:semiHidden/>
    <w:rsid w:val="00A402F3"/>
    <w:rPr>
      <w:rFonts w:cs="David"/>
      <w:i/>
      <w:iCs/>
      <w:noProof w:val="0"/>
      <w:sz w:val="24"/>
      <w:szCs w:val="24"/>
    </w:rPr>
  </w:style>
  <w:style w:type="paragraph" w:styleId="affff4">
    <w:name w:val="envelope address"/>
    <w:basedOn w:val="a1"/>
    <w:semiHidden/>
    <w:unhideWhenUsed/>
    <w:rsid w:val="00A402F3"/>
    <w:pPr>
      <w:framePr w:w="7920" w:h="1980" w:hRule="exact" w:hSpace="180" w:wrap="auto" w:hAnchor="page" w:xAlign="center" w:yAlign="bottom"/>
      <w:ind w:left="2880"/>
    </w:pPr>
    <w:rPr>
      <w:rFonts w:asciiTheme="majorHAnsi" w:eastAsiaTheme="majorEastAsia" w:hAnsiTheme="majorHAnsi" w:cstheme="majorBidi"/>
    </w:rPr>
  </w:style>
  <w:style w:type="paragraph" w:styleId="affff5">
    <w:name w:val="envelope return"/>
    <w:basedOn w:val="a1"/>
    <w:semiHidden/>
    <w:unhideWhenUsed/>
    <w:rsid w:val="00A402F3"/>
    <w:rPr>
      <w:rFonts w:asciiTheme="majorHAnsi" w:eastAsiaTheme="majorEastAsia" w:hAnsiTheme="majorHAnsi" w:cstheme="majorBidi"/>
      <w:sz w:val="20"/>
      <w:szCs w:val="20"/>
    </w:rPr>
  </w:style>
  <w:style w:type="paragraph" w:styleId="affff6">
    <w:name w:val="No Spacing"/>
    <w:uiPriority w:val="1"/>
    <w:qFormat/>
    <w:rsid w:val="00A402F3"/>
    <w:pPr>
      <w:bidi/>
    </w:pPr>
    <w:rPr>
      <w:rFonts w:cs="David"/>
      <w:sz w:val="24"/>
      <w:szCs w:val="24"/>
    </w:rPr>
  </w:style>
  <w:style w:type="character" w:styleId="HTML4">
    <w:name w:val="HTML Typewriter"/>
    <w:basedOn w:val="a2"/>
    <w:semiHidden/>
    <w:unhideWhenUsed/>
    <w:rsid w:val="00A402F3"/>
    <w:rPr>
      <w:rFonts w:ascii="Consolas" w:hAnsi="Consolas"/>
      <w:noProof w:val="0"/>
      <w:sz w:val="20"/>
      <w:szCs w:val="20"/>
    </w:rPr>
  </w:style>
  <w:style w:type="paragraph" w:styleId="affff7">
    <w:name w:val="Document Map"/>
    <w:basedOn w:val="a1"/>
    <w:link w:val="affff8"/>
    <w:semiHidden/>
    <w:unhideWhenUsed/>
    <w:rsid w:val="00A402F3"/>
    <w:rPr>
      <w:rFonts w:ascii="Tahoma" w:hAnsi="Tahoma" w:cs="Tahoma"/>
      <w:sz w:val="16"/>
      <w:szCs w:val="16"/>
    </w:rPr>
  </w:style>
  <w:style w:type="character" w:customStyle="1" w:styleId="affff8">
    <w:name w:val="מפת מסמך תו"/>
    <w:basedOn w:val="a2"/>
    <w:link w:val="affff7"/>
    <w:semiHidden/>
    <w:rsid w:val="00A402F3"/>
    <w:rPr>
      <w:rFonts w:ascii="Tahoma" w:hAnsi="Tahoma" w:cs="Tahoma"/>
      <w:noProof w:val="0"/>
      <w:sz w:val="16"/>
      <w:szCs w:val="16"/>
    </w:rPr>
  </w:style>
  <w:style w:type="character" w:styleId="HTML5">
    <w:name w:val="HTML Keyboard"/>
    <w:basedOn w:val="a2"/>
    <w:semiHidden/>
    <w:unhideWhenUsed/>
    <w:rsid w:val="00A402F3"/>
    <w:rPr>
      <w:rFonts w:ascii="Consolas" w:hAnsi="Consolas"/>
      <w:noProof w:val="0"/>
      <w:sz w:val="20"/>
      <w:szCs w:val="20"/>
    </w:rPr>
  </w:style>
  <w:style w:type="paragraph" w:styleId="affff9">
    <w:name w:val="annotation subject"/>
    <w:basedOn w:val="a9"/>
    <w:next w:val="a9"/>
    <w:link w:val="affffa"/>
    <w:semiHidden/>
    <w:unhideWhenUsed/>
    <w:rsid w:val="00A402F3"/>
    <w:rPr>
      <w:rFonts w:cs="David"/>
      <w:b/>
      <w:bCs/>
      <w:sz w:val="20"/>
      <w:szCs w:val="20"/>
    </w:rPr>
  </w:style>
  <w:style w:type="character" w:customStyle="1" w:styleId="aa">
    <w:name w:val="טקסט הערה תו"/>
    <w:basedOn w:val="a2"/>
    <w:link w:val="a9"/>
    <w:semiHidden/>
    <w:rsid w:val="00A402F3"/>
    <w:rPr>
      <w:noProof w:val="0"/>
      <w:sz w:val="24"/>
      <w:szCs w:val="24"/>
    </w:rPr>
  </w:style>
  <w:style w:type="character" w:customStyle="1" w:styleId="affffa">
    <w:name w:val="נושא הערה תו"/>
    <w:basedOn w:val="aa"/>
    <w:link w:val="affff9"/>
    <w:semiHidden/>
    <w:rsid w:val="00A402F3"/>
    <w:rPr>
      <w:rFonts w:cs="David"/>
      <w:b/>
      <w:bCs/>
      <w:noProof w:val="0"/>
      <w:sz w:val="24"/>
      <w:szCs w:val="24"/>
    </w:rPr>
  </w:style>
  <w:style w:type="table" w:styleId="affffb">
    <w:name w:val="Table Theme"/>
    <w:basedOn w:val="a3"/>
    <w:semiHidden/>
    <w:unhideWhenUsed/>
    <w:rsid w:val="00A402F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Closing"/>
    <w:basedOn w:val="a1"/>
    <w:link w:val="affffd"/>
    <w:semiHidden/>
    <w:unhideWhenUsed/>
    <w:rsid w:val="00A402F3"/>
    <w:pPr>
      <w:ind w:left="4252"/>
    </w:pPr>
  </w:style>
  <w:style w:type="character" w:customStyle="1" w:styleId="affffd">
    <w:name w:val="סיום תו"/>
    <w:basedOn w:val="a2"/>
    <w:link w:val="affffc"/>
    <w:semiHidden/>
    <w:rsid w:val="00A402F3"/>
    <w:rPr>
      <w:rFonts w:cs="David"/>
      <w:noProof w:val="0"/>
      <w:sz w:val="24"/>
      <w:szCs w:val="24"/>
    </w:rPr>
  </w:style>
  <w:style w:type="table" w:styleId="1c">
    <w:name w:val="Table Columns 1"/>
    <w:basedOn w:val="a3"/>
    <w:semiHidden/>
    <w:unhideWhenUsed/>
    <w:rsid w:val="00A402F3"/>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A402F3"/>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A402F3"/>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A402F3"/>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A402F3"/>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e">
    <w:name w:val="Quote"/>
    <w:basedOn w:val="a1"/>
    <w:next w:val="a1"/>
    <w:link w:val="afffff"/>
    <w:uiPriority w:val="29"/>
    <w:qFormat/>
    <w:rsid w:val="00A402F3"/>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A402F3"/>
    <w:rPr>
      <w:rFonts w:cs="David"/>
      <w:i/>
      <w:iCs/>
      <w:noProof w:val="0"/>
      <w:color w:val="404040" w:themeColor="text1" w:themeTint="BF"/>
      <w:sz w:val="24"/>
      <w:szCs w:val="24"/>
    </w:rPr>
  </w:style>
  <w:style w:type="paragraph" w:styleId="afffff0">
    <w:name w:val="Intense Quote"/>
    <w:basedOn w:val="a1"/>
    <w:next w:val="a1"/>
    <w:link w:val="afffff1"/>
    <w:uiPriority w:val="30"/>
    <w:qFormat/>
    <w:rsid w:val="00A402F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A402F3"/>
    <w:rPr>
      <w:rFonts w:cs="David"/>
      <w:i/>
      <w:iCs/>
      <w:noProof w:val="0"/>
      <w:color w:val="4F81BD" w:themeColor="accent1"/>
      <w:sz w:val="24"/>
      <w:szCs w:val="24"/>
    </w:rPr>
  </w:style>
  <w:style w:type="character" w:styleId="HTML6">
    <w:name w:val="HTML Acronym"/>
    <w:basedOn w:val="a2"/>
    <w:semiHidden/>
    <w:unhideWhenUsed/>
    <w:rsid w:val="00A402F3"/>
    <w:rPr>
      <w:noProof w:val="0"/>
    </w:rPr>
  </w:style>
  <w:style w:type="paragraph" w:styleId="afffff2">
    <w:name w:val="List"/>
    <w:basedOn w:val="a1"/>
    <w:semiHidden/>
    <w:unhideWhenUsed/>
    <w:rsid w:val="00A402F3"/>
    <w:pPr>
      <w:ind w:left="283" w:hanging="283"/>
      <w:contextualSpacing/>
    </w:pPr>
  </w:style>
  <w:style w:type="paragraph" w:styleId="2f4">
    <w:name w:val="List 2"/>
    <w:basedOn w:val="a1"/>
    <w:semiHidden/>
    <w:unhideWhenUsed/>
    <w:rsid w:val="00A402F3"/>
    <w:pPr>
      <w:ind w:left="566" w:hanging="283"/>
      <w:contextualSpacing/>
    </w:pPr>
  </w:style>
  <w:style w:type="paragraph" w:styleId="3f0">
    <w:name w:val="List 3"/>
    <w:basedOn w:val="a1"/>
    <w:semiHidden/>
    <w:unhideWhenUsed/>
    <w:rsid w:val="00A402F3"/>
    <w:pPr>
      <w:ind w:left="849" w:hanging="283"/>
      <w:contextualSpacing/>
    </w:pPr>
  </w:style>
  <w:style w:type="paragraph" w:styleId="48">
    <w:name w:val="List 4"/>
    <w:basedOn w:val="a1"/>
    <w:rsid w:val="00A402F3"/>
    <w:pPr>
      <w:ind w:left="1132" w:hanging="283"/>
      <w:contextualSpacing/>
    </w:pPr>
  </w:style>
  <w:style w:type="paragraph" w:styleId="58">
    <w:name w:val="List 5"/>
    <w:basedOn w:val="a1"/>
    <w:rsid w:val="00A402F3"/>
    <w:pPr>
      <w:ind w:left="1415" w:hanging="283"/>
      <w:contextualSpacing/>
    </w:pPr>
  </w:style>
  <w:style w:type="table" w:styleId="afffff3">
    <w:name w:val="Light List"/>
    <w:basedOn w:val="a3"/>
    <w:uiPriority w:val="61"/>
    <w:semiHidden/>
    <w:unhideWhenUsed/>
    <w:rsid w:val="00A402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A402F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A402F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A402F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A402F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A402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A402F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d">
    <w:name w:val="Table List 1"/>
    <w:basedOn w:val="a3"/>
    <w:semiHidden/>
    <w:unhideWhenUsed/>
    <w:rsid w:val="00A402F3"/>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A402F3"/>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A402F3"/>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A402F3"/>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A402F3"/>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A402F3"/>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A402F3"/>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A402F3"/>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e">
    <w:name w:val="Medium List 1"/>
    <w:basedOn w:val="a3"/>
    <w:uiPriority w:val="65"/>
    <w:semiHidden/>
    <w:unhideWhenUsed/>
    <w:rsid w:val="00A402F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A402F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A402F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A402F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A402F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A402F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A402F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A402F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A402F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A402F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A402F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A402F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A402F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A402F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A402F3"/>
    <w:pPr>
      <w:numPr>
        <w:numId w:val="1"/>
      </w:numPr>
      <w:contextualSpacing/>
    </w:pPr>
  </w:style>
  <w:style w:type="paragraph" w:styleId="2">
    <w:name w:val="List Number 2"/>
    <w:basedOn w:val="a1"/>
    <w:semiHidden/>
    <w:unhideWhenUsed/>
    <w:rsid w:val="00A402F3"/>
    <w:pPr>
      <w:numPr>
        <w:numId w:val="2"/>
      </w:numPr>
      <w:contextualSpacing/>
    </w:pPr>
  </w:style>
  <w:style w:type="paragraph" w:styleId="3">
    <w:name w:val="List Number 3"/>
    <w:basedOn w:val="a1"/>
    <w:semiHidden/>
    <w:unhideWhenUsed/>
    <w:rsid w:val="00A402F3"/>
    <w:pPr>
      <w:numPr>
        <w:numId w:val="3"/>
      </w:numPr>
      <w:contextualSpacing/>
    </w:pPr>
  </w:style>
  <w:style w:type="paragraph" w:styleId="4">
    <w:name w:val="List Number 4"/>
    <w:basedOn w:val="a1"/>
    <w:semiHidden/>
    <w:unhideWhenUsed/>
    <w:rsid w:val="00A402F3"/>
    <w:pPr>
      <w:numPr>
        <w:numId w:val="4"/>
      </w:numPr>
      <w:contextualSpacing/>
    </w:pPr>
  </w:style>
  <w:style w:type="paragraph" w:styleId="5">
    <w:name w:val="List Number 5"/>
    <w:basedOn w:val="a1"/>
    <w:semiHidden/>
    <w:unhideWhenUsed/>
    <w:rsid w:val="00A402F3"/>
    <w:pPr>
      <w:numPr>
        <w:numId w:val="5"/>
      </w:numPr>
      <w:contextualSpacing/>
    </w:pPr>
  </w:style>
  <w:style w:type="paragraph" w:styleId="a0">
    <w:name w:val="List Bullet"/>
    <w:basedOn w:val="a1"/>
    <w:semiHidden/>
    <w:unhideWhenUsed/>
    <w:rsid w:val="00A402F3"/>
    <w:pPr>
      <w:numPr>
        <w:numId w:val="6"/>
      </w:numPr>
      <w:contextualSpacing/>
    </w:pPr>
  </w:style>
  <w:style w:type="paragraph" w:styleId="20">
    <w:name w:val="List Bullet 2"/>
    <w:basedOn w:val="a1"/>
    <w:semiHidden/>
    <w:unhideWhenUsed/>
    <w:rsid w:val="00A402F3"/>
    <w:pPr>
      <w:numPr>
        <w:numId w:val="7"/>
      </w:numPr>
      <w:contextualSpacing/>
    </w:pPr>
  </w:style>
  <w:style w:type="paragraph" w:styleId="30">
    <w:name w:val="List Bullet 3"/>
    <w:basedOn w:val="a1"/>
    <w:semiHidden/>
    <w:unhideWhenUsed/>
    <w:rsid w:val="00A402F3"/>
    <w:pPr>
      <w:numPr>
        <w:numId w:val="8"/>
      </w:numPr>
      <w:contextualSpacing/>
    </w:pPr>
  </w:style>
  <w:style w:type="paragraph" w:styleId="40">
    <w:name w:val="List Bullet 4"/>
    <w:basedOn w:val="a1"/>
    <w:semiHidden/>
    <w:unhideWhenUsed/>
    <w:rsid w:val="00A402F3"/>
    <w:pPr>
      <w:numPr>
        <w:numId w:val="9"/>
      </w:numPr>
      <w:contextualSpacing/>
    </w:pPr>
  </w:style>
  <w:style w:type="paragraph" w:styleId="50">
    <w:name w:val="List Bullet 5"/>
    <w:basedOn w:val="a1"/>
    <w:semiHidden/>
    <w:unhideWhenUsed/>
    <w:rsid w:val="00A402F3"/>
    <w:pPr>
      <w:numPr>
        <w:numId w:val="10"/>
      </w:numPr>
      <w:contextualSpacing/>
    </w:pPr>
  </w:style>
  <w:style w:type="table" w:styleId="afffff5">
    <w:name w:val="Colorful List"/>
    <w:basedOn w:val="a3"/>
    <w:uiPriority w:val="72"/>
    <w:semiHidden/>
    <w:unhideWhenUsed/>
    <w:rsid w:val="00A402F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A402F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A402F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A402F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A402F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A402F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A402F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A402F3"/>
  </w:style>
  <w:style w:type="paragraph" w:styleId="afffff7">
    <w:name w:val="table of authorities"/>
    <w:basedOn w:val="a1"/>
    <w:next w:val="a1"/>
    <w:semiHidden/>
    <w:unhideWhenUsed/>
    <w:rsid w:val="00A402F3"/>
    <w:pPr>
      <w:ind w:left="240" w:hanging="240"/>
    </w:pPr>
  </w:style>
  <w:style w:type="table" w:styleId="afffff8">
    <w:name w:val="Light Grid"/>
    <w:basedOn w:val="a3"/>
    <w:uiPriority w:val="62"/>
    <w:semiHidden/>
    <w:unhideWhenUsed/>
    <w:rsid w:val="00A402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A402F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A402F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A402F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A402F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A402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A402F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A402F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
    <w:name w:val="Medium Grid 1"/>
    <w:basedOn w:val="a3"/>
    <w:uiPriority w:val="67"/>
    <w:semiHidden/>
    <w:unhideWhenUsed/>
    <w:rsid w:val="00A402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A402F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A402F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A402F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A402F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A402F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A402F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A402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0">
    <w:name w:val="Table Grid 1"/>
    <w:basedOn w:val="a3"/>
    <w:semiHidden/>
    <w:unhideWhenUsed/>
    <w:rsid w:val="00A402F3"/>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A402F3"/>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A402F3"/>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A402F3"/>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A402F3"/>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A402F3"/>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A402F3"/>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A402F3"/>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A402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A402F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A402F3"/>
  </w:style>
  <w:style w:type="character" w:customStyle="1" w:styleId="afffffc">
    <w:name w:val="תאריך תו"/>
    <w:basedOn w:val="a2"/>
    <w:link w:val="afffffb"/>
    <w:rsid w:val="00A402F3"/>
    <w:rPr>
      <w:rFonts w:cs="David"/>
      <w:noProof w:val="0"/>
      <w:sz w:val="24"/>
      <w:szCs w:val="24"/>
    </w:rPr>
  </w:style>
  <w:style w:type="paragraph" w:customStyle="1" w:styleId="Ruller5">
    <w:name w:val="Ruller5"/>
    <w:basedOn w:val="a1"/>
    <w:rsid w:val="00632E67"/>
    <w:pPr>
      <w:overflowPunct w:val="0"/>
      <w:autoSpaceDE w:val="0"/>
      <w:autoSpaceDN w:val="0"/>
      <w:adjustRightInd w:val="0"/>
      <w:ind w:left="1644" w:right="1276"/>
      <w:jc w:val="both"/>
    </w:pPr>
    <w:rPr>
      <w:rFonts w:ascii="Arial TUR" w:hAnsi="Arial TUR" w:cs="FrankRuehl"/>
      <w:spacing w:val="10"/>
      <w:sz w:val="22"/>
      <w:szCs w:val="28"/>
    </w:rPr>
  </w:style>
  <w:style w:type="paragraph" w:customStyle="1" w:styleId="Ruller4">
    <w:name w:val="Ruller 4 ממוספר"/>
    <w:basedOn w:val="Ruller41"/>
    <w:next w:val="Ruller41"/>
    <w:rsid w:val="00632E67"/>
    <w:pPr>
      <w:numPr>
        <w:numId w:val="11"/>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310714684">
      <w:bodyDiv w:val="1"/>
      <w:marLeft w:val="0"/>
      <w:marRight w:val="0"/>
      <w:marTop w:val="0"/>
      <w:marBottom w:val="0"/>
      <w:divBdr>
        <w:top w:val="none" w:sz="0" w:space="0" w:color="auto"/>
        <w:left w:val="none" w:sz="0" w:space="0" w:color="auto"/>
        <w:bottom w:val="none" w:sz="0" w:space="0" w:color="auto"/>
        <w:right w:val="none" w:sz="0" w:space="0" w:color="auto"/>
      </w:divBdr>
    </w:div>
    <w:div w:id="401683752">
      <w:bodyDiv w:val="1"/>
      <w:marLeft w:val="0"/>
      <w:marRight w:val="0"/>
      <w:marTop w:val="0"/>
      <w:marBottom w:val="0"/>
      <w:divBdr>
        <w:top w:val="none" w:sz="0" w:space="0" w:color="auto"/>
        <w:left w:val="none" w:sz="0" w:space="0" w:color="auto"/>
        <w:bottom w:val="none" w:sz="0" w:space="0" w:color="auto"/>
        <w:right w:val="none" w:sz="0" w:space="0" w:color="auto"/>
      </w:divBdr>
    </w:div>
    <w:div w:id="904490118">
      <w:bodyDiv w:val="1"/>
      <w:marLeft w:val="0"/>
      <w:marRight w:val="0"/>
      <w:marTop w:val="0"/>
      <w:marBottom w:val="0"/>
      <w:divBdr>
        <w:top w:val="none" w:sz="0" w:space="0" w:color="auto"/>
        <w:left w:val="none" w:sz="0" w:space="0" w:color="auto"/>
        <w:bottom w:val="none" w:sz="0" w:space="0" w:color="auto"/>
        <w:right w:val="none" w:sz="0" w:space="0" w:color="auto"/>
      </w:divBdr>
    </w:div>
    <w:div w:id="1073745661">
      <w:bodyDiv w:val="1"/>
      <w:marLeft w:val="0"/>
      <w:marRight w:val="0"/>
      <w:marTop w:val="0"/>
      <w:marBottom w:val="0"/>
      <w:divBdr>
        <w:top w:val="none" w:sz="0" w:space="0" w:color="auto"/>
        <w:left w:val="none" w:sz="0" w:space="0" w:color="auto"/>
        <w:bottom w:val="none" w:sz="0" w:space="0" w:color="auto"/>
        <w:right w:val="none" w:sz="0" w:space="0" w:color="auto"/>
      </w:divBdr>
    </w:div>
    <w:div w:id="1182817217">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67221004">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509097489">
      <w:bodyDiv w:val="1"/>
      <w:marLeft w:val="0"/>
      <w:marRight w:val="0"/>
      <w:marTop w:val="0"/>
      <w:marBottom w:val="0"/>
      <w:divBdr>
        <w:top w:val="none" w:sz="0" w:space="0" w:color="auto"/>
        <w:left w:val="none" w:sz="0" w:space="0" w:color="auto"/>
        <w:bottom w:val="none" w:sz="0" w:space="0" w:color="auto"/>
        <w:right w:val="none" w:sz="0" w:space="0" w:color="auto"/>
      </w:divBdr>
    </w:div>
    <w:div w:id="158140464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DD7E843014C7D817D6B2B08E9B38B"/>
        <w:category>
          <w:name w:val="כללי"/>
          <w:gallery w:val="placeholder"/>
        </w:category>
        <w:types>
          <w:type w:val="bbPlcHdr"/>
        </w:types>
        <w:behaviors>
          <w:behavior w:val="content"/>
        </w:behaviors>
        <w:guid w:val="{0EF4802D-415F-48ED-875C-9C61EEC62D50}"/>
      </w:docPartPr>
      <w:docPartBody>
        <w:p w:rsidR="00480704" w:rsidRDefault="002E1381" w:rsidP="002E1381">
          <w:pPr>
            <w:pStyle w:val="254DD7E843014C7D817D6B2B08E9B38B3"/>
          </w:pPr>
          <w:r w:rsidRPr="00991FC5">
            <w:rPr>
              <w:rFonts w:ascii="Century" w:hAnsi="Century" w:cs="Miriam" w:hint="eastAsia"/>
              <w:b/>
              <w:noProof w:val="0"/>
              <w:sz w:val="22"/>
              <w:u w:val="single"/>
              <w:rtl/>
            </w:rPr>
            <w:t>מעמד</w:t>
          </w:r>
          <w:r w:rsidRPr="00991FC5">
            <w:rPr>
              <w:rFonts w:ascii="Century" w:hAnsi="Century" w:cs="Miriam"/>
              <w:b/>
              <w:noProof w:val="0"/>
              <w:sz w:val="22"/>
              <w:u w:val="single"/>
              <w:rtl/>
            </w:rPr>
            <w:t xml:space="preserve"> משתמש חותם </w:t>
          </w:r>
        </w:p>
      </w:docPartBody>
    </w:docPart>
    <w:docPart>
      <w:docPartPr>
        <w:name w:val="25B9EEA87DDA4445ABEC0596927959F3"/>
        <w:category>
          <w:name w:val="כללי"/>
          <w:gallery w:val="placeholder"/>
        </w:category>
        <w:types>
          <w:type w:val="bbPlcHdr"/>
        </w:types>
        <w:behaviors>
          <w:behavior w:val="content"/>
        </w:behaviors>
        <w:guid w:val="{EA49A985-0A79-4F52-A7CB-49F084FD7655}"/>
      </w:docPartPr>
      <w:docPartBody>
        <w:p w:rsidR="00480704" w:rsidRDefault="002E1381" w:rsidP="002E1381">
          <w:pPr>
            <w:pStyle w:val="25B9EEA87DDA4445ABEC0596927959F33"/>
          </w:pPr>
          <w:r w:rsidRPr="00991FC5">
            <w:rPr>
              <w:rFonts w:ascii="Century" w:hAnsi="Century" w:cs="Miriam"/>
              <w:b/>
              <w:noProof w:val="0"/>
              <w:sz w:val="22"/>
              <w:u w:val="single"/>
              <w:rtl/>
            </w:rPr>
            <w:t xml:space="preserve">שם משתמש חותם </w:t>
          </w:r>
        </w:p>
      </w:docPartBody>
    </w:docPart>
    <w:docPart>
      <w:docPartPr>
        <w:name w:val="88D01CDFDA21460BAADB7A99F60E13C1"/>
        <w:category>
          <w:name w:val="כללי"/>
          <w:gallery w:val="placeholder"/>
        </w:category>
        <w:types>
          <w:type w:val="bbPlcHdr"/>
        </w:types>
        <w:behaviors>
          <w:behavior w:val="content"/>
        </w:behaviors>
        <w:guid w:val="{53688AD8-004F-48F7-A267-6A9009D41706}"/>
      </w:docPartPr>
      <w:docPartBody>
        <w:p w:rsidR="007314BA" w:rsidRDefault="0062315F" w:rsidP="0062315F">
          <w:pPr>
            <w:pStyle w:val="88D01CDFDA21460BAADB7A99F60E13C1"/>
          </w:pPr>
          <w:r>
            <w:rPr>
              <w:rFonts w:ascii="David" w:hAnsi="David"/>
              <w:sz w:val="28"/>
              <w:szCs w:val="28"/>
              <w:rtl/>
            </w:rPr>
            <w:t>שם צד א' ללא שם של חסוי</w:t>
          </w:r>
        </w:p>
      </w:docPartBody>
    </w:docPart>
    <w:docPart>
      <w:docPartPr>
        <w:name w:val="959427276B7F4681A55FAD1C12A4EA46"/>
        <w:category>
          <w:name w:val="כללי"/>
          <w:gallery w:val="placeholder"/>
        </w:category>
        <w:types>
          <w:type w:val="bbPlcHdr"/>
        </w:types>
        <w:behaviors>
          <w:behavior w:val="content"/>
        </w:behaviors>
        <w:guid w:val="{27222E9C-DC18-4FB7-832D-43CFD58CB5AB}"/>
      </w:docPartPr>
      <w:docPartBody>
        <w:p w:rsidR="007314BA" w:rsidRDefault="0062315F" w:rsidP="0062315F">
          <w:pPr>
            <w:pStyle w:val="959427276B7F4681A55FAD1C12A4EA46"/>
          </w:pPr>
          <w:r>
            <w:rPr>
              <w:rFonts w:ascii="David" w:hAnsi="David"/>
              <w:sz w:val="28"/>
              <w:szCs w:val="28"/>
              <w:rtl/>
            </w:rPr>
            <w:t>שם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15B33"/>
    <w:rsid w:val="00060CF6"/>
    <w:rsid w:val="000740C1"/>
    <w:rsid w:val="000A4ACE"/>
    <w:rsid w:val="001A0763"/>
    <w:rsid w:val="001B4201"/>
    <w:rsid w:val="001D4C21"/>
    <w:rsid w:val="002B73B4"/>
    <w:rsid w:val="002D02C4"/>
    <w:rsid w:val="002E1381"/>
    <w:rsid w:val="00345C9D"/>
    <w:rsid w:val="00480704"/>
    <w:rsid w:val="0048651F"/>
    <w:rsid w:val="004B017A"/>
    <w:rsid w:val="005157ED"/>
    <w:rsid w:val="00556D67"/>
    <w:rsid w:val="00620A35"/>
    <w:rsid w:val="0062315F"/>
    <w:rsid w:val="00673B50"/>
    <w:rsid w:val="006B434D"/>
    <w:rsid w:val="007314BA"/>
    <w:rsid w:val="00793995"/>
    <w:rsid w:val="007B15EE"/>
    <w:rsid w:val="007C6F98"/>
    <w:rsid w:val="007E254A"/>
    <w:rsid w:val="007F7975"/>
    <w:rsid w:val="008B4366"/>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96C06"/>
    <w:rsid w:val="00CF034F"/>
    <w:rsid w:val="00D24521"/>
    <w:rsid w:val="00D3591F"/>
    <w:rsid w:val="00D6580E"/>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254DD7E843014C7D817D6B2B08E9B38B3">
    <w:name w:val="254DD7E843014C7D817D6B2B08E9B38B3"/>
    <w:rsid w:val="002E1381"/>
    <w:pPr>
      <w:bidi/>
      <w:spacing w:after="0" w:line="240" w:lineRule="auto"/>
    </w:pPr>
    <w:rPr>
      <w:rFonts w:ascii="Times New Roman" w:eastAsia="Times New Roman" w:hAnsi="Times New Roman" w:cs="David"/>
      <w:noProof/>
      <w:sz w:val="24"/>
      <w:szCs w:val="24"/>
    </w:rPr>
  </w:style>
  <w:style w:type="paragraph" w:customStyle="1" w:styleId="25B9EEA87DDA4445ABEC0596927959F33">
    <w:name w:val="25B9EEA87DDA4445ABEC0596927959F33"/>
    <w:rsid w:val="002E1381"/>
    <w:pPr>
      <w:bidi/>
      <w:spacing w:after="0" w:line="240" w:lineRule="auto"/>
    </w:pPr>
    <w:rPr>
      <w:rFonts w:ascii="Times New Roman" w:eastAsia="Times New Roman" w:hAnsi="Times New Roman" w:cs="David"/>
      <w:noProof/>
      <w:sz w:val="24"/>
      <w:szCs w:val="24"/>
    </w:rPr>
  </w:style>
  <w:style w:type="paragraph" w:customStyle="1" w:styleId="88D01CDFDA21460BAADB7A99F60E13C1">
    <w:name w:val="88D01CDFDA21460BAADB7A99F60E13C1"/>
    <w:rsid w:val="0062315F"/>
    <w:pPr>
      <w:bidi/>
      <w:spacing w:after="160" w:line="259" w:lineRule="auto"/>
    </w:pPr>
  </w:style>
  <w:style w:type="paragraph" w:customStyle="1" w:styleId="959427276B7F4681A55FAD1C12A4EA46">
    <w:name w:val="959427276B7F4681A55FAD1C12A4EA46"/>
    <w:rsid w:val="0062315F"/>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10373</Words>
  <Characters>51869</Characters>
  <Application>Microsoft Office Word</Application>
  <DocSecurity>4</DocSecurity>
  <Lines>432</Lines>
  <Paragraphs>124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62118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מוטי גולן</cp:lastModifiedBy>
  <cp:revision>2</cp:revision>
  <cp:lastPrinted>2025-11-19T09:29:00Z</cp:lastPrinted>
  <dcterms:created xsi:type="dcterms:W3CDTF">2025-11-19T10:13:00Z</dcterms:created>
  <dcterms:modified xsi:type="dcterms:W3CDTF">2025-11-19T10:13:00Z</dcterms:modified>
</cp:coreProperties>
</file>