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2E90" w14:textId="77777777" w:rsidR="00B16422" w:rsidRPr="00832AD7" w:rsidRDefault="002453CF" w:rsidP="00832AD7">
      <w:pPr>
        <w:spacing w:after="0" w:line="240" w:lineRule="auto"/>
        <w:rPr>
          <w:rFonts w:cs="David"/>
          <w:b/>
          <w:bCs/>
          <w:sz w:val="16"/>
          <w:szCs w:val="16"/>
          <w:rtl/>
        </w:rPr>
      </w:pPr>
      <w:r w:rsidRPr="006C3B1F">
        <w:rPr>
          <w:rFonts w:cs="David" w:hint="cs"/>
          <w:b/>
          <w:bCs/>
          <w:sz w:val="24"/>
          <w:szCs w:val="24"/>
          <w:rtl/>
        </w:rPr>
        <w:t xml:space="preserve">                                 </w:t>
      </w:r>
      <w:r w:rsidR="006B7B96" w:rsidRPr="006C3B1F">
        <w:rPr>
          <w:rFonts w:cs="David" w:hint="cs"/>
          <w:b/>
          <w:bCs/>
          <w:sz w:val="24"/>
          <w:szCs w:val="24"/>
          <w:rtl/>
        </w:rPr>
        <w:t xml:space="preserve">           </w:t>
      </w:r>
      <w:r w:rsidR="00631744">
        <w:rPr>
          <w:rFonts w:cs="David" w:hint="cs"/>
          <w:b/>
          <w:bCs/>
          <w:sz w:val="24"/>
          <w:szCs w:val="24"/>
          <w:rtl/>
        </w:rPr>
        <w:t xml:space="preserve">           </w:t>
      </w:r>
      <w:r w:rsidR="006C3B1F">
        <w:rPr>
          <w:rFonts w:cs="David" w:hint="cs"/>
          <w:b/>
          <w:bCs/>
          <w:sz w:val="24"/>
          <w:szCs w:val="24"/>
          <w:rtl/>
        </w:rPr>
        <w:t xml:space="preserve">   </w:t>
      </w:r>
      <w:r w:rsidRPr="006C3B1F">
        <w:rPr>
          <w:rFonts w:cs="David" w:hint="cs"/>
          <w:b/>
          <w:bCs/>
          <w:sz w:val="24"/>
          <w:szCs w:val="24"/>
          <w:rtl/>
        </w:rPr>
        <w:t xml:space="preserve">  </w:t>
      </w:r>
      <w:r w:rsidR="001D42A7">
        <w:rPr>
          <w:rFonts w:hint="cs"/>
          <w:b/>
          <w:bCs/>
          <w:rtl/>
        </w:rPr>
        <w:t xml:space="preserve">  </w:t>
      </w:r>
    </w:p>
    <w:p w14:paraId="2FE13576" w14:textId="77777777" w:rsidR="00983123" w:rsidRPr="00832AD7" w:rsidRDefault="00983123" w:rsidP="00832AD7">
      <w:pPr>
        <w:spacing w:after="0" w:line="240" w:lineRule="auto"/>
        <w:jc w:val="right"/>
        <w:rPr>
          <w:rFonts w:ascii="Times New Roman" w:eastAsia="Times New Roman" w:hAnsi="Times New Roman" w:cs="David"/>
          <w:sz w:val="16"/>
          <w:szCs w:val="16"/>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DocDateEng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14 בדצמבר 2025</w:t>
      </w:r>
      <w:r w:rsidRPr="00832AD7">
        <w:rPr>
          <w:rFonts w:ascii="Times New Roman" w:eastAsia="Times New Roman" w:hAnsi="Times New Roman" w:cs="David" w:hint="cs"/>
          <w:sz w:val="16"/>
          <w:szCs w:val="16"/>
          <w:rtl/>
        </w:rPr>
        <w:fldChar w:fldCharType="end"/>
      </w:r>
    </w:p>
    <w:p w14:paraId="6DCCC01D" w14:textId="77777777" w:rsidR="00983123" w:rsidRPr="00832AD7" w:rsidRDefault="00983123" w:rsidP="00832AD7">
      <w:pPr>
        <w:spacing w:after="0" w:line="240" w:lineRule="auto"/>
        <w:jc w:val="right"/>
        <w:rPr>
          <w:rFonts w:ascii="Times New Roman" w:eastAsia="Times New Roman" w:hAnsi="Times New Roman" w:cs="David"/>
          <w:sz w:val="16"/>
          <w:szCs w:val="16"/>
          <w:rtl/>
        </w:rPr>
      </w:pPr>
      <w:r w:rsidRPr="00832AD7">
        <w:rPr>
          <w:rFonts w:ascii="Times New Roman" w:eastAsia="Times New Roman" w:hAnsi="Times New Roman" w:cs="David" w:hint="cs"/>
          <w:sz w:val="16"/>
          <w:szCs w:val="16"/>
          <w:rtl/>
        </w:rPr>
        <w:t xml:space="preserve">                                                                                                   </w:t>
      </w: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DocDateHeb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כ"ד בכסלו תשפ"ו</w:t>
      </w:r>
      <w:r w:rsidRPr="00832AD7">
        <w:rPr>
          <w:rFonts w:ascii="Times New Roman" w:eastAsia="Times New Roman" w:hAnsi="Times New Roman" w:cs="David" w:hint="cs"/>
          <w:sz w:val="16"/>
          <w:szCs w:val="16"/>
          <w:rtl/>
        </w:rPr>
        <w:fldChar w:fldCharType="end"/>
      </w:r>
    </w:p>
    <w:p w14:paraId="62F306FA" w14:textId="77777777" w:rsidR="00983123" w:rsidRPr="00983123" w:rsidRDefault="00983123" w:rsidP="00832AD7">
      <w:pPr>
        <w:spacing w:after="0" w:line="240" w:lineRule="auto"/>
        <w:jc w:val="right"/>
        <w:rPr>
          <w:rFonts w:ascii="Times New Roman" w:eastAsia="Times New Roman" w:hAnsi="Times New Roman" w:cs="David"/>
          <w:sz w:val="24"/>
          <w:szCs w:val="24"/>
          <w:rtl/>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DocNumber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4700-1039-2025-007383</w:t>
      </w:r>
      <w:r w:rsidRPr="00832AD7">
        <w:rPr>
          <w:rFonts w:ascii="Times New Roman" w:eastAsia="Times New Roman" w:hAnsi="Times New Roman" w:cs="David" w:hint="cs"/>
          <w:sz w:val="16"/>
          <w:szCs w:val="16"/>
          <w:rtl/>
        </w:rPr>
        <w:fldChar w:fldCharType="end"/>
      </w:r>
    </w:p>
    <w:p w14:paraId="205F9B22" w14:textId="77777777" w:rsidR="00515986" w:rsidRPr="00515986" w:rsidRDefault="00515986" w:rsidP="000C4D75">
      <w:pPr>
        <w:tabs>
          <w:tab w:val="num" w:pos="1080"/>
        </w:tabs>
        <w:spacing w:after="0" w:line="276" w:lineRule="auto"/>
        <w:jc w:val="both"/>
        <w:rPr>
          <w:rFonts w:ascii="Arial" w:eastAsia="Times New Roman" w:hAnsi="Arial" w:cs="David"/>
          <w:b/>
          <w:bCs/>
          <w:sz w:val="24"/>
          <w:szCs w:val="24"/>
        </w:rPr>
      </w:pPr>
    </w:p>
    <w:p w14:paraId="0ECF39ED" w14:textId="77777777" w:rsidR="00D3136C" w:rsidRPr="00D3136C" w:rsidRDefault="00D3136C" w:rsidP="00D3136C">
      <w:pPr>
        <w:spacing w:after="120" w:line="360" w:lineRule="auto"/>
        <w:jc w:val="center"/>
        <w:rPr>
          <w:rFonts w:ascii="FrankRuehl" w:hAnsi="FrankRuehl" w:cs="FrankRuehl"/>
          <w:b/>
          <w:bCs/>
          <w:color w:val="002060"/>
          <w:sz w:val="36"/>
          <w:szCs w:val="36"/>
          <w:u w:val="single"/>
          <w:rtl/>
        </w:rPr>
      </w:pPr>
      <w:r w:rsidRPr="00D3136C">
        <w:rPr>
          <w:rFonts w:ascii="FrankRuehl" w:hAnsi="FrankRuehl" w:cs="FrankRuehl"/>
          <w:b/>
          <w:bCs/>
          <w:color w:val="002060"/>
          <w:sz w:val="36"/>
          <w:szCs w:val="36"/>
          <w:u w:val="single"/>
          <w:rtl/>
        </w:rPr>
        <w:t>תקציר פסק</w:t>
      </w:r>
      <w:r w:rsidRPr="00D3136C">
        <w:rPr>
          <w:rFonts w:ascii="FrankRuehl" w:hAnsi="FrankRuehl" w:cs="FrankRuehl" w:hint="cs"/>
          <w:b/>
          <w:bCs/>
          <w:color w:val="002060"/>
          <w:sz w:val="36"/>
          <w:szCs w:val="36"/>
          <w:u w:val="single"/>
          <w:rtl/>
        </w:rPr>
        <w:t xml:space="preserve"> ה</w:t>
      </w:r>
      <w:r w:rsidRPr="00D3136C">
        <w:rPr>
          <w:rFonts w:ascii="FrankRuehl" w:hAnsi="FrankRuehl" w:cs="FrankRuehl"/>
          <w:b/>
          <w:bCs/>
          <w:color w:val="002060"/>
          <w:sz w:val="36"/>
          <w:szCs w:val="36"/>
          <w:u w:val="single"/>
          <w:rtl/>
        </w:rPr>
        <w:t>דין</w:t>
      </w:r>
      <w:r w:rsidRPr="00D3136C">
        <w:rPr>
          <w:rFonts w:ascii="FrankRuehl" w:hAnsi="FrankRuehl" w:cs="FrankRuehl" w:hint="cs"/>
          <w:b/>
          <w:bCs/>
          <w:color w:val="002060"/>
          <w:sz w:val="36"/>
          <w:szCs w:val="36"/>
          <w:u w:val="single"/>
          <w:rtl/>
        </w:rPr>
        <w:t xml:space="preserve"> - </w:t>
      </w:r>
      <w:r w:rsidRPr="00D3136C">
        <w:rPr>
          <w:rFonts w:ascii="FrankRuehl" w:hAnsi="FrankRuehl" w:cs="FrankRuehl"/>
          <w:b/>
          <w:bCs/>
          <w:color w:val="002060"/>
          <w:sz w:val="36"/>
          <w:szCs w:val="36"/>
          <w:u w:val="single"/>
          <w:rtl/>
        </w:rPr>
        <w:t>בג"ץ 18225-06-25 גילון נ' ממשלת ישראל ו-5 עתירות נוספות</w:t>
      </w:r>
    </w:p>
    <w:p w14:paraId="3EEDF305" w14:textId="77777777" w:rsidR="00D3136C" w:rsidRPr="006157C3" w:rsidRDefault="00D3136C" w:rsidP="00D3136C">
      <w:pPr>
        <w:spacing w:after="120"/>
        <w:jc w:val="center"/>
        <w:rPr>
          <w:rFonts w:ascii="David" w:hAnsi="David" w:cs="David"/>
          <w:b/>
          <w:bCs/>
          <w:sz w:val="20"/>
          <w:szCs w:val="20"/>
          <w:u w:val="single"/>
          <w:rtl/>
        </w:rPr>
      </w:pPr>
    </w:p>
    <w:p w14:paraId="4990C9F4" w14:textId="77777777" w:rsidR="00D3136C" w:rsidRPr="00086CDC" w:rsidRDefault="00D3136C" w:rsidP="00D3136C">
      <w:pPr>
        <w:spacing w:after="120" w:line="360" w:lineRule="auto"/>
        <w:jc w:val="both"/>
        <w:rPr>
          <w:rFonts w:ascii="David" w:eastAsia="Times New Roman" w:hAnsi="David" w:cs="David"/>
          <w:color w:val="44546A" w:themeColor="text2"/>
          <w:spacing w:val="10"/>
          <w:sz w:val="20"/>
          <w:szCs w:val="24"/>
          <w:rtl/>
        </w:rPr>
      </w:pPr>
      <w:r w:rsidRPr="00086CDC">
        <w:rPr>
          <w:rFonts w:ascii="David" w:eastAsia="Times New Roman" w:hAnsi="David" w:cs="David"/>
          <w:b/>
          <w:bCs/>
          <w:color w:val="44546A" w:themeColor="text2"/>
          <w:spacing w:val="10"/>
          <w:sz w:val="20"/>
          <w:szCs w:val="24"/>
          <w:u w:val="single"/>
          <w:rtl/>
        </w:rPr>
        <w:t>הרכב השופטים:</w:t>
      </w:r>
      <w:r w:rsidRPr="00086CDC">
        <w:rPr>
          <w:rFonts w:ascii="David" w:eastAsia="Times New Roman" w:hAnsi="David" w:cs="David"/>
          <w:color w:val="44546A" w:themeColor="text2"/>
          <w:spacing w:val="10"/>
          <w:sz w:val="20"/>
          <w:szCs w:val="24"/>
          <w:rtl/>
        </w:rPr>
        <w:t xml:space="preserve"> הנשיא יצחק עמית, המשנה לנשיא נעם סולברג</w:t>
      </w:r>
      <w:r w:rsidRPr="00086CDC">
        <w:rPr>
          <w:rFonts w:ascii="David" w:eastAsia="Times New Roman" w:hAnsi="David" w:cs="David" w:hint="cs"/>
          <w:color w:val="44546A" w:themeColor="text2"/>
          <w:spacing w:val="10"/>
          <w:sz w:val="20"/>
          <w:szCs w:val="24"/>
          <w:rtl/>
        </w:rPr>
        <w:t>, השופט</w:t>
      </w:r>
      <w:r w:rsidRPr="00086CDC">
        <w:rPr>
          <w:rFonts w:ascii="David" w:eastAsia="Times New Roman" w:hAnsi="David" w:cs="David"/>
          <w:color w:val="44546A" w:themeColor="text2"/>
          <w:spacing w:val="10"/>
          <w:sz w:val="20"/>
          <w:szCs w:val="24"/>
          <w:rtl/>
        </w:rPr>
        <w:t xml:space="preserve"> דוד מינץ, </w:t>
      </w:r>
      <w:r w:rsidRPr="00086CDC">
        <w:rPr>
          <w:rFonts w:ascii="David" w:eastAsia="Times New Roman" w:hAnsi="David" w:cs="David" w:hint="cs"/>
          <w:color w:val="44546A" w:themeColor="text2"/>
          <w:spacing w:val="10"/>
          <w:sz w:val="20"/>
          <w:szCs w:val="24"/>
          <w:rtl/>
        </w:rPr>
        <w:t xml:space="preserve">השופט </w:t>
      </w:r>
      <w:r w:rsidRPr="00086CDC">
        <w:rPr>
          <w:rFonts w:ascii="David" w:eastAsia="Times New Roman" w:hAnsi="David" w:cs="David"/>
          <w:color w:val="44546A" w:themeColor="text2"/>
          <w:spacing w:val="10"/>
          <w:sz w:val="20"/>
          <w:szCs w:val="24"/>
          <w:rtl/>
        </w:rPr>
        <w:t xml:space="preserve">עופר גרוסקופף, </w:t>
      </w:r>
      <w:r w:rsidRPr="00086CDC">
        <w:rPr>
          <w:rFonts w:ascii="David" w:eastAsia="Times New Roman" w:hAnsi="David" w:cs="David" w:hint="cs"/>
          <w:color w:val="44546A" w:themeColor="text2"/>
          <w:spacing w:val="10"/>
          <w:sz w:val="20"/>
          <w:szCs w:val="24"/>
          <w:rtl/>
        </w:rPr>
        <w:t>השופט א</w:t>
      </w:r>
      <w:r w:rsidRPr="00086CDC">
        <w:rPr>
          <w:rFonts w:ascii="David" w:eastAsia="Times New Roman" w:hAnsi="David" w:cs="David"/>
          <w:color w:val="44546A" w:themeColor="text2"/>
          <w:spacing w:val="10"/>
          <w:sz w:val="20"/>
          <w:szCs w:val="24"/>
          <w:rtl/>
        </w:rPr>
        <w:t xml:space="preserve">לכס שטיין, </w:t>
      </w:r>
      <w:r w:rsidRPr="00086CDC">
        <w:rPr>
          <w:rFonts w:ascii="David" w:eastAsia="Times New Roman" w:hAnsi="David" w:cs="David" w:hint="cs"/>
          <w:color w:val="44546A" w:themeColor="text2"/>
          <w:spacing w:val="10"/>
          <w:sz w:val="20"/>
          <w:szCs w:val="24"/>
          <w:rtl/>
        </w:rPr>
        <w:t xml:space="preserve">השופטת </w:t>
      </w:r>
      <w:r w:rsidRPr="00086CDC">
        <w:rPr>
          <w:rFonts w:ascii="David" w:eastAsia="Times New Roman" w:hAnsi="David" w:cs="David"/>
          <w:color w:val="44546A" w:themeColor="text2"/>
          <w:spacing w:val="10"/>
          <w:sz w:val="20"/>
          <w:szCs w:val="24"/>
          <w:rtl/>
        </w:rPr>
        <w:t>גילה כנפי-שטייניץ</w:t>
      </w:r>
      <w:r w:rsidRPr="00086CDC">
        <w:rPr>
          <w:rFonts w:ascii="David" w:eastAsia="Times New Roman" w:hAnsi="David" w:cs="David" w:hint="cs"/>
          <w:color w:val="44546A" w:themeColor="text2"/>
          <w:spacing w:val="10"/>
          <w:sz w:val="20"/>
          <w:szCs w:val="24"/>
          <w:rtl/>
        </w:rPr>
        <w:t xml:space="preserve">, השופט </w:t>
      </w:r>
      <w:r w:rsidRPr="00086CDC">
        <w:rPr>
          <w:rFonts w:ascii="David" w:eastAsia="Times New Roman" w:hAnsi="David" w:cs="David"/>
          <w:color w:val="44546A" w:themeColor="text2"/>
          <w:spacing w:val="10"/>
          <w:sz w:val="20"/>
          <w:szCs w:val="24"/>
          <w:rtl/>
        </w:rPr>
        <w:t>חאלד כבוב.</w:t>
      </w:r>
    </w:p>
    <w:p w14:paraId="52A065E3" w14:textId="77777777" w:rsidR="00D3136C" w:rsidRPr="00086CDC" w:rsidRDefault="00D3136C" w:rsidP="00D3136C">
      <w:pPr>
        <w:rPr>
          <w:rFonts w:ascii="David" w:hAnsi="David" w:cs="David"/>
          <w:color w:val="44546A" w:themeColor="text2"/>
          <w:sz w:val="24"/>
          <w:szCs w:val="24"/>
          <w:rtl/>
        </w:rPr>
      </w:pPr>
    </w:p>
    <w:p w14:paraId="6E71A3E8" w14:textId="77777777" w:rsidR="00D3136C" w:rsidRPr="00086CDC" w:rsidRDefault="00D3136C" w:rsidP="00D3136C">
      <w:pPr>
        <w:spacing w:line="360" w:lineRule="auto"/>
        <w:jc w:val="both"/>
        <w:rPr>
          <w:rFonts w:ascii="David" w:eastAsia="Times New Roman" w:hAnsi="David" w:cs="David"/>
          <w:b/>
          <w:bCs/>
          <w:color w:val="44546A" w:themeColor="text2"/>
          <w:spacing w:val="10"/>
          <w:sz w:val="20"/>
          <w:szCs w:val="24"/>
          <w:rtl/>
        </w:rPr>
      </w:pPr>
      <w:r w:rsidRPr="00086CDC">
        <w:rPr>
          <w:rFonts w:ascii="David" w:eastAsia="Times New Roman" w:hAnsi="David" w:cs="David"/>
          <w:b/>
          <w:bCs/>
          <w:color w:val="44546A" w:themeColor="text2"/>
          <w:spacing w:val="10"/>
          <w:sz w:val="20"/>
          <w:szCs w:val="24"/>
          <w:rtl/>
        </w:rPr>
        <w:t>בית המשפט העליון הורה היום, פה אחד ובהרכב מורחב של שבעה שופטים, על בטלותן של שתי החלטות ממשלה</w:t>
      </w:r>
      <w:r w:rsidRPr="00086CDC">
        <w:rPr>
          <w:rFonts w:ascii="David" w:eastAsia="Times New Roman" w:hAnsi="David" w:cs="David" w:hint="cs"/>
          <w:b/>
          <w:bCs/>
          <w:color w:val="44546A" w:themeColor="text2"/>
          <w:spacing w:val="10"/>
          <w:sz w:val="20"/>
          <w:szCs w:val="24"/>
          <w:rtl/>
        </w:rPr>
        <w:t>,</w:t>
      </w:r>
      <w:r w:rsidRPr="00086CDC">
        <w:rPr>
          <w:rFonts w:ascii="David" w:eastAsia="Times New Roman" w:hAnsi="David" w:cs="David"/>
          <w:b/>
          <w:bCs/>
          <w:color w:val="44546A" w:themeColor="text2"/>
          <w:spacing w:val="10"/>
          <w:sz w:val="20"/>
          <w:szCs w:val="24"/>
          <w:rtl/>
        </w:rPr>
        <w:t xml:space="preserve"> במסגרתן </w:t>
      </w:r>
      <w:r w:rsidRPr="00086CDC">
        <w:rPr>
          <w:rFonts w:ascii="David" w:eastAsia="Times New Roman" w:hAnsi="David" w:cs="David" w:hint="cs"/>
          <w:b/>
          <w:bCs/>
          <w:color w:val="44546A" w:themeColor="text2"/>
          <w:spacing w:val="10"/>
          <w:sz w:val="20"/>
          <w:szCs w:val="24"/>
          <w:rtl/>
        </w:rPr>
        <w:t>הוחלט על שינוי</w:t>
      </w:r>
      <w:r w:rsidRPr="00086CDC">
        <w:rPr>
          <w:rFonts w:ascii="David" w:eastAsia="Times New Roman" w:hAnsi="David" w:cs="David"/>
          <w:b/>
          <w:bCs/>
          <w:color w:val="44546A" w:themeColor="text2"/>
          <w:spacing w:val="10"/>
          <w:sz w:val="20"/>
          <w:szCs w:val="24"/>
          <w:rtl/>
        </w:rPr>
        <w:t xml:space="preserve"> מנגנון הפסקת </w:t>
      </w:r>
      <w:r w:rsidRPr="00086CDC">
        <w:rPr>
          <w:rFonts w:ascii="David" w:eastAsia="Times New Roman" w:hAnsi="David" w:cs="David" w:hint="cs"/>
          <w:b/>
          <w:bCs/>
          <w:color w:val="44546A" w:themeColor="text2"/>
          <w:spacing w:val="10"/>
          <w:sz w:val="20"/>
          <w:szCs w:val="24"/>
          <w:rtl/>
        </w:rPr>
        <w:t>כהונתו</w:t>
      </w:r>
      <w:r w:rsidRPr="00086CDC">
        <w:rPr>
          <w:rFonts w:ascii="David" w:eastAsia="Times New Roman" w:hAnsi="David" w:cs="David"/>
          <w:b/>
          <w:bCs/>
          <w:color w:val="44546A" w:themeColor="text2"/>
          <w:spacing w:val="10"/>
          <w:sz w:val="20"/>
          <w:szCs w:val="24"/>
          <w:rtl/>
        </w:rPr>
        <w:t xml:space="preserve"> של היועץ המשפטי לממשלה, ובהמשך לכך על פיטוריה של היועצת המשפטית לממשלה המכהנת, עו"ד גלי </w:t>
      </w:r>
      <w:proofErr w:type="spellStart"/>
      <w:r w:rsidRPr="00086CDC">
        <w:rPr>
          <w:rFonts w:ascii="David" w:eastAsia="Times New Roman" w:hAnsi="David" w:cs="David"/>
          <w:b/>
          <w:bCs/>
          <w:color w:val="44546A" w:themeColor="text2"/>
          <w:spacing w:val="10"/>
          <w:sz w:val="20"/>
          <w:szCs w:val="24"/>
          <w:rtl/>
        </w:rPr>
        <w:t>בהרב</w:t>
      </w:r>
      <w:proofErr w:type="spellEnd"/>
      <w:r w:rsidRPr="00086CDC">
        <w:rPr>
          <w:rFonts w:ascii="David" w:eastAsia="Times New Roman" w:hAnsi="David" w:cs="David"/>
          <w:b/>
          <w:bCs/>
          <w:color w:val="44546A" w:themeColor="text2"/>
          <w:spacing w:val="10"/>
          <w:sz w:val="20"/>
          <w:szCs w:val="24"/>
          <w:rtl/>
        </w:rPr>
        <w:t>-מיארה. בית המשפט העליון קבע כי בהחלטה על שינוי מנגנון הפסקת הכהונה – שביטלה את חובת הממשלה להיוועץ בוועדה מקצועית-ציבורית כתנאי לפיטורי היועץ המשפטי לממשלה – נפל</w:t>
      </w:r>
      <w:r w:rsidRPr="00086CDC">
        <w:rPr>
          <w:rFonts w:ascii="David" w:eastAsia="Times New Roman" w:hAnsi="David" w:cs="David" w:hint="cs"/>
          <w:b/>
          <w:bCs/>
          <w:color w:val="44546A" w:themeColor="text2"/>
          <w:spacing w:val="10"/>
          <w:sz w:val="20"/>
          <w:szCs w:val="24"/>
          <w:rtl/>
        </w:rPr>
        <w:t xml:space="preserve">ו </w:t>
      </w:r>
      <w:r w:rsidRPr="00086CDC">
        <w:rPr>
          <w:rFonts w:ascii="David" w:eastAsia="Times New Roman" w:hAnsi="David" w:cs="David"/>
          <w:b/>
          <w:bCs/>
          <w:color w:val="44546A" w:themeColor="text2"/>
          <w:spacing w:val="10"/>
          <w:sz w:val="20"/>
          <w:szCs w:val="24"/>
          <w:rtl/>
        </w:rPr>
        <w:t xml:space="preserve">פגמים הליכיים </w:t>
      </w:r>
      <w:r w:rsidRPr="00086CDC">
        <w:rPr>
          <w:rFonts w:ascii="David" w:eastAsia="Times New Roman" w:hAnsi="David" w:cs="David" w:hint="cs"/>
          <w:b/>
          <w:bCs/>
          <w:color w:val="44546A" w:themeColor="text2"/>
          <w:spacing w:val="10"/>
          <w:sz w:val="20"/>
          <w:szCs w:val="24"/>
          <w:rtl/>
        </w:rPr>
        <w:t>רבים</w:t>
      </w:r>
      <w:r w:rsidRPr="00086CDC">
        <w:rPr>
          <w:rFonts w:ascii="David" w:eastAsia="Times New Roman" w:hAnsi="David" w:cs="David"/>
          <w:b/>
          <w:bCs/>
          <w:color w:val="44546A" w:themeColor="text2"/>
          <w:spacing w:val="10"/>
          <w:sz w:val="20"/>
          <w:szCs w:val="24"/>
          <w:rtl/>
        </w:rPr>
        <w:t xml:space="preserve"> המחייבים את בטלותה. משכך, נקבע כי הממשלה לא הייתה רשאית </w:t>
      </w:r>
      <w:r w:rsidRPr="00086CDC">
        <w:rPr>
          <w:rFonts w:ascii="David" w:eastAsia="Times New Roman" w:hAnsi="David" w:cs="David" w:hint="cs"/>
          <w:b/>
          <w:bCs/>
          <w:color w:val="44546A" w:themeColor="text2"/>
          <w:spacing w:val="10"/>
          <w:sz w:val="20"/>
          <w:szCs w:val="24"/>
          <w:rtl/>
        </w:rPr>
        <w:t>להחליט</w:t>
      </w:r>
      <w:r w:rsidRPr="00086CDC">
        <w:rPr>
          <w:rFonts w:ascii="David" w:eastAsia="Times New Roman" w:hAnsi="David" w:cs="David"/>
          <w:b/>
          <w:bCs/>
          <w:color w:val="44546A" w:themeColor="text2"/>
          <w:spacing w:val="10"/>
          <w:sz w:val="20"/>
          <w:szCs w:val="24"/>
          <w:rtl/>
        </w:rPr>
        <w:t xml:space="preserve"> על פיטוריה של היועצת המשפטית לממשלה מכוח </w:t>
      </w:r>
      <w:r w:rsidRPr="00086CDC">
        <w:rPr>
          <w:rFonts w:ascii="David" w:eastAsia="Times New Roman" w:hAnsi="David" w:cs="David" w:hint="cs"/>
          <w:b/>
          <w:bCs/>
          <w:color w:val="44546A" w:themeColor="text2"/>
          <w:spacing w:val="10"/>
          <w:sz w:val="20"/>
          <w:szCs w:val="24"/>
          <w:rtl/>
        </w:rPr>
        <w:t>מנגנון הפסקת הכהונה</w:t>
      </w:r>
      <w:r w:rsidRPr="00086CDC">
        <w:rPr>
          <w:rFonts w:ascii="David" w:eastAsia="Times New Roman" w:hAnsi="David" w:cs="David"/>
          <w:b/>
          <w:bCs/>
          <w:color w:val="44546A" w:themeColor="text2"/>
          <w:spacing w:val="10"/>
          <w:sz w:val="20"/>
          <w:szCs w:val="24"/>
          <w:rtl/>
        </w:rPr>
        <w:t xml:space="preserve"> החדש, מבלי לפנות קודם לכן לוועדה המקצועית-ציבורית. בהתאם, הובהר כי היועצת המשפטית לממשלה, עו"ד </w:t>
      </w:r>
      <w:proofErr w:type="spellStart"/>
      <w:r w:rsidRPr="00086CDC">
        <w:rPr>
          <w:rFonts w:ascii="David" w:eastAsia="Times New Roman" w:hAnsi="David" w:cs="David"/>
          <w:b/>
          <w:bCs/>
          <w:color w:val="44546A" w:themeColor="text2"/>
          <w:spacing w:val="10"/>
          <w:sz w:val="20"/>
          <w:szCs w:val="24"/>
          <w:rtl/>
        </w:rPr>
        <w:t>בהרב</w:t>
      </w:r>
      <w:proofErr w:type="spellEnd"/>
      <w:r w:rsidRPr="00086CDC">
        <w:rPr>
          <w:rFonts w:ascii="David" w:eastAsia="Times New Roman" w:hAnsi="David" w:cs="David"/>
          <w:b/>
          <w:bCs/>
          <w:color w:val="44546A" w:themeColor="text2"/>
          <w:spacing w:val="10"/>
          <w:sz w:val="20"/>
          <w:szCs w:val="24"/>
          <w:rtl/>
        </w:rPr>
        <w:t xml:space="preserve">-מיארה, מוסיפה לכהן בתפקידה כדין, על כל המשתמע מכך.  </w:t>
      </w:r>
    </w:p>
    <w:p w14:paraId="18A9F172" w14:textId="77777777" w:rsidR="00D3136C" w:rsidRPr="00086CDC" w:rsidRDefault="00D3136C" w:rsidP="00D3136C">
      <w:pPr>
        <w:spacing w:line="360" w:lineRule="auto"/>
        <w:jc w:val="both"/>
        <w:rPr>
          <w:rFonts w:ascii="David" w:eastAsia="Times New Roman" w:hAnsi="David" w:cs="David"/>
          <w:b/>
          <w:bCs/>
          <w:color w:val="44546A" w:themeColor="text2"/>
          <w:spacing w:val="10"/>
          <w:sz w:val="20"/>
          <w:szCs w:val="24"/>
          <w:rtl/>
        </w:rPr>
      </w:pPr>
    </w:p>
    <w:p w14:paraId="4AA0671F" w14:textId="77777777" w:rsidR="00D3136C" w:rsidRPr="00086CDC" w:rsidRDefault="00D3136C" w:rsidP="00D3136C">
      <w:pPr>
        <w:spacing w:line="360" w:lineRule="auto"/>
        <w:jc w:val="both"/>
        <w:rPr>
          <w:rFonts w:ascii="Century" w:eastAsia="Times New Roman" w:hAnsi="Century" w:cs="David"/>
          <w:color w:val="44546A" w:themeColor="text2"/>
          <w:spacing w:val="10"/>
          <w:sz w:val="24"/>
          <w:szCs w:val="24"/>
          <w:rtl/>
        </w:rPr>
      </w:pPr>
      <w:r w:rsidRPr="00086CDC">
        <w:rPr>
          <w:rFonts w:ascii="Century" w:eastAsia="Times New Roman" w:hAnsi="Century" w:cs="David" w:hint="cs"/>
          <w:color w:val="44546A" w:themeColor="text2"/>
          <w:spacing w:val="10"/>
          <w:sz w:val="24"/>
          <w:szCs w:val="24"/>
          <w:rtl/>
        </w:rPr>
        <w:t xml:space="preserve">ברקע הדברים עומדת החלטת ממשלה 2274 מיום 20.8.2000 (להלן: </w:t>
      </w:r>
      <w:r w:rsidRPr="00086CDC">
        <w:rPr>
          <w:rFonts w:ascii="Century" w:eastAsia="Times New Roman" w:hAnsi="Century" w:cs="David" w:hint="cs"/>
          <w:b/>
          <w:bCs/>
          <w:color w:val="44546A" w:themeColor="text2"/>
          <w:spacing w:val="10"/>
          <w:sz w:val="24"/>
          <w:szCs w:val="24"/>
          <w:rtl/>
        </w:rPr>
        <w:t>החלטה 2274</w:t>
      </w:r>
      <w:r w:rsidRPr="00086CDC">
        <w:rPr>
          <w:rFonts w:ascii="Century" w:eastAsia="Times New Roman" w:hAnsi="Century" w:cs="David" w:hint="cs"/>
          <w:color w:val="44546A" w:themeColor="text2"/>
          <w:spacing w:val="10"/>
          <w:sz w:val="24"/>
          <w:szCs w:val="24"/>
          <w:rtl/>
        </w:rPr>
        <w:t>), שהתקבלה לפני כ-25 שנה בעקבות דו"ח הוועדה הציבורית לבחינת דרכי מינוי היועץ המשפטי לממשלה, בראשות נשיא בית המשפט העליון (</w:t>
      </w:r>
      <w:proofErr w:type="spellStart"/>
      <w:r w:rsidRPr="00086CDC">
        <w:rPr>
          <w:rFonts w:ascii="Century" w:eastAsia="Times New Roman" w:hAnsi="Century" w:cs="David" w:hint="cs"/>
          <w:color w:val="44546A" w:themeColor="text2"/>
          <w:spacing w:val="10"/>
          <w:sz w:val="24"/>
          <w:szCs w:val="24"/>
          <w:rtl/>
        </w:rPr>
        <w:t>בדימ</w:t>
      </w:r>
      <w:proofErr w:type="spellEnd"/>
      <w:r w:rsidRPr="00086CDC">
        <w:rPr>
          <w:rFonts w:ascii="Century" w:eastAsia="Times New Roman" w:hAnsi="Century" w:cs="David" w:hint="cs"/>
          <w:color w:val="44546A" w:themeColor="text2"/>
          <w:spacing w:val="10"/>
          <w:sz w:val="24"/>
          <w:szCs w:val="24"/>
          <w:rtl/>
        </w:rPr>
        <w:t xml:space="preserve">') מאיר שמגר (להלן: </w:t>
      </w:r>
      <w:r w:rsidRPr="00086CDC">
        <w:rPr>
          <w:rFonts w:ascii="Century" w:eastAsia="Times New Roman" w:hAnsi="Century" w:cs="David" w:hint="cs"/>
          <w:bCs/>
          <w:color w:val="44546A" w:themeColor="text2"/>
          <w:spacing w:val="10"/>
          <w:sz w:val="24"/>
          <w:szCs w:val="24"/>
          <w:rtl/>
        </w:rPr>
        <w:t>ועדת שמגר</w:t>
      </w:r>
      <w:r w:rsidRPr="00086CDC">
        <w:rPr>
          <w:rFonts w:ascii="Century" w:eastAsia="Times New Roman" w:hAnsi="Century" w:cs="David" w:hint="cs"/>
          <w:color w:val="44546A" w:themeColor="text2"/>
          <w:spacing w:val="10"/>
          <w:sz w:val="24"/>
          <w:szCs w:val="24"/>
          <w:rtl/>
        </w:rPr>
        <w:t xml:space="preserve">). ועדת שמגר התריעה מפני הסכנה הגלומה בריכוז סמכויות המינוי והפיטורים של היועץ המשפטי לממשלה בידי הדרג הפוליטי בלבד, והמליצה לקבוע חובת היוועצות בוועדה מקצועית-ציבורית, אשר תשמש "גורם מקצועי חיצוני" ותביא את המלצתה בפני הממשלה. </w:t>
      </w:r>
      <w:r w:rsidRPr="00086CDC">
        <w:rPr>
          <w:rFonts w:ascii="Century" w:eastAsia="Times New Roman" w:hAnsi="Century" w:cs="David"/>
          <w:color w:val="44546A" w:themeColor="text2"/>
          <w:spacing w:val="10"/>
          <w:sz w:val="24"/>
          <w:szCs w:val="24"/>
          <w:rtl/>
        </w:rPr>
        <w:t xml:space="preserve">החלטה 2274 אימצה </w:t>
      </w:r>
      <w:r w:rsidRPr="00086CDC">
        <w:rPr>
          <w:rFonts w:ascii="Century" w:eastAsia="Times New Roman" w:hAnsi="Century" w:cs="David" w:hint="cs"/>
          <w:color w:val="44546A" w:themeColor="text2"/>
          <w:spacing w:val="10"/>
          <w:sz w:val="24"/>
          <w:szCs w:val="24"/>
          <w:rtl/>
        </w:rPr>
        <w:t xml:space="preserve">עמדה </w:t>
      </w:r>
      <w:r w:rsidRPr="00086CDC">
        <w:rPr>
          <w:rFonts w:ascii="Century" w:eastAsia="Times New Roman" w:hAnsi="Century" w:cs="David"/>
          <w:color w:val="44546A" w:themeColor="text2"/>
          <w:spacing w:val="10"/>
          <w:sz w:val="24"/>
          <w:szCs w:val="24"/>
          <w:rtl/>
        </w:rPr>
        <w:t xml:space="preserve">זו, </w:t>
      </w:r>
      <w:r w:rsidRPr="00086CDC">
        <w:rPr>
          <w:rFonts w:ascii="Century" w:eastAsia="Times New Roman" w:hAnsi="Century" w:cs="David" w:hint="cs"/>
          <w:color w:val="44546A" w:themeColor="text2"/>
          <w:spacing w:val="10"/>
          <w:sz w:val="24"/>
          <w:szCs w:val="24"/>
          <w:rtl/>
        </w:rPr>
        <w:t>הסדירה</w:t>
      </w:r>
      <w:r w:rsidRPr="00086CDC">
        <w:rPr>
          <w:rFonts w:ascii="Century" w:eastAsia="Times New Roman" w:hAnsi="Century" w:cs="David"/>
          <w:color w:val="44546A" w:themeColor="text2"/>
          <w:spacing w:val="10"/>
          <w:sz w:val="24"/>
          <w:szCs w:val="24"/>
          <w:rtl/>
        </w:rPr>
        <w:t xml:space="preserve"> את הרכב הוועדה</w:t>
      </w:r>
      <w:r w:rsidRPr="00086CDC">
        <w:rPr>
          <w:rFonts w:ascii="Century" w:eastAsia="Times New Roman" w:hAnsi="Century" w:cs="David" w:hint="cs"/>
          <w:color w:val="44546A" w:themeColor="text2"/>
          <w:spacing w:val="10"/>
          <w:sz w:val="24"/>
          <w:szCs w:val="24"/>
          <w:rtl/>
        </w:rPr>
        <w:t xml:space="preserve"> המקצועית-ציבורית</w:t>
      </w:r>
      <w:r w:rsidRPr="00086CDC">
        <w:rPr>
          <w:rFonts w:ascii="Century" w:eastAsia="Times New Roman" w:hAnsi="Century" w:cs="David"/>
          <w:color w:val="44546A" w:themeColor="text2"/>
          <w:spacing w:val="10"/>
          <w:sz w:val="24"/>
          <w:szCs w:val="24"/>
          <w:rtl/>
        </w:rPr>
        <w:t xml:space="preserve">, וחייבה את הממשלה להיוועץ </w:t>
      </w:r>
      <w:r w:rsidRPr="00086CDC">
        <w:rPr>
          <w:rFonts w:ascii="Century" w:eastAsia="Times New Roman" w:hAnsi="Century" w:cs="David" w:hint="cs"/>
          <w:color w:val="44546A" w:themeColor="text2"/>
          <w:spacing w:val="10"/>
          <w:sz w:val="24"/>
          <w:szCs w:val="24"/>
          <w:rtl/>
        </w:rPr>
        <w:t>בה</w:t>
      </w:r>
      <w:r w:rsidRPr="00086CDC">
        <w:rPr>
          <w:rFonts w:ascii="Century" w:eastAsia="Times New Roman" w:hAnsi="Century" w:cs="David"/>
          <w:color w:val="44546A" w:themeColor="text2"/>
          <w:spacing w:val="10"/>
          <w:sz w:val="24"/>
          <w:szCs w:val="24"/>
          <w:rtl/>
        </w:rPr>
        <w:t xml:space="preserve"> הן במינוי יועץ משפטי לממשלה והן בפיטוריו</w:t>
      </w:r>
      <w:r w:rsidRPr="00086CDC">
        <w:rPr>
          <w:rFonts w:ascii="Century" w:eastAsia="Times New Roman" w:hAnsi="Century" w:cs="David" w:hint="cs"/>
          <w:color w:val="44546A" w:themeColor="text2"/>
          <w:spacing w:val="10"/>
          <w:sz w:val="24"/>
          <w:szCs w:val="24"/>
          <w:rtl/>
        </w:rPr>
        <w:t>.</w:t>
      </w:r>
    </w:p>
    <w:p w14:paraId="06A0FFC2" w14:textId="77777777" w:rsidR="00D3136C" w:rsidRPr="00086CDC" w:rsidRDefault="00D3136C" w:rsidP="00D3136C">
      <w:pPr>
        <w:spacing w:line="360" w:lineRule="auto"/>
        <w:jc w:val="both"/>
        <w:rPr>
          <w:rFonts w:ascii="Century" w:eastAsia="Times New Roman" w:hAnsi="Century" w:cs="David"/>
          <w:color w:val="44546A" w:themeColor="text2"/>
          <w:spacing w:val="10"/>
          <w:sz w:val="24"/>
          <w:szCs w:val="24"/>
          <w:rtl/>
        </w:rPr>
      </w:pPr>
      <w:r w:rsidRPr="00086CDC">
        <w:rPr>
          <w:rFonts w:ascii="Century" w:eastAsia="Times New Roman" w:hAnsi="Century" w:cs="David" w:hint="cs"/>
          <w:color w:val="44546A" w:themeColor="text2"/>
          <w:spacing w:val="10"/>
          <w:sz w:val="24"/>
          <w:szCs w:val="24"/>
          <w:rtl/>
        </w:rPr>
        <w:t xml:space="preserve">שתי החלטות הממשלה שבמוקד ההליכים הנוכחיים, חרגו מהמלצות ועדת שמגר וממנגנון הפסקת הכהונה שנקבע בהחלטה 2274. תחילה, בהחלטת ממשלה 3125 מיום 8.6.2025 (להלן גם: </w:t>
      </w:r>
      <w:r w:rsidRPr="00086CDC">
        <w:rPr>
          <w:rFonts w:ascii="Century" w:eastAsia="Times New Roman" w:hAnsi="Century" w:cs="David" w:hint="cs"/>
          <w:bCs/>
          <w:color w:val="44546A" w:themeColor="text2"/>
          <w:spacing w:val="10"/>
          <w:sz w:val="24"/>
          <w:szCs w:val="24"/>
          <w:rtl/>
        </w:rPr>
        <w:t>החלטת התיקון</w:t>
      </w:r>
      <w:r w:rsidRPr="00086CDC">
        <w:rPr>
          <w:rFonts w:ascii="Century" w:eastAsia="Times New Roman" w:hAnsi="Century" w:cs="David" w:hint="cs"/>
          <w:color w:val="44546A" w:themeColor="text2"/>
          <w:spacing w:val="10"/>
          <w:sz w:val="24"/>
          <w:szCs w:val="24"/>
          <w:rtl/>
        </w:rPr>
        <w:t xml:space="preserve">) בוטלה חובת ההיוועצות בוועדה המקצועית-ציבורית כתנאי להפסקת כהונת היועץ המשפטי לממשלה, ובמקומה נקבע כי הממשלה תיוועץ בוועדת שרים פנימית </w:t>
      </w:r>
      <w:r w:rsidRPr="00086CDC">
        <w:rPr>
          <w:rFonts w:ascii="Century" w:eastAsia="Times New Roman" w:hAnsi="Century" w:cs="David"/>
          <w:color w:val="44546A" w:themeColor="text2"/>
          <w:spacing w:val="10"/>
          <w:sz w:val="24"/>
          <w:szCs w:val="24"/>
          <w:rtl/>
        </w:rPr>
        <w:t>–</w:t>
      </w:r>
      <w:r w:rsidRPr="00086CDC">
        <w:rPr>
          <w:rFonts w:ascii="Century" w:eastAsia="Times New Roman" w:hAnsi="Century" w:cs="David" w:hint="cs"/>
          <w:color w:val="44546A" w:themeColor="text2"/>
          <w:spacing w:val="10"/>
          <w:sz w:val="24"/>
          <w:szCs w:val="24"/>
          <w:rtl/>
        </w:rPr>
        <w:t xml:space="preserve"> המורכבת מחברי ממשלה בלבד. לאחר מכן, בהחלטת ממשלה 3306 מיום 4.8.2025, יישמה הממשלה באופן מיידי את המתווה החדש, והחליטה להפסיק לאלתר את כהונת היועצת המשפטית לממשלה המכהנת, עו"ד </w:t>
      </w:r>
      <w:proofErr w:type="spellStart"/>
      <w:r w:rsidRPr="00086CDC">
        <w:rPr>
          <w:rFonts w:ascii="Century" w:eastAsia="Times New Roman" w:hAnsi="Century" w:cs="David" w:hint="cs"/>
          <w:color w:val="44546A" w:themeColor="text2"/>
          <w:spacing w:val="10"/>
          <w:sz w:val="24"/>
          <w:szCs w:val="24"/>
          <w:rtl/>
        </w:rPr>
        <w:t>בהרב</w:t>
      </w:r>
      <w:proofErr w:type="spellEnd"/>
      <w:r w:rsidRPr="00086CDC">
        <w:rPr>
          <w:rFonts w:ascii="Century" w:eastAsia="Times New Roman" w:hAnsi="Century" w:cs="David" w:hint="cs"/>
          <w:color w:val="44546A" w:themeColor="text2"/>
          <w:spacing w:val="10"/>
          <w:sz w:val="24"/>
          <w:szCs w:val="24"/>
          <w:rtl/>
        </w:rPr>
        <w:t xml:space="preserve">-מיארה (להלן גם: </w:t>
      </w:r>
      <w:r w:rsidRPr="00086CDC">
        <w:rPr>
          <w:rFonts w:ascii="Century" w:eastAsia="Times New Roman" w:hAnsi="Century" w:cs="David" w:hint="cs"/>
          <w:bCs/>
          <w:color w:val="44546A" w:themeColor="text2"/>
          <w:spacing w:val="10"/>
          <w:sz w:val="24"/>
          <w:szCs w:val="24"/>
          <w:rtl/>
        </w:rPr>
        <w:t>החלטת הפיטורים</w:t>
      </w:r>
      <w:r w:rsidRPr="00086CDC">
        <w:rPr>
          <w:rFonts w:ascii="Century" w:eastAsia="Times New Roman" w:hAnsi="Century" w:cs="David" w:hint="cs"/>
          <w:color w:val="44546A" w:themeColor="text2"/>
          <w:spacing w:val="10"/>
          <w:sz w:val="24"/>
          <w:szCs w:val="24"/>
          <w:rtl/>
        </w:rPr>
        <w:t xml:space="preserve">). החלטה זו התקבלה בהתאם להמלצת ועדת השרים הפנימית, מבלי שקוימה היוועצות בוועדה המקצועית-ציבורית. </w:t>
      </w:r>
    </w:p>
    <w:p w14:paraId="698073BD" w14:textId="77777777" w:rsidR="00D3136C" w:rsidRPr="00086CDC" w:rsidRDefault="00D3136C" w:rsidP="00D3136C">
      <w:pPr>
        <w:spacing w:line="360" w:lineRule="auto"/>
        <w:jc w:val="both"/>
        <w:rPr>
          <w:rFonts w:ascii="Century" w:eastAsia="Times New Roman" w:hAnsi="Century" w:cs="David"/>
          <w:color w:val="44546A" w:themeColor="text2"/>
          <w:spacing w:val="10"/>
          <w:sz w:val="24"/>
          <w:szCs w:val="24"/>
          <w:rtl/>
        </w:rPr>
      </w:pPr>
      <w:r w:rsidRPr="00086CDC">
        <w:rPr>
          <w:rFonts w:ascii="Century" w:eastAsia="Times New Roman" w:hAnsi="Century" w:cs="David" w:hint="cs"/>
          <w:color w:val="44546A" w:themeColor="text2"/>
          <w:spacing w:val="10"/>
          <w:sz w:val="24"/>
          <w:szCs w:val="24"/>
          <w:rtl/>
        </w:rPr>
        <w:t xml:space="preserve">נגד שתי ההחלטות הוגשו שש עתירות, ובהן נטען כי ההחלטות לוקות בשורה של פגמים הליכיים ומהותיים המצדיקים את ביטולן. היועצת המשפטית לממשלה תמכה בעמדת העותרים וטענה כי יש להורות על בטלותן של שתי ההחלטות. ממשלת ישראל, מצדה, לא הגישה תגובה מקדמית לעתירות (חרף אישור שניתן לה לקבלת ייצוג פרטי), ובהמשך לכך, ביום 1.9.2025 הוצא צו-על תנאי כמבוקש בעתירות. </w:t>
      </w:r>
      <w:r w:rsidRPr="00086CDC">
        <w:rPr>
          <w:rFonts w:ascii="Century" w:eastAsia="Times New Roman" w:hAnsi="Century" w:cs="David"/>
          <w:color w:val="44546A" w:themeColor="text2"/>
          <w:spacing w:val="10"/>
          <w:sz w:val="24"/>
          <w:szCs w:val="24"/>
          <w:rtl/>
        </w:rPr>
        <w:t xml:space="preserve">הממשלה </w:t>
      </w:r>
      <w:r w:rsidRPr="00086CDC">
        <w:rPr>
          <w:rFonts w:ascii="Century" w:eastAsia="Times New Roman" w:hAnsi="Century" w:cs="David" w:hint="cs"/>
          <w:color w:val="44546A" w:themeColor="text2"/>
          <w:spacing w:val="10"/>
          <w:sz w:val="24"/>
          <w:szCs w:val="24"/>
          <w:rtl/>
        </w:rPr>
        <w:t>אף</w:t>
      </w:r>
      <w:r w:rsidRPr="00086CDC">
        <w:rPr>
          <w:rFonts w:ascii="Century" w:eastAsia="Times New Roman" w:hAnsi="Century" w:cs="David"/>
          <w:color w:val="44546A" w:themeColor="text2"/>
          <w:spacing w:val="10"/>
          <w:sz w:val="24"/>
          <w:szCs w:val="24"/>
          <w:rtl/>
        </w:rPr>
        <w:t xml:space="preserve"> לא הגישה תצהיר תשובה במועד, </w:t>
      </w:r>
      <w:r w:rsidRPr="00086CDC">
        <w:rPr>
          <w:rFonts w:ascii="Century" w:eastAsia="Times New Roman" w:hAnsi="Century" w:cs="David" w:hint="cs"/>
          <w:color w:val="44546A" w:themeColor="text2"/>
          <w:spacing w:val="10"/>
          <w:sz w:val="24"/>
          <w:szCs w:val="24"/>
          <w:rtl/>
        </w:rPr>
        <w:t xml:space="preserve">ואולם לאחר ארכה שניתנה לה לפנים משורת הדין, ביום </w:t>
      </w:r>
      <w:r w:rsidRPr="00086CDC">
        <w:rPr>
          <w:rFonts w:ascii="Century" w:eastAsia="Times New Roman" w:hAnsi="Century" w:cs="David"/>
          <w:color w:val="44546A" w:themeColor="text2"/>
          <w:spacing w:val="10"/>
          <w:sz w:val="24"/>
          <w:szCs w:val="24"/>
          <w:rtl/>
        </w:rPr>
        <w:t xml:space="preserve">17.11.2025 </w:t>
      </w:r>
      <w:r w:rsidRPr="00086CDC">
        <w:rPr>
          <w:rFonts w:ascii="Century" w:eastAsia="Times New Roman" w:hAnsi="Century" w:cs="David" w:hint="cs"/>
          <w:color w:val="44546A" w:themeColor="text2"/>
          <w:spacing w:val="10"/>
          <w:sz w:val="24"/>
          <w:szCs w:val="24"/>
          <w:rtl/>
        </w:rPr>
        <w:t xml:space="preserve">הוגש לבסוף </w:t>
      </w:r>
      <w:r w:rsidRPr="00086CDC">
        <w:rPr>
          <w:rFonts w:ascii="Century" w:eastAsia="Times New Roman" w:hAnsi="Century" w:cs="David"/>
          <w:color w:val="44546A" w:themeColor="text2"/>
          <w:spacing w:val="10"/>
          <w:sz w:val="24"/>
          <w:szCs w:val="24"/>
          <w:rtl/>
        </w:rPr>
        <w:t xml:space="preserve">תצהיר </w:t>
      </w:r>
      <w:r w:rsidRPr="00086CDC">
        <w:rPr>
          <w:rFonts w:ascii="Century" w:eastAsia="Times New Roman" w:hAnsi="Century" w:cs="David" w:hint="cs"/>
          <w:color w:val="44546A" w:themeColor="text2"/>
          <w:spacing w:val="10"/>
          <w:sz w:val="24"/>
          <w:szCs w:val="24"/>
          <w:rtl/>
        </w:rPr>
        <w:t xml:space="preserve">תשובה </w:t>
      </w:r>
      <w:r w:rsidRPr="00086CDC">
        <w:rPr>
          <w:rFonts w:ascii="Century" w:eastAsia="Times New Roman" w:hAnsi="Century" w:cs="David"/>
          <w:color w:val="44546A" w:themeColor="text2"/>
          <w:spacing w:val="10"/>
          <w:sz w:val="24"/>
          <w:szCs w:val="24"/>
          <w:rtl/>
        </w:rPr>
        <w:t>קצר מטעמה</w:t>
      </w:r>
      <w:r w:rsidRPr="00086CDC">
        <w:rPr>
          <w:rFonts w:ascii="Century" w:eastAsia="Times New Roman" w:hAnsi="Century" w:cs="David" w:hint="cs"/>
          <w:color w:val="44546A" w:themeColor="text2"/>
          <w:spacing w:val="10"/>
          <w:sz w:val="24"/>
          <w:szCs w:val="24"/>
          <w:rtl/>
        </w:rPr>
        <w:t xml:space="preserve">. </w:t>
      </w:r>
      <w:r w:rsidRPr="00086CDC">
        <w:rPr>
          <w:rFonts w:ascii="Century" w:eastAsia="Times New Roman" w:hAnsi="Century" w:cs="David"/>
          <w:color w:val="44546A" w:themeColor="text2"/>
          <w:spacing w:val="10"/>
          <w:sz w:val="24"/>
          <w:szCs w:val="24"/>
          <w:rtl/>
        </w:rPr>
        <w:t xml:space="preserve">למרות זאת, </w:t>
      </w:r>
      <w:r w:rsidRPr="00086CDC">
        <w:rPr>
          <w:rFonts w:ascii="Century" w:eastAsia="Times New Roman" w:hAnsi="Century" w:cs="David" w:hint="cs"/>
          <w:color w:val="44546A" w:themeColor="text2"/>
          <w:spacing w:val="10"/>
          <w:sz w:val="24"/>
          <w:szCs w:val="24"/>
          <w:rtl/>
        </w:rPr>
        <w:t xml:space="preserve">אף נציג מטעם </w:t>
      </w:r>
      <w:r w:rsidRPr="00086CDC">
        <w:rPr>
          <w:rFonts w:ascii="Century" w:eastAsia="Times New Roman" w:hAnsi="Century" w:cs="David"/>
          <w:color w:val="44546A" w:themeColor="text2"/>
          <w:spacing w:val="10"/>
          <w:sz w:val="24"/>
          <w:szCs w:val="24"/>
          <w:rtl/>
        </w:rPr>
        <w:t>הממשלה לא התייצב לדיון שנקבע ליום 1.12.2025, ועל כן הוחלט כי פסק הדין יינתן על יסוד הכתובים בלבד</w:t>
      </w:r>
      <w:r w:rsidRPr="00086CDC">
        <w:rPr>
          <w:rFonts w:ascii="Century" w:eastAsia="Times New Roman" w:hAnsi="Century" w:cs="David" w:hint="cs"/>
          <w:color w:val="44546A" w:themeColor="text2"/>
          <w:spacing w:val="10"/>
          <w:sz w:val="24"/>
          <w:szCs w:val="24"/>
          <w:rtl/>
        </w:rPr>
        <w:t>.</w:t>
      </w:r>
    </w:p>
    <w:p w14:paraId="7FE517B0" w14:textId="77777777" w:rsidR="00D3136C" w:rsidRPr="00086CDC" w:rsidRDefault="00D3136C" w:rsidP="00D3136C">
      <w:pPr>
        <w:spacing w:line="360" w:lineRule="auto"/>
        <w:jc w:val="both"/>
        <w:rPr>
          <w:rFonts w:ascii="Century" w:eastAsia="Times New Roman" w:hAnsi="Century" w:cs="David"/>
          <w:color w:val="44546A" w:themeColor="text2"/>
          <w:spacing w:val="10"/>
          <w:sz w:val="24"/>
          <w:szCs w:val="24"/>
          <w:rtl/>
        </w:rPr>
      </w:pPr>
      <w:r w:rsidRPr="00086CDC">
        <w:rPr>
          <w:rFonts w:ascii="Century" w:eastAsia="Times New Roman" w:hAnsi="Century" w:cs="David" w:hint="cs"/>
          <w:color w:val="44546A" w:themeColor="text2"/>
          <w:spacing w:val="10"/>
          <w:sz w:val="24"/>
          <w:szCs w:val="24"/>
          <w:rtl/>
        </w:rPr>
        <w:t xml:space="preserve">בפסק הדין – שניתן מפי נשיא בית המשפט העליון, השופט </w:t>
      </w:r>
      <w:r w:rsidRPr="00086CDC">
        <w:rPr>
          <w:rFonts w:ascii="Century" w:eastAsia="Times New Roman" w:hAnsi="Century" w:cs="David" w:hint="cs"/>
          <w:b/>
          <w:bCs/>
          <w:color w:val="44546A" w:themeColor="text2"/>
          <w:spacing w:val="10"/>
          <w:sz w:val="24"/>
          <w:szCs w:val="24"/>
          <w:rtl/>
        </w:rPr>
        <w:t>יצחק עמית</w:t>
      </w:r>
      <w:r w:rsidRPr="00086CDC">
        <w:rPr>
          <w:rFonts w:ascii="Century" w:eastAsia="Times New Roman" w:hAnsi="Century" w:cs="David" w:hint="cs"/>
          <w:color w:val="44546A" w:themeColor="text2"/>
          <w:spacing w:val="10"/>
          <w:sz w:val="24"/>
          <w:szCs w:val="24"/>
          <w:rtl/>
        </w:rPr>
        <w:t>, בהסכמת כל יתר חברי ההרכב – הודגש כי כבר במסגרת הצו על-תנאי שניתן בעתירות הובהר במפורש, על דעת כלל שופטי ההרכב, כי לא הוצגו עד לאותו מועד טעמים המצדיקים סטייה ממנגנו</w:t>
      </w:r>
      <w:r w:rsidRPr="00086CDC">
        <w:rPr>
          <w:rFonts w:ascii="Century" w:eastAsia="Times New Roman" w:hAnsi="Century" w:cs="David" w:hint="eastAsia"/>
          <w:color w:val="44546A" w:themeColor="text2"/>
          <w:spacing w:val="10"/>
          <w:sz w:val="24"/>
          <w:szCs w:val="24"/>
          <w:rtl/>
        </w:rPr>
        <w:t>ן</w:t>
      </w:r>
      <w:r w:rsidRPr="00086CDC">
        <w:rPr>
          <w:rFonts w:ascii="Century" w:eastAsia="Times New Roman" w:hAnsi="Century" w:cs="David" w:hint="cs"/>
          <w:color w:val="44546A" w:themeColor="text2"/>
          <w:spacing w:val="10"/>
          <w:sz w:val="24"/>
          <w:szCs w:val="24"/>
          <w:rtl/>
        </w:rPr>
        <w:t xml:space="preserve"> הפסקת הכהונה שהומלץ על ידי ועדת שמגר ואומץ בהחלטה 2274. עוד צוין בפסק הדין כי תצהיר התשובה שהגישה הממשלה היה קצר ולקוני, חסר מענה מפורט לטענות שהועלו בעתירות, ולא הכיל </w:t>
      </w:r>
      <w:r w:rsidRPr="00086CDC">
        <w:rPr>
          <w:rFonts w:ascii="Century" w:eastAsia="Times New Roman" w:hAnsi="Century" w:cs="David"/>
          <w:color w:val="44546A" w:themeColor="text2"/>
          <w:spacing w:val="10"/>
          <w:sz w:val="24"/>
          <w:szCs w:val="24"/>
          <w:rtl/>
        </w:rPr>
        <w:t xml:space="preserve">כל נימוק שבכוחו לשנות את המסקנה הלכאורית </w:t>
      </w:r>
      <w:r w:rsidRPr="00086CDC">
        <w:rPr>
          <w:rFonts w:ascii="Century" w:eastAsia="Times New Roman" w:hAnsi="Century" w:cs="David" w:hint="cs"/>
          <w:color w:val="44546A" w:themeColor="text2"/>
          <w:spacing w:val="10"/>
          <w:sz w:val="24"/>
          <w:szCs w:val="24"/>
          <w:rtl/>
        </w:rPr>
        <w:t xml:space="preserve">כי נפל </w:t>
      </w:r>
      <w:r w:rsidRPr="00086CDC">
        <w:rPr>
          <w:rFonts w:ascii="Century" w:eastAsia="Times New Roman" w:hAnsi="Century" w:cs="David"/>
          <w:color w:val="44546A" w:themeColor="text2"/>
          <w:spacing w:val="10"/>
          <w:sz w:val="24"/>
          <w:szCs w:val="24"/>
          <w:rtl/>
        </w:rPr>
        <w:t>פגם בהחלטות</w:t>
      </w:r>
      <w:r w:rsidRPr="00086CDC">
        <w:rPr>
          <w:rFonts w:ascii="Century" w:eastAsia="Times New Roman" w:hAnsi="Century" w:cs="David" w:hint="cs"/>
          <w:color w:val="44546A" w:themeColor="text2"/>
          <w:spacing w:val="10"/>
          <w:sz w:val="24"/>
          <w:szCs w:val="24"/>
          <w:rtl/>
        </w:rPr>
        <w:t xml:space="preserve">. </w:t>
      </w:r>
      <w:r w:rsidRPr="00086CDC">
        <w:rPr>
          <w:rFonts w:ascii="Century" w:eastAsia="Times New Roman" w:hAnsi="Century" w:cs="David"/>
          <w:color w:val="44546A" w:themeColor="text2"/>
          <w:spacing w:val="10"/>
          <w:sz w:val="24"/>
          <w:szCs w:val="24"/>
          <w:rtl/>
        </w:rPr>
        <w:t xml:space="preserve">משכך, </w:t>
      </w:r>
      <w:r w:rsidRPr="00086CDC">
        <w:rPr>
          <w:rFonts w:ascii="Century" w:eastAsia="Times New Roman" w:hAnsi="Century" w:cs="David" w:hint="cs"/>
          <w:color w:val="44546A" w:themeColor="text2"/>
          <w:spacing w:val="10"/>
          <w:sz w:val="24"/>
          <w:szCs w:val="24"/>
          <w:rtl/>
        </w:rPr>
        <w:t xml:space="preserve">ובהתחשב בבחירת הממשלה </w:t>
      </w:r>
      <w:r w:rsidRPr="00086CDC">
        <w:rPr>
          <w:rFonts w:ascii="Century" w:eastAsia="Times New Roman" w:hAnsi="Century" w:cs="David"/>
          <w:color w:val="44546A" w:themeColor="text2"/>
          <w:spacing w:val="10"/>
          <w:sz w:val="24"/>
          <w:szCs w:val="24"/>
          <w:rtl/>
        </w:rPr>
        <w:t>שלא להתייצב לדיון בעל</w:t>
      </w:r>
      <w:r w:rsidRPr="00086CDC">
        <w:rPr>
          <w:rFonts w:ascii="Century" w:eastAsia="Times New Roman" w:hAnsi="Century" w:cs="David" w:hint="cs"/>
          <w:color w:val="44546A" w:themeColor="text2"/>
          <w:spacing w:val="10"/>
          <w:sz w:val="24"/>
          <w:szCs w:val="24"/>
          <w:rtl/>
        </w:rPr>
        <w:t>-</w:t>
      </w:r>
      <w:r w:rsidRPr="00086CDC">
        <w:rPr>
          <w:rFonts w:ascii="Century" w:eastAsia="Times New Roman" w:hAnsi="Century" w:cs="David"/>
          <w:color w:val="44546A" w:themeColor="text2"/>
          <w:spacing w:val="10"/>
          <w:sz w:val="24"/>
          <w:szCs w:val="24"/>
          <w:rtl/>
        </w:rPr>
        <w:t>פה, נקבע כי די ב</w:t>
      </w:r>
      <w:r w:rsidRPr="00086CDC">
        <w:rPr>
          <w:rFonts w:ascii="Century" w:eastAsia="Times New Roman" w:hAnsi="Century" w:cs="David" w:hint="cs"/>
          <w:color w:val="44546A" w:themeColor="text2"/>
          <w:spacing w:val="10"/>
          <w:sz w:val="24"/>
          <w:szCs w:val="24"/>
          <w:rtl/>
        </w:rPr>
        <w:t>מצב דברים זה</w:t>
      </w:r>
      <w:r w:rsidRPr="00086CDC">
        <w:rPr>
          <w:rFonts w:ascii="Century" w:eastAsia="Times New Roman" w:hAnsi="Century" w:cs="David"/>
          <w:color w:val="44546A" w:themeColor="text2"/>
          <w:spacing w:val="10"/>
          <w:sz w:val="24"/>
          <w:szCs w:val="24"/>
          <w:rtl/>
        </w:rPr>
        <w:t xml:space="preserve"> כדי להפוך את הצו</w:t>
      </w:r>
      <w:r w:rsidRPr="00086CDC">
        <w:rPr>
          <w:rFonts w:ascii="Century" w:eastAsia="Times New Roman" w:hAnsi="Century" w:cs="David" w:hint="cs"/>
          <w:color w:val="44546A" w:themeColor="text2"/>
          <w:spacing w:val="10"/>
          <w:sz w:val="24"/>
          <w:szCs w:val="24"/>
          <w:rtl/>
        </w:rPr>
        <w:t xml:space="preserve"> </w:t>
      </w:r>
      <w:r w:rsidRPr="00086CDC">
        <w:rPr>
          <w:rFonts w:ascii="Century" w:eastAsia="Times New Roman" w:hAnsi="Century" w:cs="David"/>
          <w:color w:val="44546A" w:themeColor="text2"/>
          <w:spacing w:val="10"/>
          <w:sz w:val="24"/>
          <w:szCs w:val="24"/>
          <w:rtl/>
        </w:rPr>
        <w:t>על</w:t>
      </w:r>
      <w:r w:rsidRPr="00086CDC">
        <w:rPr>
          <w:rFonts w:ascii="Century" w:eastAsia="Times New Roman" w:hAnsi="Century" w:cs="David" w:hint="cs"/>
          <w:color w:val="44546A" w:themeColor="text2"/>
          <w:spacing w:val="10"/>
          <w:sz w:val="24"/>
          <w:szCs w:val="24"/>
          <w:rtl/>
        </w:rPr>
        <w:t>-</w:t>
      </w:r>
      <w:r w:rsidRPr="00086CDC">
        <w:rPr>
          <w:rFonts w:ascii="Century" w:eastAsia="Times New Roman" w:hAnsi="Century" w:cs="David"/>
          <w:color w:val="44546A" w:themeColor="text2"/>
          <w:spacing w:val="10"/>
          <w:sz w:val="24"/>
          <w:szCs w:val="24"/>
          <w:rtl/>
        </w:rPr>
        <w:t>תנאי ל</w:t>
      </w:r>
      <w:r w:rsidRPr="00086CDC">
        <w:rPr>
          <w:rFonts w:ascii="Century" w:eastAsia="Times New Roman" w:hAnsi="Century" w:cs="David" w:hint="cs"/>
          <w:color w:val="44546A" w:themeColor="text2"/>
          <w:spacing w:val="10"/>
          <w:sz w:val="24"/>
          <w:szCs w:val="24"/>
          <w:rtl/>
        </w:rPr>
        <w:t xml:space="preserve">מוחלט. </w:t>
      </w:r>
    </w:p>
    <w:p w14:paraId="12CAA8B6" w14:textId="77777777" w:rsidR="00D3136C" w:rsidRPr="00086CDC" w:rsidRDefault="00D3136C" w:rsidP="00D3136C">
      <w:pPr>
        <w:spacing w:line="360" w:lineRule="auto"/>
        <w:jc w:val="both"/>
        <w:rPr>
          <w:rFonts w:ascii="Century" w:eastAsia="Times New Roman" w:hAnsi="Century" w:cs="David"/>
          <w:color w:val="44546A" w:themeColor="text2"/>
          <w:spacing w:val="10"/>
          <w:sz w:val="24"/>
          <w:szCs w:val="24"/>
          <w:rtl/>
        </w:rPr>
      </w:pPr>
      <w:r w:rsidRPr="00086CDC">
        <w:rPr>
          <w:rFonts w:ascii="Century" w:eastAsia="Times New Roman" w:hAnsi="Century" w:cs="David" w:hint="cs"/>
          <w:color w:val="44546A" w:themeColor="text2"/>
          <w:spacing w:val="10"/>
          <w:sz w:val="24"/>
          <w:szCs w:val="24"/>
          <w:rtl/>
        </w:rPr>
        <w:t>לצד זאת, בית המשפט המשיך ועמד על פגמים הליכיים שנפלו בהליך אישורה של החלטת התיקון, וקבע כי די בהם כדי לחייב את בטלותה. בין היתר, נקבע כי ההחלטה אושרה בהליך בזק:</w:t>
      </w:r>
      <w:r w:rsidRPr="00086CDC">
        <w:rPr>
          <w:rFonts w:ascii="Century" w:eastAsia="Times New Roman" w:hAnsi="Century" w:cs="David"/>
          <w:color w:val="44546A" w:themeColor="text2"/>
          <w:spacing w:val="10"/>
          <w:sz w:val="24"/>
          <w:szCs w:val="24"/>
          <w:rtl/>
        </w:rPr>
        <w:t xml:space="preserve"> ארבעה ימים בלבד</w:t>
      </w:r>
      <w:r w:rsidRPr="00086CDC">
        <w:rPr>
          <w:rFonts w:ascii="Century" w:eastAsia="Times New Roman" w:hAnsi="Century" w:cs="David" w:hint="cs"/>
          <w:color w:val="44546A" w:themeColor="text2"/>
          <w:spacing w:val="10"/>
          <w:sz w:val="24"/>
          <w:szCs w:val="24"/>
          <w:rtl/>
        </w:rPr>
        <w:t xml:space="preserve"> לאחר פרסומה</w:t>
      </w:r>
      <w:r w:rsidRPr="00086CDC">
        <w:rPr>
          <w:rFonts w:ascii="Century" w:eastAsia="Times New Roman" w:hAnsi="Century" w:cs="David"/>
          <w:color w:val="44546A" w:themeColor="text2"/>
          <w:spacing w:val="10"/>
          <w:sz w:val="24"/>
          <w:szCs w:val="24"/>
          <w:rtl/>
        </w:rPr>
        <w:t>, מתוכם שני ימי עבודה</w:t>
      </w:r>
      <w:r w:rsidRPr="00086CDC">
        <w:rPr>
          <w:rFonts w:ascii="Century" w:eastAsia="Times New Roman" w:hAnsi="Century" w:cs="David" w:hint="cs"/>
          <w:color w:val="44546A" w:themeColor="text2"/>
          <w:spacing w:val="10"/>
          <w:sz w:val="24"/>
          <w:szCs w:val="24"/>
          <w:rtl/>
        </w:rPr>
        <w:t>;</w:t>
      </w:r>
      <w:r w:rsidRPr="00086CDC">
        <w:rPr>
          <w:rFonts w:ascii="Century" w:eastAsia="Times New Roman" w:hAnsi="Century" w:cs="David"/>
          <w:color w:val="44546A" w:themeColor="text2"/>
          <w:spacing w:val="10"/>
          <w:sz w:val="24"/>
          <w:szCs w:val="24"/>
          <w:rtl/>
        </w:rPr>
        <w:t xml:space="preserve"> ללא עבודת מטה מסודרת</w:t>
      </w:r>
      <w:r w:rsidRPr="00086CDC">
        <w:rPr>
          <w:rFonts w:ascii="Century" w:eastAsia="Times New Roman" w:hAnsi="Century" w:cs="David" w:hint="cs"/>
          <w:color w:val="44546A" w:themeColor="text2"/>
          <w:spacing w:val="10"/>
          <w:sz w:val="24"/>
          <w:szCs w:val="24"/>
          <w:rtl/>
        </w:rPr>
        <w:t>;</w:t>
      </w:r>
      <w:r w:rsidRPr="00086CDC">
        <w:rPr>
          <w:rFonts w:ascii="Century" w:eastAsia="Times New Roman" w:hAnsi="Century" w:cs="David"/>
          <w:color w:val="44546A" w:themeColor="text2"/>
          <w:spacing w:val="10"/>
          <w:sz w:val="24"/>
          <w:szCs w:val="24"/>
          <w:rtl/>
        </w:rPr>
        <w:t xml:space="preserve"> ללא תשתית עובדתית או משפטית </w:t>
      </w:r>
      <w:r w:rsidRPr="00086CDC">
        <w:rPr>
          <w:rFonts w:ascii="Century" w:eastAsia="Times New Roman" w:hAnsi="Century" w:cs="David" w:hint="cs"/>
          <w:color w:val="44546A" w:themeColor="text2"/>
          <w:spacing w:val="10"/>
          <w:sz w:val="24"/>
          <w:szCs w:val="24"/>
          <w:rtl/>
        </w:rPr>
        <w:t xml:space="preserve">הולמת; </w:t>
      </w:r>
      <w:r w:rsidRPr="00086CDC">
        <w:rPr>
          <w:rFonts w:ascii="Century" w:eastAsia="Times New Roman" w:hAnsi="Century" w:cs="David"/>
          <w:color w:val="44546A" w:themeColor="text2"/>
          <w:spacing w:val="10"/>
          <w:sz w:val="24"/>
          <w:szCs w:val="24"/>
          <w:rtl/>
        </w:rPr>
        <w:t>ללא היוועצות עם גורמי מקצוע</w:t>
      </w:r>
      <w:r w:rsidRPr="00086CDC">
        <w:rPr>
          <w:rFonts w:ascii="Century" w:eastAsia="Times New Roman" w:hAnsi="Century" w:cs="David" w:hint="cs"/>
          <w:color w:val="44546A" w:themeColor="text2"/>
          <w:spacing w:val="10"/>
          <w:sz w:val="24"/>
          <w:szCs w:val="24"/>
          <w:rtl/>
        </w:rPr>
        <w:t xml:space="preserve">; ומבלי שנבחנו חלופות אחרות. כל זאת, כך הודגש, בניגוד לעבודה המקצועית והממושכת שביצעה ועדת שמגר, ותוך סטייה חדה וניכרת ממסקנותיה, שלפיהן יש לקבוע מגבלות פורמליות על סמכות הממשלה </w:t>
      </w:r>
      <w:r w:rsidRPr="00086CDC">
        <w:rPr>
          <w:rFonts w:ascii="Century" w:eastAsia="Times New Roman" w:hAnsi="Century" w:cs="David"/>
          <w:color w:val="44546A" w:themeColor="text2"/>
          <w:spacing w:val="10"/>
          <w:sz w:val="24"/>
          <w:szCs w:val="24"/>
          <w:rtl/>
        </w:rPr>
        <w:t>בהליכי</w:t>
      </w:r>
      <w:r w:rsidRPr="00086CDC">
        <w:rPr>
          <w:rFonts w:ascii="Century" w:eastAsia="Times New Roman" w:hAnsi="Century" w:cs="David" w:hint="cs"/>
          <w:color w:val="44546A" w:themeColor="text2"/>
          <w:spacing w:val="10"/>
          <w:sz w:val="24"/>
          <w:szCs w:val="24"/>
          <w:rtl/>
        </w:rPr>
        <w:t xml:space="preserve"> המינוי והפסקת הכהונה, כדי להבטיח שהיועץ המשפטי לממשלה יפעל כגורם מקצועי ובלתי תלוי, שאינו כפוף למרוּת הממשלה בביצוע תפקידו. </w:t>
      </w:r>
      <w:r w:rsidRPr="00086CDC">
        <w:rPr>
          <w:rFonts w:ascii="Century" w:eastAsia="Times New Roman" w:hAnsi="Century" w:cs="David"/>
          <w:color w:val="44546A" w:themeColor="text2"/>
          <w:spacing w:val="10"/>
          <w:sz w:val="24"/>
          <w:szCs w:val="24"/>
          <w:rtl/>
        </w:rPr>
        <w:t xml:space="preserve">עוד הוסיף בית המשפט כי אין להתעלם מכך שהשינוי במנגנון הפסקת הכהונה נעשה בדיעבד – לאחר שהממשלה </w:t>
      </w:r>
      <w:r w:rsidRPr="00086CDC">
        <w:rPr>
          <w:rFonts w:ascii="Century" w:eastAsia="Times New Roman" w:hAnsi="Century" w:cs="David" w:hint="cs"/>
          <w:color w:val="44546A" w:themeColor="text2"/>
          <w:spacing w:val="10"/>
          <w:sz w:val="24"/>
          <w:szCs w:val="24"/>
          <w:rtl/>
        </w:rPr>
        <w:t xml:space="preserve">כבר </w:t>
      </w:r>
      <w:r w:rsidRPr="00086CDC">
        <w:rPr>
          <w:rFonts w:ascii="Century" w:eastAsia="Times New Roman" w:hAnsi="Century" w:cs="David"/>
          <w:color w:val="44546A" w:themeColor="text2"/>
          <w:spacing w:val="10"/>
          <w:sz w:val="24"/>
          <w:szCs w:val="24"/>
          <w:rtl/>
        </w:rPr>
        <w:t xml:space="preserve">הצהירה בפומבי על רצונה להביא לסיום כהונת היועצת המשפטית לממשלה </w:t>
      </w:r>
      <w:r w:rsidRPr="00086CDC">
        <w:rPr>
          <w:rFonts w:ascii="Century" w:eastAsia="Times New Roman" w:hAnsi="Century" w:cs="David" w:hint="cs"/>
          <w:color w:val="44546A" w:themeColor="text2"/>
          <w:spacing w:val="10"/>
          <w:sz w:val="24"/>
          <w:szCs w:val="24"/>
          <w:rtl/>
        </w:rPr>
        <w:t xml:space="preserve">המכהנת </w:t>
      </w:r>
      <w:r w:rsidRPr="00086CDC">
        <w:rPr>
          <w:rFonts w:ascii="Century" w:eastAsia="Times New Roman" w:hAnsi="Century" w:cs="David"/>
          <w:color w:val="44546A" w:themeColor="text2"/>
          <w:spacing w:val="10"/>
          <w:sz w:val="24"/>
          <w:szCs w:val="24"/>
          <w:rtl/>
        </w:rPr>
        <w:t xml:space="preserve">– </w:t>
      </w:r>
      <w:r w:rsidRPr="00086CDC">
        <w:rPr>
          <w:rFonts w:ascii="Century" w:eastAsia="Times New Roman" w:hAnsi="Century" w:cs="David" w:hint="cs"/>
          <w:color w:val="44546A" w:themeColor="text2"/>
          <w:spacing w:val="10"/>
          <w:sz w:val="24"/>
          <w:szCs w:val="24"/>
          <w:rtl/>
        </w:rPr>
        <w:t>וזאת בהמשך ל</w:t>
      </w:r>
      <w:r w:rsidRPr="00086CDC">
        <w:rPr>
          <w:rFonts w:ascii="Century" w:eastAsia="Times New Roman" w:hAnsi="Century" w:cs="David"/>
          <w:color w:val="44546A" w:themeColor="text2"/>
          <w:spacing w:val="10"/>
          <w:sz w:val="24"/>
          <w:szCs w:val="24"/>
          <w:rtl/>
        </w:rPr>
        <w:t>חוסר שביעות רצו</w:t>
      </w:r>
      <w:r w:rsidRPr="00086CDC">
        <w:rPr>
          <w:rFonts w:ascii="Century" w:eastAsia="Times New Roman" w:hAnsi="Century" w:cs="David" w:hint="cs"/>
          <w:color w:val="44546A" w:themeColor="text2"/>
          <w:spacing w:val="10"/>
          <w:sz w:val="24"/>
          <w:szCs w:val="24"/>
          <w:rtl/>
        </w:rPr>
        <w:t>נה</w:t>
      </w:r>
      <w:r w:rsidRPr="00086CDC">
        <w:rPr>
          <w:rFonts w:ascii="Century" w:eastAsia="Times New Roman" w:hAnsi="Century" w:cs="David"/>
          <w:color w:val="44546A" w:themeColor="text2"/>
          <w:spacing w:val="10"/>
          <w:sz w:val="24"/>
          <w:szCs w:val="24"/>
          <w:rtl/>
        </w:rPr>
        <w:t xml:space="preserve"> </w:t>
      </w:r>
      <w:r w:rsidRPr="00086CDC">
        <w:rPr>
          <w:rFonts w:ascii="Century" w:eastAsia="Times New Roman" w:hAnsi="Century" w:cs="David" w:hint="cs"/>
          <w:color w:val="44546A" w:themeColor="text2"/>
          <w:spacing w:val="10"/>
          <w:sz w:val="24"/>
          <w:szCs w:val="24"/>
          <w:rtl/>
        </w:rPr>
        <w:t xml:space="preserve">של הממשלה </w:t>
      </w:r>
      <w:r w:rsidRPr="00086CDC">
        <w:rPr>
          <w:rFonts w:ascii="Century" w:eastAsia="Times New Roman" w:hAnsi="Century" w:cs="David"/>
          <w:color w:val="44546A" w:themeColor="text2"/>
          <w:spacing w:val="10"/>
          <w:sz w:val="24"/>
          <w:szCs w:val="24"/>
          <w:rtl/>
        </w:rPr>
        <w:t xml:space="preserve">ממועמדים </w:t>
      </w:r>
      <w:r w:rsidRPr="00086CDC">
        <w:rPr>
          <w:rFonts w:ascii="Century" w:eastAsia="Times New Roman" w:hAnsi="Century" w:cs="David" w:hint="cs"/>
          <w:color w:val="44546A" w:themeColor="text2"/>
          <w:spacing w:val="10"/>
          <w:sz w:val="24"/>
          <w:szCs w:val="24"/>
          <w:rtl/>
        </w:rPr>
        <w:t xml:space="preserve">שנבחנו </w:t>
      </w:r>
      <w:r w:rsidRPr="00086CDC">
        <w:rPr>
          <w:rFonts w:ascii="Century" w:eastAsia="Times New Roman" w:hAnsi="Century" w:cs="David"/>
          <w:color w:val="44546A" w:themeColor="text2"/>
          <w:spacing w:val="10"/>
          <w:sz w:val="24"/>
          <w:szCs w:val="24"/>
          <w:rtl/>
        </w:rPr>
        <w:t>לוועדה המקצועית</w:t>
      </w:r>
      <w:r w:rsidRPr="00086CDC">
        <w:rPr>
          <w:rFonts w:ascii="Century" w:eastAsia="Times New Roman" w:hAnsi="Century" w:cs="David" w:hint="cs"/>
          <w:color w:val="44546A" w:themeColor="text2"/>
          <w:spacing w:val="10"/>
          <w:sz w:val="24"/>
          <w:szCs w:val="24"/>
          <w:rtl/>
        </w:rPr>
        <w:t>-</w:t>
      </w:r>
      <w:r w:rsidRPr="00086CDC">
        <w:rPr>
          <w:rFonts w:ascii="Century" w:eastAsia="Times New Roman" w:hAnsi="Century" w:cs="David"/>
          <w:color w:val="44546A" w:themeColor="text2"/>
          <w:spacing w:val="10"/>
          <w:sz w:val="24"/>
          <w:szCs w:val="24"/>
          <w:rtl/>
        </w:rPr>
        <w:t>ציבורית</w:t>
      </w:r>
      <w:r w:rsidRPr="00086CDC">
        <w:rPr>
          <w:rFonts w:ascii="Century" w:eastAsia="Times New Roman" w:hAnsi="Century" w:cs="David" w:hint="cs"/>
          <w:color w:val="44546A" w:themeColor="text2"/>
          <w:spacing w:val="10"/>
          <w:sz w:val="24"/>
          <w:szCs w:val="24"/>
          <w:rtl/>
        </w:rPr>
        <w:t>,</w:t>
      </w:r>
      <w:r w:rsidRPr="00086CDC">
        <w:rPr>
          <w:rFonts w:ascii="Century" w:eastAsia="Times New Roman" w:hAnsi="Century" w:cs="David" w:hint="eastAsia"/>
          <w:color w:val="44546A" w:themeColor="text2"/>
          <w:spacing w:val="10"/>
          <w:sz w:val="24"/>
          <w:szCs w:val="24"/>
          <w:rtl/>
        </w:rPr>
        <w:t xml:space="preserve"> ומתוך</w:t>
      </w:r>
      <w:r w:rsidRPr="00086CDC">
        <w:rPr>
          <w:rFonts w:ascii="Century" w:eastAsia="Times New Roman" w:hAnsi="Century" w:cs="David"/>
          <w:color w:val="44546A" w:themeColor="text2"/>
          <w:spacing w:val="10"/>
          <w:sz w:val="24"/>
          <w:szCs w:val="24"/>
          <w:rtl/>
        </w:rPr>
        <w:t xml:space="preserve"> </w:t>
      </w:r>
      <w:r w:rsidRPr="00086CDC">
        <w:rPr>
          <w:rFonts w:ascii="Century" w:eastAsia="Times New Roman" w:hAnsi="Century" w:cs="David" w:hint="eastAsia"/>
          <w:color w:val="44546A" w:themeColor="text2"/>
          <w:spacing w:val="10"/>
          <w:sz w:val="24"/>
          <w:szCs w:val="24"/>
          <w:rtl/>
        </w:rPr>
        <w:t>ניסיון</w:t>
      </w:r>
      <w:r w:rsidRPr="00086CDC">
        <w:rPr>
          <w:rFonts w:ascii="Century" w:eastAsia="Times New Roman" w:hAnsi="Century" w:cs="David"/>
          <w:color w:val="44546A" w:themeColor="text2"/>
          <w:spacing w:val="10"/>
          <w:sz w:val="24"/>
          <w:szCs w:val="24"/>
          <w:rtl/>
        </w:rPr>
        <w:t xml:space="preserve"> </w:t>
      </w:r>
      <w:r w:rsidRPr="00086CDC">
        <w:rPr>
          <w:rFonts w:ascii="Century" w:eastAsia="Times New Roman" w:hAnsi="Century" w:cs="David" w:hint="eastAsia"/>
          <w:color w:val="44546A" w:themeColor="text2"/>
          <w:spacing w:val="10"/>
          <w:sz w:val="24"/>
          <w:szCs w:val="24"/>
          <w:rtl/>
        </w:rPr>
        <w:t>לה</w:t>
      </w:r>
      <w:r w:rsidRPr="00086CDC">
        <w:rPr>
          <w:rFonts w:ascii="Century" w:eastAsia="Times New Roman" w:hAnsi="Century" w:cs="David" w:hint="cs"/>
          <w:color w:val="44546A" w:themeColor="text2"/>
          <w:spacing w:val="10"/>
          <w:sz w:val="24"/>
          <w:szCs w:val="24"/>
          <w:rtl/>
        </w:rPr>
        <w:t>תגבר על "מכשול" לכאורי זה.</w:t>
      </w:r>
    </w:p>
    <w:p w14:paraId="03B705A5" w14:textId="77777777" w:rsidR="00D3136C" w:rsidRPr="00086CDC" w:rsidRDefault="00D3136C" w:rsidP="00D3136C">
      <w:pPr>
        <w:pStyle w:val="Ruller4"/>
        <w:rPr>
          <w:rFonts w:ascii="Century" w:hAnsi="Century" w:cs="David"/>
          <w:color w:val="44546A" w:themeColor="text2"/>
          <w:sz w:val="24"/>
          <w:szCs w:val="24"/>
          <w:rtl/>
        </w:rPr>
      </w:pPr>
      <w:r w:rsidRPr="00086CDC">
        <w:rPr>
          <w:rFonts w:ascii="Century" w:hAnsi="Century" w:cs="David" w:hint="cs"/>
          <w:color w:val="44546A" w:themeColor="text2"/>
          <w:sz w:val="24"/>
          <w:szCs w:val="24"/>
          <w:rtl/>
        </w:rPr>
        <w:t xml:space="preserve">על יסוד קביעות אלה, הוסיף בית המשפט כי משעה שהחלטת התיקון בטלה </w:t>
      </w:r>
      <w:r w:rsidRPr="00086CDC">
        <w:rPr>
          <w:rFonts w:ascii="Century" w:hAnsi="Century" w:cs="David"/>
          <w:color w:val="44546A" w:themeColor="text2"/>
          <w:sz w:val="24"/>
          <w:szCs w:val="24"/>
          <w:rtl/>
        </w:rPr>
        <w:t>–</w:t>
      </w:r>
      <w:r w:rsidRPr="00086CDC">
        <w:rPr>
          <w:rFonts w:ascii="Century" w:hAnsi="Century" w:cs="David" w:hint="cs"/>
          <w:color w:val="44546A" w:themeColor="text2"/>
          <w:sz w:val="24"/>
          <w:szCs w:val="24"/>
          <w:rtl/>
        </w:rPr>
        <w:t xml:space="preserve"> ומשכך אין תוקף חוקי למנגנון הפסקת הכהונה שנקבע בה </w:t>
      </w:r>
      <w:r w:rsidRPr="00086CDC">
        <w:rPr>
          <w:rFonts w:ascii="Century" w:hAnsi="Century" w:cs="David"/>
          <w:color w:val="44546A" w:themeColor="text2"/>
          <w:sz w:val="24"/>
          <w:szCs w:val="24"/>
          <w:rtl/>
        </w:rPr>
        <w:t>–</w:t>
      </w:r>
      <w:r w:rsidRPr="00086CDC">
        <w:rPr>
          <w:rFonts w:ascii="Century" w:hAnsi="Century" w:cs="David" w:hint="cs"/>
          <w:color w:val="44546A" w:themeColor="text2"/>
          <w:sz w:val="24"/>
          <w:szCs w:val="24"/>
          <w:rtl/>
        </w:rPr>
        <w:t xml:space="preserve"> מאליה מתבקשת המסקנה כי לא היה ביכולתה של הממשלה לדון ולהחליט על פיטורי היועצת המשפטית לממשלה בדרך שנקבעה בהחלטת התיקון, מבלי להיוועץ בוועדה המקצועית-ציבורית. מטעם זה לבד נקבע כי דינה של החלטת הפיטורים בטלות. זאת, כך צוין, מבלי לגרוע מכך שגם בהליך קבלתה ניכרים פגמים עצמאיים נוספים. </w:t>
      </w:r>
    </w:p>
    <w:p w14:paraId="1F602EE9" w14:textId="77777777" w:rsidR="00D3136C" w:rsidRPr="00086CDC" w:rsidRDefault="00D3136C" w:rsidP="00D3136C">
      <w:pPr>
        <w:pStyle w:val="Ruller4"/>
        <w:rPr>
          <w:rFonts w:ascii="Century" w:hAnsi="Century" w:cs="David"/>
          <w:color w:val="44546A" w:themeColor="text2"/>
          <w:sz w:val="24"/>
          <w:szCs w:val="24"/>
          <w:rtl/>
        </w:rPr>
      </w:pPr>
    </w:p>
    <w:p w14:paraId="47F45B50" w14:textId="77777777" w:rsidR="00D3136C" w:rsidRPr="00086CDC" w:rsidRDefault="00D3136C" w:rsidP="00D3136C">
      <w:pPr>
        <w:pStyle w:val="Ruller4"/>
        <w:rPr>
          <w:rFonts w:ascii="Century" w:hAnsi="Century" w:cs="David"/>
          <w:color w:val="44546A" w:themeColor="text2"/>
          <w:sz w:val="24"/>
          <w:szCs w:val="24"/>
          <w:rtl/>
        </w:rPr>
      </w:pPr>
      <w:r w:rsidRPr="00086CDC">
        <w:rPr>
          <w:rFonts w:ascii="Century" w:hAnsi="Century" w:cs="David"/>
          <w:color w:val="44546A" w:themeColor="text2"/>
          <w:sz w:val="24"/>
          <w:szCs w:val="24"/>
          <w:rtl/>
        </w:rPr>
        <w:t>לבסוף</w:t>
      </w:r>
      <w:r w:rsidRPr="00086CDC">
        <w:rPr>
          <w:rFonts w:ascii="Century" w:hAnsi="Century" w:cs="David" w:hint="cs"/>
          <w:color w:val="44546A" w:themeColor="text2"/>
          <w:sz w:val="24"/>
          <w:szCs w:val="24"/>
          <w:rtl/>
        </w:rPr>
        <w:t>,</w:t>
      </w:r>
      <w:r w:rsidRPr="00086CDC">
        <w:rPr>
          <w:rFonts w:ascii="Century" w:hAnsi="Century" w:cs="David"/>
          <w:color w:val="44546A" w:themeColor="text2"/>
          <w:sz w:val="24"/>
          <w:szCs w:val="24"/>
          <w:rtl/>
        </w:rPr>
        <w:t xml:space="preserve"> בית המשפט </w:t>
      </w:r>
      <w:r w:rsidRPr="00086CDC">
        <w:rPr>
          <w:rFonts w:ascii="Century" w:hAnsi="Century" w:cs="David" w:hint="cs"/>
          <w:color w:val="44546A" w:themeColor="text2"/>
          <w:sz w:val="24"/>
          <w:szCs w:val="24"/>
          <w:rtl/>
        </w:rPr>
        <w:t>נדרש</w:t>
      </w:r>
      <w:r w:rsidRPr="00086CDC">
        <w:rPr>
          <w:rFonts w:ascii="Century" w:hAnsi="Century" w:cs="David"/>
          <w:color w:val="44546A" w:themeColor="text2"/>
          <w:sz w:val="24"/>
          <w:szCs w:val="24"/>
          <w:rtl/>
        </w:rPr>
        <w:t xml:space="preserve"> לבקשות לפי פקודת בזיון בית המשפט שהוגשו במ</w:t>
      </w:r>
      <w:r w:rsidRPr="00086CDC">
        <w:rPr>
          <w:rFonts w:ascii="Century" w:hAnsi="Century" w:cs="David" w:hint="cs"/>
          <w:color w:val="44546A" w:themeColor="text2"/>
          <w:sz w:val="24"/>
          <w:szCs w:val="24"/>
          <w:rtl/>
        </w:rPr>
        <w:t xml:space="preserve">סגרת ההליך, בטענה </w:t>
      </w:r>
      <w:r w:rsidRPr="00086CDC">
        <w:rPr>
          <w:rFonts w:ascii="Century" w:hAnsi="Century" w:cs="David"/>
          <w:color w:val="44546A" w:themeColor="text2"/>
          <w:sz w:val="24"/>
          <w:szCs w:val="24"/>
          <w:rtl/>
        </w:rPr>
        <w:t>להפרות שונות של צו הביניים שהורה על הקפאת החלטת הפיטורים</w:t>
      </w:r>
      <w:r w:rsidRPr="00086CDC">
        <w:rPr>
          <w:rFonts w:ascii="Century" w:hAnsi="Century" w:cs="David" w:hint="cs"/>
          <w:color w:val="44546A" w:themeColor="text2"/>
          <w:sz w:val="24"/>
          <w:szCs w:val="24"/>
          <w:rtl/>
        </w:rPr>
        <w:t>.</w:t>
      </w:r>
      <w:r w:rsidRPr="00086CDC">
        <w:rPr>
          <w:rFonts w:ascii="Century" w:hAnsi="Century" w:cs="David"/>
          <w:color w:val="44546A" w:themeColor="text2"/>
          <w:sz w:val="24"/>
          <w:szCs w:val="24"/>
          <w:rtl/>
        </w:rPr>
        <w:t xml:space="preserve"> בית המשפט ציין כי </w:t>
      </w:r>
      <w:r w:rsidRPr="00086CDC">
        <w:rPr>
          <w:rFonts w:ascii="Century" w:hAnsi="Century" w:cs="David" w:hint="cs"/>
          <w:color w:val="44546A" w:themeColor="text2"/>
          <w:sz w:val="24"/>
          <w:szCs w:val="24"/>
          <w:rtl/>
        </w:rPr>
        <w:t xml:space="preserve">העולה מן הבקשות </w:t>
      </w:r>
      <w:r w:rsidRPr="00086CDC">
        <w:rPr>
          <w:rFonts w:ascii="Century" w:hAnsi="Century" w:cs="David"/>
          <w:color w:val="44546A" w:themeColor="text2"/>
          <w:sz w:val="24"/>
          <w:szCs w:val="24"/>
          <w:rtl/>
        </w:rPr>
        <w:t>מעורר אי</w:t>
      </w:r>
      <w:r w:rsidRPr="00086CDC">
        <w:rPr>
          <w:rFonts w:ascii="Century" w:hAnsi="Century" w:cs="David" w:hint="cs"/>
          <w:color w:val="44546A" w:themeColor="text2"/>
          <w:sz w:val="24"/>
          <w:szCs w:val="24"/>
          <w:rtl/>
        </w:rPr>
        <w:t>-</w:t>
      </w:r>
      <w:r w:rsidRPr="00086CDC">
        <w:rPr>
          <w:rFonts w:ascii="Century" w:hAnsi="Century" w:cs="David"/>
          <w:color w:val="44546A" w:themeColor="text2"/>
          <w:sz w:val="24"/>
          <w:szCs w:val="24"/>
          <w:rtl/>
        </w:rPr>
        <w:t xml:space="preserve">נחת רבה, והדגיש כי שלטון החוק חל על כל אדם, ובכלל זה על רשויות המדינה ואורגניה. על רקע זה הבהיר בית המשפט כי תוצאתו של פסק הדין ברורה: </w:t>
      </w:r>
      <w:r w:rsidRPr="00086CDC">
        <w:rPr>
          <w:rFonts w:ascii="Century" w:hAnsi="Century" w:cs="David" w:hint="eastAsia"/>
          <w:color w:val="44546A" w:themeColor="text2"/>
          <w:sz w:val="24"/>
          <w:szCs w:val="24"/>
          <w:rtl/>
        </w:rPr>
        <w:t>היועצת</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המשפטית</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לממשלה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מוסיפה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לכהן</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בתפקידה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כדין</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החלטת</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הפיטורים</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בטלה</w:t>
      </w:r>
      <w:r w:rsidRPr="00086CDC">
        <w:rPr>
          <w:rFonts w:ascii="Century" w:hAnsi="Century" w:cs="David" w:hint="cs"/>
          <w:color w:val="44546A" w:themeColor="text2"/>
          <w:sz w:val="24"/>
          <w:szCs w:val="24"/>
          <w:rtl/>
        </w:rPr>
        <w:t xml:space="preserve">; </w:t>
      </w:r>
      <w:r w:rsidRPr="00086CDC">
        <w:rPr>
          <w:rFonts w:ascii="Century" w:hAnsi="Century" w:cs="David" w:hint="eastAsia"/>
          <w:color w:val="44546A" w:themeColor="text2"/>
          <w:sz w:val="24"/>
          <w:szCs w:val="24"/>
          <w:rtl/>
        </w:rPr>
        <w:t>וכל</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פעולה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חד</w:t>
      </w:r>
      <w:r w:rsidRPr="00086CDC">
        <w:rPr>
          <w:rFonts w:ascii="Century" w:hAnsi="Century" w:cs="David"/>
          <w:color w:val="44546A" w:themeColor="text2"/>
          <w:sz w:val="24"/>
          <w:szCs w:val="24"/>
          <w:rtl/>
        </w:rPr>
        <w:t>-</w:t>
      </w:r>
      <w:r w:rsidRPr="00086CDC">
        <w:rPr>
          <w:rFonts w:ascii="Century" w:hAnsi="Century" w:cs="David" w:hint="eastAsia"/>
          <w:color w:val="44546A" w:themeColor="text2"/>
          <w:sz w:val="24"/>
          <w:szCs w:val="24"/>
          <w:rtl/>
        </w:rPr>
        <w:t>צדדית</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שיש</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בה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כדי</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לשנות</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ממעמדה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מסמכויותיה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או</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מדרכי</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עבודתה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של</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היועצת</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בזיקה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להחלטת</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הפיטורים</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אינה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עולה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בקנה</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אחד</w:t>
      </w:r>
      <w:r w:rsidRPr="00086CDC">
        <w:rPr>
          <w:rFonts w:ascii="Century" w:hAnsi="Century" w:cs="David"/>
          <w:color w:val="44546A" w:themeColor="text2"/>
          <w:sz w:val="24"/>
          <w:szCs w:val="24"/>
          <w:rtl/>
        </w:rPr>
        <w:t xml:space="preserve"> </w:t>
      </w:r>
      <w:r w:rsidRPr="00086CDC">
        <w:rPr>
          <w:rFonts w:ascii="Century" w:hAnsi="Century" w:cs="David" w:hint="eastAsia"/>
          <w:color w:val="44546A" w:themeColor="text2"/>
          <w:sz w:val="24"/>
          <w:szCs w:val="24"/>
          <w:rtl/>
        </w:rPr>
        <w:t>עם</w:t>
      </w:r>
      <w:r w:rsidRPr="00086CDC">
        <w:rPr>
          <w:rFonts w:ascii="Century" w:hAnsi="Century" w:cs="David"/>
          <w:color w:val="44546A" w:themeColor="text2"/>
          <w:sz w:val="24"/>
          <w:szCs w:val="24"/>
          <w:rtl/>
        </w:rPr>
        <w:t xml:space="preserve"> </w:t>
      </w:r>
      <w:r w:rsidRPr="00086CDC">
        <w:rPr>
          <w:rFonts w:ascii="Century" w:hAnsi="Century" w:cs="David" w:hint="cs"/>
          <w:color w:val="44546A" w:themeColor="text2"/>
          <w:sz w:val="24"/>
          <w:szCs w:val="24"/>
          <w:rtl/>
        </w:rPr>
        <w:t>פסק הדין.</w:t>
      </w:r>
    </w:p>
    <w:p w14:paraId="045FEE86" w14:textId="77777777" w:rsidR="00E13F6E" w:rsidRDefault="00E13F6E" w:rsidP="00E13F6E">
      <w:pPr>
        <w:spacing w:after="120" w:line="360" w:lineRule="auto"/>
        <w:jc w:val="both"/>
        <w:rPr>
          <w:rFonts w:ascii="FrankRuehl" w:hAnsi="FrankRuehl" w:cs="FrankRuehl"/>
          <w:color w:val="323E4F" w:themeColor="text2" w:themeShade="BF"/>
          <w:sz w:val="26"/>
          <w:szCs w:val="26"/>
          <w:rtl/>
        </w:rPr>
      </w:pPr>
    </w:p>
    <w:p w14:paraId="6F4E31B7" w14:textId="77777777" w:rsidR="00E13F6E" w:rsidRPr="000071E5" w:rsidRDefault="00E13F6E" w:rsidP="00E13F6E">
      <w:pPr>
        <w:spacing w:after="120" w:line="360" w:lineRule="auto"/>
        <w:jc w:val="center"/>
        <w:rPr>
          <w:rFonts w:ascii="FrankRuehl" w:hAnsi="FrankRuehl" w:cs="FrankRuehl"/>
          <w:b/>
          <w:bCs/>
          <w:color w:val="002060"/>
          <w:sz w:val="26"/>
          <w:szCs w:val="26"/>
        </w:rPr>
      </w:pPr>
      <w:r w:rsidRPr="000071E5">
        <w:rPr>
          <w:rFonts w:ascii="FrankRuehl" w:hAnsi="FrankRuehl" w:cs="FrankRuehl" w:hint="cs"/>
          <w:b/>
          <w:bCs/>
          <w:color w:val="002060"/>
          <w:sz w:val="26"/>
          <w:szCs w:val="26"/>
          <w:rtl/>
        </w:rPr>
        <w:t xml:space="preserve">*** </w:t>
      </w:r>
      <w:r>
        <w:rPr>
          <w:rFonts w:ascii="FrankRuehl" w:hAnsi="FrankRuehl" w:cs="FrankRuehl"/>
          <w:b/>
          <w:bCs/>
          <w:color w:val="002060"/>
          <w:sz w:val="26"/>
          <w:szCs w:val="26"/>
          <w:rtl/>
        </w:rPr>
        <w:t xml:space="preserve">הנוסח המחייב הוא </w:t>
      </w:r>
      <w:r w:rsidRPr="000071E5">
        <w:rPr>
          <w:rFonts w:ascii="FrankRuehl" w:hAnsi="FrankRuehl" w:cs="FrankRuehl"/>
          <w:b/>
          <w:bCs/>
          <w:color w:val="002060"/>
          <w:sz w:val="26"/>
          <w:szCs w:val="26"/>
          <w:rtl/>
        </w:rPr>
        <w:t>של פסק</w:t>
      </w:r>
      <w:r>
        <w:rPr>
          <w:rFonts w:ascii="FrankRuehl" w:hAnsi="FrankRuehl" w:cs="FrankRuehl" w:hint="cs"/>
          <w:b/>
          <w:bCs/>
          <w:color w:val="002060"/>
          <w:sz w:val="26"/>
          <w:szCs w:val="26"/>
          <w:rtl/>
        </w:rPr>
        <w:t xml:space="preserve"> </w:t>
      </w:r>
      <w:r w:rsidRPr="000071E5">
        <w:rPr>
          <w:rFonts w:ascii="FrankRuehl" w:hAnsi="FrankRuehl" w:cs="FrankRuehl"/>
          <w:b/>
          <w:bCs/>
          <w:color w:val="002060"/>
          <w:sz w:val="26"/>
          <w:szCs w:val="26"/>
          <w:rtl/>
        </w:rPr>
        <w:t>הדין המלא</w:t>
      </w:r>
      <w:r w:rsidRPr="000071E5">
        <w:rPr>
          <w:rFonts w:ascii="FrankRuehl" w:hAnsi="FrankRuehl" w:cs="FrankRuehl" w:hint="cs"/>
          <w:b/>
          <w:bCs/>
          <w:color w:val="002060"/>
          <w:sz w:val="26"/>
          <w:szCs w:val="26"/>
          <w:rtl/>
        </w:rPr>
        <w:t xml:space="preserve"> ***</w:t>
      </w:r>
    </w:p>
    <w:p w14:paraId="25D62BAC" w14:textId="77777777" w:rsidR="00515986" w:rsidRPr="00E13F6E" w:rsidRDefault="00515986" w:rsidP="000C4D75">
      <w:pPr>
        <w:tabs>
          <w:tab w:val="num" w:pos="1080"/>
        </w:tabs>
        <w:spacing w:after="0" w:line="276" w:lineRule="auto"/>
        <w:jc w:val="both"/>
        <w:rPr>
          <w:rFonts w:ascii="Arial" w:eastAsia="Times New Roman" w:hAnsi="Arial" w:cs="David"/>
          <w:b/>
          <w:bCs/>
          <w:sz w:val="24"/>
          <w:szCs w:val="24"/>
          <w:rtl/>
        </w:rPr>
      </w:pPr>
    </w:p>
    <w:p w14:paraId="2456386F" w14:textId="77777777" w:rsidR="00515986" w:rsidRDefault="00515986" w:rsidP="000C4D75">
      <w:pPr>
        <w:tabs>
          <w:tab w:val="num" w:pos="1080"/>
        </w:tabs>
        <w:spacing w:after="0" w:line="276" w:lineRule="auto"/>
        <w:jc w:val="both"/>
        <w:rPr>
          <w:rFonts w:ascii="Arial" w:eastAsia="Times New Roman" w:hAnsi="Arial" w:cs="David"/>
          <w:b/>
          <w:bCs/>
          <w:sz w:val="24"/>
          <w:szCs w:val="24"/>
          <w:rtl/>
        </w:rPr>
      </w:pPr>
    </w:p>
    <w:p w14:paraId="1ABFB0BA" w14:textId="77777777" w:rsidR="002453CF" w:rsidRPr="007B7899" w:rsidRDefault="002453CF" w:rsidP="007B7899">
      <w:pPr>
        <w:spacing w:before="100" w:beforeAutospacing="1" w:after="100" w:afterAutospacing="1" w:line="240" w:lineRule="auto"/>
        <w:ind w:left="4320"/>
        <w:jc w:val="both"/>
        <w:rPr>
          <w:rFonts w:ascii="Times New Roman" w:eastAsia="Times New Roman" w:hAnsi="Times New Roman" w:cs="David"/>
          <w:b/>
          <w:bCs/>
          <w:color w:val="002060"/>
          <w:rtl/>
        </w:rPr>
      </w:pPr>
    </w:p>
    <w:sectPr w:rsidR="002453CF" w:rsidRPr="007B7899"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1934" w14:textId="77777777" w:rsidR="00F17B60" w:rsidRDefault="00F17B60" w:rsidP="00730CA1">
      <w:pPr>
        <w:spacing w:after="0" w:line="240" w:lineRule="auto"/>
      </w:pPr>
      <w:r>
        <w:separator/>
      </w:r>
    </w:p>
  </w:endnote>
  <w:endnote w:type="continuationSeparator" w:id="0">
    <w:p w14:paraId="1869D3CE" w14:textId="77777777" w:rsidR="00F17B60" w:rsidRDefault="00F17B60"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B72D" w14:textId="77777777" w:rsidR="003A639C" w:rsidRPr="003A639C" w:rsidRDefault="003A639C" w:rsidP="003A639C">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b/>
        <w:bCs/>
        <w:color w:val="000080"/>
        <w:spacing w:val="6"/>
        <w:sz w:val="24"/>
        <w:szCs w:val="24"/>
        <w:rtl/>
      </w:rPr>
      <w:t>________________________________________________________________</w:t>
    </w:r>
  </w:p>
  <w:p w14:paraId="55F62039" w14:textId="77777777" w:rsidR="003A639C"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בית משפט העליון | דרך השופט מאיר שמגר 1 | קרית בן גוריון | ירושלים</w:t>
    </w:r>
  </w:p>
  <w:p w14:paraId="5E3F13AE" w14:textId="77777777" w:rsidR="003C61AF"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טל: </w:t>
    </w:r>
    <w:r w:rsidRPr="003A639C">
      <w:rPr>
        <w:rFonts w:ascii="Times New Roman" w:eastAsia="Times New Roman" w:hAnsi="Times New Roman" w:cs="FrankRuehl"/>
        <w:b/>
        <w:bCs/>
        <w:color w:val="000080"/>
        <w:spacing w:val="6"/>
        <w:sz w:val="24"/>
        <w:szCs w:val="24"/>
      </w:rPr>
      <w:t>074-7480412</w:t>
    </w:r>
    <w:r w:rsidRPr="003A639C">
      <w:rPr>
        <w:rFonts w:ascii="Times New Roman" w:eastAsia="Times New Roman" w:hAnsi="Times New Roman" w:cs="FrankRuehl" w:hint="cs"/>
        <w:b/>
        <w:bCs/>
        <w:color w:val="000080"/>
        <w:spacing w:val="6"/>
        <w:sz w:val="24"/>
        <w:szCs w:val="24"/>
        <w:rtl/>
      </w:rPr>
      <w:t xml:space="preserve">                       דוא"ל</w:t>
    </w:r>
    <w:r w:rsidRPr="003A639C">
      <w:rPr>
        <w:rFonts w:ascii="Times New Roman" w:eastAsia="Times New Roman" w:hAnsi="Times New Roman" w:cs="FrankRuehl"/>
        <w:b/>
        <w:bCs/>
        <w:color w:val="000080"/>
        <w:spacing w:val="6"/>
        <w:sz w:val="24"/>
        <w:szCs w:val="24"/>
      </w:rPr>
      <w:t>:</w:t>
    </w:r>
    <w:r w:rsidRPr="003A639C">
      <w:rPr>
        <w:rFonts w:ascii="Times New Roman" w:eastAsia="Times New Roman" w:hAnsi="Times New Roman" w:cs="FrankRuehl" w:hint="cs"/>
        <w:b/>
        <w:bCs/>
        <w:color w:val="000080"/>
        <w:spacing w:val="6"/>
        <w:sz w:val="24"/>
        <w:szCs w:val="24"/>
        <w:rtl/>
      </w:rPr>
      <w:t xml:space="preserve">  </w:t>
    </w:r>
    <w:hyperlink r:id="rId1" w:history="1">
      <w:r w:rsidRPr="003A639C">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A7A7" w14:textId="77777777" w:rsidR="00F17B60" w:rsidRDefault="00F17B60" w:rsidP="00730CA1">
      <w:pPr>
        <w:spacing w:after="0" w:line="240" w:lineRule="auto"/>
      </w:pPr>
      <w:r>
        <w:separator/>
      </w:r>
    </w:p>
  </w:footnote>
  <w:footnote w:type="continuationSeparator" w:id="0">
    <w:p w14:paraId="5F70B112" w14:textId="77777777" w:rsidR="00F17B60" w:rsidRDefault="00F17B60"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EB1E" w14:textId="77777777"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14:anchorId="5290FB4B" wp14:editId="1F0549AF">
          <wp:extent cx="523875" cy="619125"/>
          <wp:effectExtent l="0" t="0" r="9525" b="9525"/>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14:paraId="0DABDFFA" w14:textId="77777777"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rtl/>
        <w:lang w:eastAsia="he-IL"/>
      </w:rPr>
    </w:pPr>
    <w:r w:rsidRPr="005253B2">
      <w:rPr>
        <w:rFonts w:ascii="Times New Roman" w:eastAsia="Times New Roman" w:hAnsi="Times New Roman" w:cs="FrankRuehl" w:hint="cs"/>
        <w:b/>
        <w:bCs/>
        <w:color w:val="000080"/>
        <w:spacing w:val="6"/>
        <w:sz w:val="28"/>
        <w:szCs w:val="28"/>
        <w:rtl/>
        <w:lang w:eastAsia="he-IL"/>
      </w:rPr>
      <w:t>מערכת בתי המשפט</w:t>
    </w:r>
  </w:p>
  <w:p w14:paraId="15BC39E3" w14:textId="77777777" w:rsidR="007007D7"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lang w:eastAsia="he-IL"/>
      </w:rPr>
    </w:pPr>
    <w:r w:rsidRPr="005253B2">
      <w:rPr>
        <w:rFonts w:ascii="Times New Roman" w:eastAsia="Times New Roman" w:hAnsi="Times New Roman" w:cs="FrankRuehl" w:hint="cs"/>
        <w:b/>
        <w:bCs/>
        <w:color w:val="000080"/>
        <w:spacing w:val="6"/>
        <w:sz w:val="28"/>
        <w:szCs w:val="28"/>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16cid:durableId="1975672905">
    <w:abstractNumId w:val="0"/>
  </w:num>
  <w:num w:numId="2" w16cid:durableId="1721975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CF"/>
    <w:rsid w:val="000011AE"/>
    <w:rsid w:val="00025761"/>
    <w:rsid w:val="00086CDC"/>
    <w:rsid w:val="000C4D75"/>
    <w:rsid w:val="001D42A7"/>
    <w:rsid w:val="002453CF"/>
    <w:rsid w:val="002C0E83"/>
    <w:rsid w:val="003921C3"/>
    <w:rsid w:val="003A639C"/>
    <w:rsid w:val="003C61AF"/>
    <w:rsid w:val="003E6E39"/>
    <w:rsid w:val="003E7EB7"/>
    <w:rsid w:val="00426AA7"/>
    <w:rsid w:val="00493AF1"/>
    <w:rsid w:val="00515986"/>
    <w:rsid w:val="005253B2"/>
    <w:rsid w:val="00541C9E"/>
    <w:rsid w:val="00631744"/>
    <w:rsid w:val="00690B6F"/>
    <w:rsid w:val="006B7B96"/>
    <w:rsid w:val="006C3B1F"/>
    <w:rsid w:val="006E7B97"/>
    <w:rsid w:val="006F1E1F"/>
    <w:rsid w:val="007007D7"/>
    <w:rsid w:val="00711675"/>
    <w:rsid w:val="00730CA1"/>
    <w:rsid w:val="007B7899"/>
    <w:rsid w:val="00832AD7"/>
    <w:rsid w:val="008C02E0"/>
    <w:rsid w:val="00983123"/>
    <w:rsid w:val="009E5C0E"/>
    <w:rsid w:val="00A13A30"/>
    <w:rsid w:val="00AD7644"/>
    <w:rsid w:val="00B16422"/>
    <w:rsid w:val="00B22AFC"/>
    <w:rsid w:val="00BA3143"/>
    <w:rsid w:val="00C22E08"/>
    <w:rsid w:val="00C37F37"/>
    <w:rsid w:val="00C50C55"/>
    <w:rsid w:val="00C529CC"/>
    <w:rsid w:val="00C842A7"/>
    <w:rsid w:val="00C85A27"/>
    <w:rsid w:val="00CA2D6A"/>
    <w:rsid w:val="00CB4940"/>
    <w:rsid w:val="00CD280B"/>
    <w:rsid w:val="00D11F77"/>
    <w:rsid w:val="00D205AB"/>
    <w:rsid w:val="00D3136C"/>
    <w:rsid w:val="00D43C0E"/>
    <w:rsid w:val="00D5319F"/>
    <w:rsid w:val="00E13F6E"/>
    <w:rsid w:val="00E35DF3"/>
    <w:rsid w:val="00EA6DF3"/>
    <w:rsid w:val="00EB6609"/>
    <w:rsid w:val="00F17B60"/>
    <w:rsid w:val="00F46250"/>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ACE5"/>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 w:type="paragraph" w:customStyle="1" w:styleId="Ruller4">
    <w:name w:val="Ruller4"/>
    <w:basedOn w:val="a"/>
    <w:rsid w:val="00D3136C"/>
    <w:pPr>
      <w:tabs>
        <w:tab w:val="left" w:pos="800"/>
      </w:tabs>
      <w:overflowPunct w:val="0"/>
      <w:autoSpaceDE w:val="0"/>
      <w:autoSpaceDN w:val="0"/>
      <w:adjustRightInd w:val="0"/>
      <w:spacing w:after="0" w:line="360" w:lineRule="auto"/>
      <w:jc w:val="both"/>
      <w:textAlignment w:val="baseline"/>
    </w:pPr>
    <w:rPr>
      <w:rFonts w:ascii="Arial TUR" w:eastAsia="Times New Roman" w:hAnsi="Arial TUR" w:cs="FrankRuehl"/>
      <w:spacing w:val="1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SixthEditionOfficeOnline.xsl"/>
</file>

<file path=customXml/itemProps1.xml><?xml version="1.0" encoding="utf-8"?>
<ds:datastoreItem xmlns:ds="http://schemas.openxmlformats.org/officeDocument/2006/customXml" ds:itemID="{5D04C93A-58A4-401D-94E1-D789A6007F5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917</Words>
  <Characters>4585</Characters>
  <Application>Microsoft Office Word</Application>
  <DocSecurity>0</DocSecurity>
  <Lines>38</Lines>
  <Paragraphs>10</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נעמה שחר</cp:lastModifiedBy>
  <cp:revision>3</cp:revision>
  <cp:lastPrinted>2017-11-13T12:38:00Z</cp:lastPrinted>
  <dcterms:created xsi:type="dcterms:W3CDTF">2025-12-14T07:29:00Z</dcterms:created>
  <dcterms:modified xsi:type="dcterms:W3CDTF">2025-12-14T07:29:00Z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14 בדצמבר 2025</vt:lpwstr>
  </property>
  <property fmtid="{D5CDD505-2E9C-101B-9397-08002B2CF9AE}" pid="3" name="DocDateHeb">
    <vt:lpwstr>כ"ד בכסלו תשפ"ו</vt:lpwstr>
  </property>
  <property fmtid="{D5CDD505-2E9C-101B-9397-08002B2CF9AE}" pid="4" name="DocNumber">
    <vt:lpwstr>4700-1039-2025-007383</vt:lpwstr>
  </property>
  <property fmtid="{D5CDD505-2E9C-101B-9397-08002B2CF9AE}" pid="5" name="DocRecipientsName">
    <vt:lpwstr/>
  </property>
  <property fmtid="{D5CDD505-2E9C-101B-9397-08002B2CF9AE}" pid="6" name="DocToName">
    <vt:lpwstr/>
  </property>
  <property fmtid="{D5CDD505-2E9C-101B-9397-08002B2CF9AE}" pid="7" name="DocObjectName">
    <vt:lpwstr>18225-06-25</vt:lpwstr>
  </property>
</Properties>
</file>