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477E" w14:textId="77777777" w:rsidR="00B16422" w:rsidRPr="00832AD7" w:rsidRDefault="002453CF" w:rsidP="00832AD7">
      <w:pPr>
        <w:spacing w:after="0" w:line="240" w:lineRule="auto"/>
        <w:rPr>
          <w:rFonts w:cs="David"/>
          <w:b/>
          <w:bCs/>
          <w:sz w:val="16"/>
          <w:szCs w:val="16"/>
          <w:rtl/>
        </w:rPr>
      </w:pPr>
      <w:r w:rsidRPr="006C3B1F">
        <w:rPr>
          <w:rFonts w:cs="David" w:hint="cs"/>
          <w:b/>
          <w:bCs/>
          <w:sz w:val="24"/>
          <w:szCs w:val="24"/>
          <w:rtl/>
        </w:rPr>
        <w:t xml:space="preserve">                                 </w:t>
      </w:r>
      <w:r w:rsidR="006B7B96" w:rsidRPr="006C3B1F">
        <w:rPr>
          <w:rFonts w:cs="David" w:hint="cs"/>
          <w:b/>
          <w:bCs/>
          <w:sz w:val="24"/>
          <w:szCs w:val="24"/>
          <w:rtl/>
        </w:rPr>
        <w:t xml:space="preserve">           </w:t>
      </w:r>
      <w:r w:rsidR="00631744">
        <w:rPr>
          <w:rFonts w:cs="David" w:hint="cs"/>
          <w:b/>
          <w:bCs/>
          <w:sz w:val="24"/>
          <w:szCs w:val="24"/>
          <w:rtl/>
        </w:rPr>
        <w:t xml:space="preserve">           </w:t>
      </w:r>
      <w:r w:rsidR="006C3B1F">
        <w:rPr>
          <w:rFonts w:cs="David" w:hint="cs"/>
          <w:b/>
          <w:bCs/>
          <w:sz w:val="24"/>
          <w:szCs w:val="24"/>
          <w:rtl/>
        </w:rPr>
        <w:t xml:space="preserve">   </w:t>
      </w:r>
      <w:r w:rsidRPr="006C3B1F">
        <w:rPr>
          <w:rFonts w:cs="David" w:hint="cs"/>
          <w:b/>
          <w:bCs/>
          <w:sz w:val="24"/>
          <w:szCs w:val="24"/>
          <w:rtl/>
        </w:rPr>
        <w:t xml:space="preserve">  </w:t>
      </w:r>
      <w:r w:rsidR="001D42A7">
        <w:rPr>
          <w:rFonts w:hint="cs"/>
          <w:b/>
          <w:bCs/>
          <w:rtl/>
        </w:rPr>
        <w:t xml:space="preserve">  </w:t>
      </w:r>
    </w:p>
    <w:p w14:paraId="13462529" w14:textId="2EC768AC" w:rsidR="005B49CF" w:rsidRPr="005B49CF" w:rsidRDefault="00983123" w:rsidP="005B49CF">
      <w:pPr>
        <w:spacing w:after="0" w:line="240" w:lineRule="auto"/>
        <w:jc w:val="right"/>
        <w:rPr>
          <w:rFonts w:ascii="Times New Roman" w:eastAsia="Times New Roman" w:hAnsi="Times New Roman" w:cs="David"/>
          <w:sz w:val="24"/>
          <w:szCs w:val="24"/>
          <w:rtl/>
        </w:rPr>
      </w:pPr>
      <w:r w:rsidRPr="00832AD7">
        <w:rPr>
          <w:rFonts w:ascii="Times New Roman" w:eastAsia="Times New Roman" w:hAnsi="Times New Roman" w:cs="David" w:hint="cs"/>
          <w:sz w:val="16"/>
          <w:szCs w:val="16"/>
          <w:rtl/>
        </w:rPr>
        <w:t xml:space="preserve">                                                                                                   </w:t>
      </w:r>
      <w:r w:rsidR="005B49CF">
        <w:rPr>
          <w:rFonts w:ascii="Times New Roman" w:eastAsia="Times New Roman" w:hAnsi="Times New Roman" w:cs="David" w:hint="cs"/>
          <w:sz w:val="16"/>
          <w:szCs w:val="16"/>
          <w:rtl/>
        </w:rPr>
        <w:t xml:space="preserve"> </w:t>
      </w:r>
      <w:r w:rsidR="005B49CF" w:rsidRPr="00832AD7">
        <w:rPr>
          <w:rFonts w:ascii="Times New Roman" w:eastAsia="Times New Roman" w:hAnsi="Times New Roman" w:cs="David" w:hint="cs"/>
          <w:sz w:val="16"/>
          <w:szCs w:val="16"/>
          <w:rtl/>
        </w:rPr>
        <w:fldChar w:fldCharType="begin"/>
      </w:r>
      <w:r w:rsidR="005B49CF" w:rsidRPr="00832AD7">
        <w:rPr>
          <w:rFonts w:ascii="Times New Roman" w:eastAsia="Times New Roman" w:hAnsi="Times New Roman" w:cs="David" w:hint="cs"/>
          <w:sz w:val="16"/>
          <w:szCs w:val="16"/>
          <w:rtl/>
        </w:rPr>
        <w:instrText xml:space="preserve"> </w:instrText>
      </w:r>
      <w:r w:rsidR="005B49CF" w:rsidRPr="00832AD7">
        <w:rPr>
          <w:rFonts w:ascii="Times New Roman" w:eastAsia="Times New Roman" w:hAnsi="Times New Roman" w:cs="David"/>
          <w:sz w:val="16"/>
          <w:szCs w:val="16"/>
        </w:rPr>
        <w:instrText>DOCPROPERTY  DocDateEng  \* MERGEFORMAT</w:instrText>
      </w:r>
      <w:r w:rsidR="005B49CF" w:rsidRPr="00832AD7">
        <w:rPr>
          <w:rFonts w:ascii="Times New Roman" w:eastAsia="Times New Roman" w:hAnsi="Times New Roman" w:cs="David" w:hint="cs"/>
          <w:sz w:val="16"/>
          <w:szCs w:val="16"/>
          <w:rtl/>
        </w:rPr>
        <w:instrText xml:space="preserve"> </w:instrText>
      </w:r>
      <w:r w:rsidR="005B49CF" w:rsidRPr="00832AD7">
        <w:rPr>
          <w:rFonts w:ascii="Times New Roman" w:eastAsia="Times New Roman" w:hAnsi="Times New Roman" w:cs="David" w:hint="cs"/>
          <w:sz w:val="16"/>
          <w:szCs w:val="16"/>
          <w:rtl/>
        </w:rPr>
        <w:fldChar w:fldCharType="separate"/>
      </w:r>
      <w:r w:rsidR="005B49CF" w:rsidRPr="00832AD7">
        <w:rPr>
          <w:rFonts w:ascii="Times New Roman" w:eastAsia="Times New Roman" w:hAnsi="Times New Roman" w:cs="David" w:hint="cs"/>
          <w:sz w:val="16"/>
          <w:szCs w:val="16"/>
          <w:rtl/>
        </w:rPr>
        <w:t>09 בפברואר 2026</w:t>
      </w:r>
      <w:r w:rsidR="005B49CF" w:rsidRPr="00832AD7">
        <w:rPr>
          <w:rFonts w:ascii="Times New Roman" w:eastAsia="Times New Roman" w:hAnsi="Times New Roman" w:cs="David" w:hint="cs"/>
          <w:sz w:val="16"/>
          <w:szCs w:val="16"/>
          <w:rtl/>
        </w:rPr>
        <w:fldChar w:fldCharType="end"/>
      </w:r>
      <w:r w:rsidR="005B49CF">
        <w:rPr>
          <w:rFonts w:ascii="Times New Roman" w:eastAsia="Times New Roman" w:hAnsi="Times New Roman" w:cs="David" w:hint="cs"/>
          <w:sz w:val="16"/>
          <w:szCs w:val="16"/>
          <w:rtl/>
        </w:rPr>
        <w:t xml:space="preserve"> | </w:t>
      </w:r>
      <w:r w:rsidRPr="00832AD7">
        <w:rPr>
          <w:rFonts w:ascii="Times New Roman" w:eastAsia="Times New Roman" w:hAnsi="Times New Roman" w:cs="David" w:hint="cs"/>
          <w:sz w:val="16"/>
          <w:szCs w:val="16"/>
          <w:rtl/>
        </w:rPr>
        <w:fldChar w:fldCharType="begin"/>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sz w:val="16"/>
          <w:szCs w:val="16"/>
        </w:rPr>
        <w:instrText>DOCPROPERTY  DocDateHeb  \* MERGEFORMAT</w:instrText>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hint="cs"/>
          <w:sz w:val="16"/>
          <w:szCs w:val="16"/>
          <w:rtl/>
        </w:rPr>
        <w:fldChar w:fldCharType="separate"/>
      </w:r>
      <w:r w:rsidRPr="00832AD7">
        <w:rPr>
          <w:rFonts w:ascii="Times New Roman" w:eastAsia="Times New Roman" w:hAnsi="Times New Roman" w:cs="David" w:hint="cs"/>
          <w:sz w:val="16"/>
          <w:szCs w:val="16"/>
          <w:rtl/>
        </w:rPr>
        <w:t>כ"ב בשבט תשפ"ו</w:t>
      </w:r>
      <w:r w:rsidRPr="00832AD7">
        <w:rPr>
          <w:rFonts w:ascii="Times New Roman" w:eastAsia="Times New Roman" w:hAnsi="Times New Roman" w:cs="David" w:hint="cs"/>
          <w:sz w:val="16"/>
          <w:szCs w:val="16"/>
          <w:rtl/>
        </w:rPr>
        <w:fldChar w:fldCharType="end"/>
      </w:r>
      <w:r w:rsidR="005B49CF">
        <w:rPr>
          <w:rFonts w:ascii="Times New Roman" w:eastAsia="Times New Roman" w:hAnsi="Times New Roman" w:cs="David" w:hint="cs"/>
          <w:sz w:val="16"/>
          <w:szCs w:val="16"/>
          <w:rtl/>
        </w:rPr>
        <w:t xml:space="preserve"> | </w:t>
      </w:r>
      <w:r w:rsidR="005B49CF" w:rsidRPr="00832AD7">
        <w:rPr>
          <w:rFonts w:ascii="Times New Roman" w:eastAsia="Times New Roman" w:hAnsi="Times New Roman" w:cs="David" w:hint="cs"/>
          <w:sz w:val="16"/>
          <w:szCs w:val="16"/>
          <w:rtl/>
        </w:rPr>
        <w:fldChar w:fldCharType="begin"/>
      </w:r>
      <w:r w:rsidR="005B49CF" w:rsidRPr="00832AD7">
        <w:rPr>
          <w:rFonts w:ascii="Times New Roman" w:eastAsia="Times New Roman" w:hAnsi="Times New Roman" w:cs="David" w:hint="cs"/>
          <w:sz w:val="16"/>
          <w:szCs w:val="16"/>
          <w:rtl/>
        </w:rPr>
        <w:instrText xml:space="preserve"> </w:instrText>
      </w:r>
      <w:r w:rsidR="005B49CF" w:rsidRPr="00832AD7">
        <w:rPr>
          <w:rFonts w:ascii="Times New Roman" w:eastAsia="Times New Roman" w:hAnsi="Times New Roman" w:cs="David"/>
          <w:sz w:val="16"/>
          <w:szCs w:val="16"/>
        </w:rPr>
        <w:instrText>DOCPROPERTY  DocNumber  \* MERGEFORMAT</w:instrText>
      </w:r>
      <w:r w:rsidR="005B49CF" w:rsidRPr="00832AD7">
        <w:rPr>
          <w:rFonts w:ascii="Times New Roman" w:eastAsia="Times New Roman" w:hAnsi="Times New Roman" w:cs="David" w:hint="cs"/>
          <w:sz w:val="16"/>
          <w:szCs w:val="16"/>
          <w:rtl/>
        </w:rPr>
        <w:instrText xml:space="preserve"> </w:instrText>
      </w:r>
      <w:r w:rsidR="005B49CF" w:rsidRPr="00832AD7">
        <w:rPr>
          <w:rFonts w:ascii="Times New Roman" w:eastAsia="Times New Roman" w:hAnsi="Times New Roman" w:cs="David" w:hint="cs"/>
          <w:sz w:val="16"/>
          <w:szCs w:val="16"/>
          <w:rtl/>
        </w:rPr>
        <w:fldChar w:fldCharType="separate"/>
      </w:r>
      <w:r w:rsidR="005B49CF" w:rsidRPr="00832AD7">
        <w:rPr>
          <w:rFonts w:ascii="Times New Roman" w:eastAsia="Times New Roman" w:hAnsi="Times New Roman" w:cs="David" w:hint="cs"/>
          <w:sz w:val="16"/>
          <w:szCs w:val="16"/>
          <w:rtl/>
        </w:rPr>
        <w:t>4700-1039-2026-000987</w:t>
      </w:r>
      <w:r w:rsidR="005B49CF" w:rsidRPr="00832AD7">
        <w:rPr>
          <w:rFonts w:ascii="Times New Roman" w:eastAsia="Times New Roman" w:hAnsi="Times New Roman" w:cs="David" w:hint="cs"/>
          <w:sz w:val="16"/>
          <w:szCs w:val="16"/>
          <w:rtl/>
        </w:rPr>
        <w:fldChar w:fldCharType="end"/>
      </w:r>
    </w:p>
    <w:p w14:paraId="511F0BE1" w14:textId="050C421B" w:rsidR="00983123" w:rsidRPr="00832AD7" w:rsidRDefault="00983123" w:rsidP="00832AD7">
      <w:pPr>
        <w:spacing w:after="0" w:line="240" w:lineRule="auto"/>
        <w:jc w:val="right"/>
        <w:rPr>
          <w:rFonts w:ascii="Times New Roman" w:eastAsia="Times New Roman" w:hAnsi="Times New Roman" w:cs="David"/>
          <w:sz w:val="16"/>
          <w:szCs w:val="16"/>
          <w:rtl/>
        </w:rPr>
      </w:pPr>
    </w:p>
    <w:p w14:paraId="26186C19" w14:textId="1D86FCE4" w:rsidR="00E13F6E" w:rsidRDefault="00E13F6E" w:rsidP="005B49CF">
      <w:pPr>
        <w:spacing w:after="120" w:line="360" w:lineRule="auto"/>
        <w:contextualSpacing/>
        <w:jc w:val="center"/>
        <w:rPr>
          <w:rFonts w:ascii="FrankRuehl" w:hAnsi="FrankRuehl" w:cs="FrankRuehl"/>
          <w:b/>
          <w:bCs/>
          <w:color w:val="002060"/>
          <w:sz w:val="32"/>
          <w:szCs w:val="32"/>
          <w:u w:val="single"/>
          <w:rtl/>
        </w:rPr>
      </w:pPr>
      <w:r w:rsidRPr="000071E5">
        <w:rPr>
          <w:rFonts w:ascii="FrankRuehl" w:hAnsi="FrankRuehl" w:cs="FrankRuehl"/>
          <w:b/>
          <w:bCs/>
          <w:color w:val="002060"/>
          <w:sz w:val="32"/>
          <w:szCs w:val="32"/>
          <w:u w:val="single"/>
          <w:rtl/>
        </w:rPr>
        <w:t>תקציר פסק</w:t>
      </w:r>
      <w:r w:rsidRPr="000071E5">
        <w:rPr>
          <w:rFonts w:ascii="FrankRuehl" w:hAnsi="FrankRuehl" w:cs="FrankRuehl" w:hint="cs"/>
          <w:b/>
          <w:bCs/>
          <w:color w:val="002060"/>
          <w:sz w:val="32"/>
          <w:szCs w:val="32"/>
          <w:u w:val="single"/>
          <w:rtl/>
        </w:rPr>
        <w:t>-</w:t>
      </w:r>
      <w:r w:rsidRPr="000071E5">
        <w:rPr>
          <w:rFonts w:ascii="FrankRuehl" w:hAnsi="FrankRuehl" w:cs="FrankRuehl"/>
          <w:b/>
          <w:bCs/>
          <w:color w:val="002060"/>
          <w:sz w:val="32"/>
          <w:szCs w:val="32"/>
          <w:u w:val="single"/>
          <w:rtl/>
        </w:rPr>
        <w:t>דין</w:t>
      </w:r>
      <w:r w:rsidR="005B49CF">
        <w:rPr>
          <w:rFonts w:ascii="FrankRuehl" w:hAnsi="FrankRuehl" w:cs="FrankRuehl" w:hint="cs"/>
          <w:b/>
          <w:bCs/>
          <w:color w:val="002060"/>
          <w:sz w:val="32"/>
          <w:szCs w:val="32"/>
          <w:u w:val="single"/>
          <w:rtl/>
        </w:rPr>
        <w:t xml:space="preserve"> בתיק 60933-09-25 רינת סבן</w:t>
      </w:r>
      <w:r w:rsidR="00AA72A6">
        <w:rPr>
          <w:rFonts w:ascii="FrankRuehl" w:hAnsi="FrankRuehl" w:cs="FrankRuehl" w:hint="cs"/>
          <w:b/>
          <w:bCs/>
          <w:color w:val="002060"/>
          <w:sz w:val="32"/>
          <w:szCs w:val="32"/>
          <w:u w:val="single"/>
          <w:rtl/>
        </w:rPr>
        <w:t xml:space="preserve"> ואח'</w:t>
      </w:r>
      <w:r w:rsidR="005B49CF">
        <w:rPr>
          <w:rFonts w:ascii="FrankRuehl" w:hAnsi="FrankRuehl" w:cs="FrankRuehl" w:hint="cs"/>
          <w:b/>
          <w:bCs/>
          <w:color w:val="002060"/>
          <w:sz w:val="32"/>
          <w:szCs w:val="32"/>
          <w:u w:val="single"/>
          <w:rtl/>
        </w:rPr>
        <w:t xml:space="preserve"> נגד השר לביטחון לאומי</w:t>
      </w:r>
    </w:p>
    <w:p w14:paraId="3D13B9F6" w14:textId="77777777" w:rsidR="00166460" w:rsidRDefault="00166460" w:rsidP="009702E2">
      <w:pPr>
        <w:spacing w:line="312" w:lineRule="auto"/>
        <w:jc w:val="both"/>
        <w:rPr>
          <w:rFonts w:ascii="David" w:hAnsi="David" w:cs="David"/>
          <w:sz w:val="24"/>
          <w:szCs w:val="24"/>
          <w:rtl/>
        </w:rPr>
      </w:pPr>
    </w:p>
    <w:p w14:paraId="563C0F4F" w14:textId="7B8F21E1" w:rsidR="005B49CF" w:rsidRDefault="005B49CF" w:rsidP="009702E2">
      <w:pPr>
        <w:spacing w:line="312" w:lineRule="auto"/>
        <w:jc w:val="both"/>
        <w:rPr>
          <w:rFonts w:ascii="David" w:hAnsi="David" w:cs="David"/>
          <w:sz w:val="24"/>
          <w:szCs w:val="24"/>
          <w:rtl/>
        </w:rPr>
      </w:pPr>
      <w:r>
        <w:rPr>
          <w:rFonts w:ascii="David" w:hAnsi="David" w:cs="David" w:hint="cs"/>
          <w:sz w:val="24"/>
          <w:szCs w:val="24"/>
          <w:rtl/>
        </w:rPr>
        <w:t xml:space="preserve">בית המשפט המחוזי בירושלים קיבל היום, 9 בפברואר 2026, עתירה </w:t>
      </w:r>
      <w:proofErr w:type="spellStart"/>
      <w:r>
        <w:rPr>
          <w:rFonts w:ascii="David" w:hAnsi="David" w:cs="David" w:hint="cs"/>
          <w:sz w:val="24"/>
          <w:szCs w:val="24"/>
          <w:rtl/>
        </w:rPr>
        <w:t>מינהלית</w:t>
      </w:r>
      <w:proofErr w:type="spellEnd"/>
      <w:r>
        <w:rPr>
          <w:rFonts w:ascii="David" w:hAnsi="David" w:cs="David" w:hint="cs"/>
          <w:sz w:val="24"/>
          <w:szCs w:val="24"/>
          <w:rtl/>
        </w:rPr>
        <w:t xml:space="preserve"> שהוגשה בעניינה של רפ"ק רינת סבן (העותרת) והורה לאשר את קידומה לדרגת סגן ניצב.</w:t>
      </w:r>
    </w:p>
    <w:p w14:paraId="59241AB2" w14:textId="77777777" w:rsidR="005B49CF" w:rsidRDefault="005B49CF" w:rsidP="009702E2">
      <w:pPr>
        <w:spacing w:line="312" w:lineRule="auto"/>
        <w:jc w:val="both"/>
        <w:rPr>
          <w:rFonts w:ascii="David" w:hAnsi="David" w:cs="David"/>
          <w:sz w:val="24"/>
          <w:szCs w:val="24"/>
          <w:rtl/>
        </w:rPr>
      </w:pPr>
      <w:r>
        <w:rPr>
          <w:rFonts w:ascii="David" w:hAnsi="David" w:cs="David" w:hint="cs"/>
          <w:sz w:val="24"/>
          <w:szCs w:val="24"/>
          <w:rtl/>
        </w:rPr>
        <w:t>בפסק הדין עמד בית המשפט על העובדות העיקריות בנוגע להליך קידומה של העותרת: בראשית הדרך בשלהי 2024 אישר השר לביטחון לאומי (השר) את המלצת המפכ"ל וסגל הפיקוד הכללי של המשטרה לקידומה של העותרת וחתם על כתב מינוי שלה לתפקיד עוזרת ראש אגף חקירות ומודיעין בדרגת סגן ניצב, וזאת בלא כל הסתייגות. היות והשלמת קורס פיקוד ומטה (</w:t>
      </w:r>
      <w:proofErr w:type="spellStart"/>
      <w:r>
        <w:rPr>
          <w:rFonts w:ascii="David" w:hAnsi="David" w:cs="David" w:hint="cs"/>
          <w:sz w:val="24"/>
          <w:szCs w:val="24"/>
          <w:rtl/>
        </w:rPr>
        <w:t>פו"מ</w:t>
      </w:r>
      <w:proofErr w:type="spellEnd"/>
      <w:r>
        <w:rPr>
          <w:rFonts w:ascii="David" w:hAnsi="David" w:cs="David" w:hint="cs"/>
          <w:sz w:val="24"/>
          <w:szCs w:val="24"/>
          <w:rtl/>
        </w:rPr>
        <w:t xml:space="preserve">) הוא תנאי לדרגת סגן ניצב, צוין כי הדרגה תוענק לעותרת עם סיום הקורס. זמן קצר לאחר אישור השר יצאה העותרת לקורס והשלימה אותו בהצלחה. במהלך הקורס זומנה העותרת למסור עדות בתיק 4000 המתנהל נגד ראש הממשלה. רק לאחר מכן חלה תפנית בעמדת השר והוא נמנע מלחתום על אישור העלאתה בדרגה של העותרת. במשך מספר חודשים לא נתן השר טעם לדבר ולאחר פניית הייעוץ המשפטי לממשלה אליו, העלה השר בדיעבד סוגיות ונקודות הטעונות לשיטתו בירור בעניינה של העותרת. סוגיות אלה נגעו בעיקר לעדות שמסרה בעבר כקצינה זוטרה בצוות חקירות יועצי ראש הממשלה (בראשית 2020) ולהערות שהעיר בית המשפט העליון בעניין זה, וכן לעדות שמסרה בתיק 4000 המתנהל נגד ראש הממשלה, שאף כאן השתתפה כקצינה זוטרה בצוות החקירה. </w:t>
      </w:r>
    </w:p>
    <w:p w14:paraId="59210610" w14:textId="77777777" w:rsidR="005B49CF" w:rsidRDefault="005B49CF" w:rsidP="009702E2">
      <w:pPr>
        <w:spacing w:line="312" w:lineRule="auto"/>
        <w:jc w:val="both"/>
        <w:rPr>
          <w:rFonts w:ascii="David" w:hAnsi="David" w:cs="David"/>
          <w:sz w:val="24"/>
          <w:szCs w:val="24"/>
          <w:rtl/>
        </w:rPr>
      </w:pPr>
      <w:r>
        <w:rPr>
          <w:rFonts w:ascii="David" w:hAnsi="David" w:cs="David" w:hint="cs"/>
          <w:sz w:val="24"/>
          <w:szCs w:val="24"/>
          <w:rtl/>
        </w:rPr>
        <w:t>היועץ המשפטי למשטרה ומפכ"ל המשטרה השיבו באורח מפורט לכלל הסוגיות והנקודות שהעלה השר. בשורה התחתונה הביע מפכ"ל המשטרה את עמדתו המקצועית שלפיה:</w:t>
      </w:r>
    </w:p>
    <w:p w14:paraId="62F28720" w14:textId="77777777" w:rsidR="005B49CF" w:rsidRPr="00AE4A01" w:rsidRDefault="005B49CF" w:rsidP="009702E2">
      <w:pPr>
        <w:pStyle w:val="a9"/>
        <w:spacing w:line="312" w:lineRule="auto"/>
        <w:ind w:left="1440" w:right="567"/>
        <w:jc w:val="both"/>
        <w:rPr>
          <w:rFonts w:ascii="Miriam" w:hAnsi="Miriam" w:cs="Miriam"/>
          <w:rtl/>
        </w:rPr>
      </w:pPr>
      <w:r>
        <w:rPr>
          <w:rFonts w:ascii="David" w:hAnsi="David" w:cs="David" w:hint="cs"/>
          <w:sz w:val="24"/>
          <w:szCs w:val="24"/>
          <w:rtl/>
        </w:rPr>
        <w:t>"</w:t>
      </w:r>
      <w:r w:rsidRPr="00AE4A01">
        <w:rPr>
          <w:rFonts w:ascii="Miriam" w:hAnsi="Miriam" w:cs="Miriam"/>
          <w:rtl/>
        </w:rPr>
        <w:t xml:space="preserve">מדובר בקצינה מצטיינת, הראויה לקידום, ובפרט לאחר שהמינוי כבר נחתם על ידי השר כדין ולאחר שהיא כבר ממלאת את התפקיד בפועל בהצלחה מזה חודשים ארוכים. </w:t>
      </w:r>
    </w:p>
    <w:p w14:paraId="0D36C55F" w14:textId="77777777" w:rsidR="005B49CF" w:rsidRPr="00AE4A01" w:rsidRDefault="005B49CF" w:rsidP="009702E2">
      <w:pPr>
        <w:pStyle w:val="a9"/>
        <w:spacing w:line="312" w:lineRule="auto"/>
        <w:ind w:left="1440" w:right="567"/>
        <w:jc w:val="both"/>
        <w:rPr>
          <w:rFonts w:ascii="Miriam" w:hAnsi="Miriam" w:cs="Miriam"/>
          <w:rtl/>
        </w:rPr>
      </w:pPr>
    </w:p>
    <w:p w14:paraId="093E92D3" w14:textId="77777777" w:rsidR="005B49CF" w:rsidRDefault="005B49CF" w:rsidP="009702E2">
      <w:pPr>
        <w:pStyle w:val="a9"/>
        <w:spacing w:line="312" w:lineRule="auto"/>
        <w:ind w:left="1440" w:right="567"/>
        <w:jc w:val="both"/>
        <w:rPr>
          <w:rFonts w:ascii="David" w:hAnsi="David" w:cs="David"/>
          <w:sz w:val="24"/>
          <w:szCs w:val="24"/>
          <w:rtl/>
        </w:rPr>
      </w:pPr>
      <w:r w:rsidRPr="00911CC2">
        <w:rPr>
          <w:rFonts w:ascii="Miriam" w:hAnsi="Miriam" w:cs="Miriam"/>
          <w:rtl/>
        </w:rPr>
        <w:t xml:space="preserve">בפניה שהועברה למשטרה עלו טענות שונות, רובן מציפות סוגיות שאינן חריגות וחלקן כנראה שגויות. סוגיות אלה הוצפו באופן חריג בעניינה של </w:t>
      </w:r>
      <w:r>
        <w:rPr>
          <w:rFonts w:ascii="Miriam" w:hAnsi="Miriam" w:cs="Miriam" w:hint="cs"/>
          <w:rtl/>
        </w:rPr>
        <w:t xml:space="preserve">הקצינה </w:t>
      </w:r>
      <w:r w:rsidRPr="00911CC2">
        <w:rPr>
          <w:rFonts w:ascii="Miriam" w:hAnsi="Miriam" w:cs="Miriam"/>
          <w:rtl/>
        </w:rPr>
        <w:t xml:space="preserve">ולא הוצפו במקרים זהים קודמים. אשר על כן, אין מניעה כלשהי לקדם את </w:t>
      </w:r>
      <w:r>
        <w:rPr>
          <w:rFonts w:ascii="Miriam" w:hAnsi="Miriam" w:cs="Miriam" w:hint="cs"/>
          <w:rtl/>
        </w:rPr>
        <w:t>הקצינה</w:t>
      </w:r>
      <w:r>
        <w:rPr>
          <w:rFonts w:ascii="David" w:hAnsi="David" w:cs="David" w:hint="cs"/>
          <w:sz w:val="24"/>
          <w:szCs w:val="24"/>
          <w:rtl/>
        </w:rPr>
        <w:t xml:space="preserve">" </w:t>
      </w:r>
    </w:p>
    <w:p w14:paraId="40935CCD" w14:textId="77777777" w:rsidR="005B49CF" w:rsidRDefault="005B49CF" w:rsidP="009702E2">
      <w:pPr>
        <w:spacing w:line="312" w:lineRule="auto"/>
        <w:jc w:val="both"/>
        <w:rPr>
          <w:rFonts w:ascii="David" w:hAnsi="David" w:cs="David"/>
          <w:sz w:val="24"/>
          <w:szCs w:val="24"/>
          <w:rtl/>
        </w:rPr>
      </w:pPr>
      <w:r>
        <w:rPr>
          <w:rFonts w:ascii="David" w:hAnsi="David" w:cs="David" w:hint="cs"/>
          <w:sz w:val="24"/>
          <w:szCs w:val="24"/>
          <w:rtl/>
        </w:rPr>
        <w:t>על אף האמור נמנע השר מקבלת החלטה בעניין קידומה של העותרת, תוך עיכוב קידומה של העותרת בפועל למשך זמן ניכר. כך היה גם לאחר שהמפכ"ל הודיע לשר שאין הצדקה או בסיס לבקשת השר להורות על כינוס מחדש של סגל הפיקוד הכללי לדיון נוסף בנוגע לעותרת.</w:t>
      </w:r>
    </w:p>
    <w:p w14:paraId="705C0E7E" w14:textId="77777777" w:rsidR="005B49CF" w:rsidRDefault="005B49CF" w:rsidP="009702E2">
      <w:pPr>
        <w:spacing w:line="312" w:lineRule="auto"/>
        <w:jc w:val="both"/>
        <w:rPr>
          <w:rFonts w:ascii="David" w:hAnsi="David" w:cs="David"/>
          <w:sz w:val="24"/>
          <w:szCs w:val="24"/>
          <w:rtl/>
        </w:rPr>
      </w:pPr>
      <w:r w:rsidRPr="00911CC2">
        <w:rPr>
          <w:rFonts w:ascii="David" w:hAnsi="David" w:cs="David" w:hint="cs"/>
          <w:sz w:val="24"/>
          <w:szCs w:val="24"/>
          <w:rtl/>
        </w:rPr>
        <w:t xml:space="preserve">בפסק הדין נקבע כי בנסיבות </w:t>
      </w:r>
      <w:r>
        <w:rPr>
          <w:rFonts w:ascii="David" w:hAnsi="David" w:cs="David" w:hint="cs"/>
          <w:sz w:val="24"/>
          <w:szCs w:val="24"/>
          <w:rtl/>
        </w:rPr>
        <w:t>ה</w:t>
      </w:r>
      <w:r w:rsidRPr="00911CC2">
        <w:rPr>
          <w:rFonts w:ascii="David" w:hAnsi="David" w:cs="David" w:hint="cs"/>
          <w:sz w:val="24"/>
          <w:szCs w:val="24"/>
          <w:rtl/>
        </w:rPr>
        <w:t xml:space="preserve">חריגות כשהשר מסרב לקבל החלטה בעניינה של העותרת </w:t>
      </w:r>
      <w:r>
        <w:rPr>
          <w:rFonts w:ascii="David" w:hAnsi="David" w:cs="David" w:hint="cs"/>
          <w:sz w:val="24"/>
          <w:szCs w:val="24"/>
          <w:rtl/>
        </w:rPr>
        <w:t>לאורך זמן ו</w:t>
      </w:r>
      <w:r w:rsidRPr="00911CC2">
        <w:rPr>
          <w:rFonts w:ascii="David" w:hAnsi="David" w:cs="David" w:hint="cs"/>
          <w:sz w:val="24"/>
          <w:szCs w:val="24"/>
          <w:rtl/>
        </w:rPr>
        <w:t xml:space="preserve">גם לאחר שהונחו לפניו תשתית מלאה ומענה מקצועי מפורט, יש לראות בו כמי שהחליט שלא לקדם את העותרת בדרגה. </w:t>
      </w:r>
      <w:r>
        <w:rPr>
          <w:rFonts w:ascii="David" w:hAnsi="David" w:cs="David" w:hint="cs"/>
          <w:sz w:val="24"/>
          <w:szCs w:val="24"/>
          <w:rtl/>
        </w:rPr>
        <w:t xml:space="preserve">הטענה כי ההליך </w:t>
      </w:r>
      <w:proofErr w:type="spellStart"/>
      <w:r>
        <w:rPr>
          <w:rFonts w:ascii="David" w:hAnsi="David" w:cs="David" w:hint="cs"/>
          <w:sz w:val="24"/>
          <w:szCs w:val="24"/>
          <w:rtl/>
        </w:rPr>
        <w:t>המינהלי</w:t>
      </w:r>
      <w:proofErr w:type="spellEnd"/>
      <w:r>
        <w:rPr>
          <w:rFonts w:ascii="David" w:hAnsi="David" w:cs="David" w:hint="cs"/>
          <w:sz w:val="24"/>
          <w:szCs w:val="24"/>
          <w:rtl/>
        </w:rPr>
        <w:t xml:space="preserve"> טרם הושלם וכי אין בנמצא החלטה שניתן לתקוף, נדחתה.</w:t>
      </w:r>
    </w:p>
    <w:p w14:paraId="16A4F8CE" w14:textId="77777777" w:rsidR="005B49CF" w:rsidRDefault="005B49CF" w:rsidP="009702E2">
      <w:pPr>
        <w:spacing w:line="312" w:lineRule="auto"/>
        <w:jc w:val="both"/>
        <w:rPr>
          <w:rFonts w:ascii="David" w:hAnsi="David" w:cs="David"/>
          <w:sz w:val="24"/>
          <w:szCs w:val="24"/>
          <w:rtl/>
        </w:rPr>
      </w:pPr>
      <w:r>
        <w:rPr>
          <w:rFonts w:ascii="David" w:hAnsi="David" w:cs="David" w:hint="cs"/>
          <w:sz w:val="24"/>
          <w:szCs w:val="24"/>
          <w:rtl/>
        </w:rPr>
        <w:t>עוד נקבע כי סירוב השר עומד בניגוד קוטבי לעמדתם של גורמי המקצוע במשטרה ובראשם מפכ"ל המשטרה. נקבע כי לעמדה זו יש לתת משקל משמעותי וכי השר לא נתן מענה של ממש לעמדת גורמי המקצוע, לאחר שהשר הוא שאישר לכתחילה את הקידום. בנסיבות אלה נקבע כי סירוב השר עולה כדי חוסר סבירות קיצוני המצדיק התערבות.</w:t>
      </w:r>
    </w:p>
    <w:p w14:paraId="51E9A238" w14:textId="77777777" w:rsidR="005B49CF" w:rsidRDefault="005B49CF" w:rsidP="009702E2">
      <w:pPr>
        <w:spacing w:line="312" w:lineRule="auto"/>
        <w:jc w:val="both"/>
        <w:rPr>
          <w:rFonts w:ascii="David" w:hAnsi="David" w:cs="David"/>
          <w:sz w:val="24"/>
          <w:szCs w:val="24"/>
          <w:rtl/>
        </w:rPr>
      </w:pPr>
      <w:r w:rsidRPr="000324A5">
        <w:rPr>
          <w:rFonts w:ascii="David" w:hAnsi="David" w:cs="David" w:hint="cs"/>
          <w:sz w:val="24"/>
          <w:szCs w:val="24"/>
          <w:rtl/>
        </w:rPr>
        <w:t xml:space="preserve">בית המשפט נדרש </w:t>
      </w:r>
      <w:r>
        <w:rPr>
          <w:rFonts w:ascii="David" w:hAnsi="David" w:cs="David" w:hint="cs"/>
          <w:sz w:val="24"/>
          <w:szCs w:val="24"/>
          <w:rtl/>
        </w:rPr>
        <w:t xml:space="preserve">גם </w:t>
      </w:r>
      <w:r w:rsidRPr="000324A5">
        <w:rPr>
          <w:rFonts w:ascii="David" w:hAnsi="David" w:cs="David" w:hint="cs"/>
          <w:sz w:val="24"/>
          <w:szCs w:val="24"/>
          <w:rtl/>
        </w:rPr>
        <w:t>לטענות שהעלו העותרות וש</w:t>
      </w:r>
      <w:r>
        <w:rPr>
          <w:rFonts w:ascii="David" w:hAnsi="David" w:cs="David" w:hint="cs"/>
          <w:sz w:val="24"/>
          <w:szCs w:val="24"/>
          <w:rtl/>
        </w:rPr>
        <w:t>א</w:t>
      </w:r>
      <w:r w:rsidRPr="000324A5">
        <w:rPr>
          <w:rFonts w:ascii="David" w:hAnsi="David" w:cs="David" w:hint="cs"/>
          <w:sz w:val="24"/>
          <w:szCs w:val="24"/>
          <w:rtl/>
        </w:rPr>
        <w:t>ל</w:t>
      </w:r>
      <w:r>
        <w:rPr>
          <w:rFonts w:ascii="David" w:hAnsi="David" w:cs="David" w:hint="cs"/>
          <w:sz w:val="24"/>
          <w:szCs w:val="24"/>
          <w:rtl/>
        </w:rPr>
        <w:t>י</w:t>
      </w:r>
      <w:r w:rsidRPr="000324A5">
        <w:rPr>
          <w:rFonts w:ascii="David" w:hAnsi="David" w:cs="David" w:hint="cs"/>
          <w:sz w:val="24"/>
          <w:szCs w:val="24"/>
          <w:rtl/>
        </w:rPr>
        <w:t xml:space="preserve">הן הצטרפה היועצת המשפטית לממשלה </w:t>
      </w:r>
      <w:r>
        <w:rPr>
          <w:rFonts w:ascii="David" w:hAnsi="David" w:cs="David" w:hint="cs"/>
          <w:sz w:val="24"/>
          <w:szCs w:val="24"/>
          <w:rtl/>
        </w:rPr>
        <w:t xml:space="preserve">כי החלטת השר להימנע מקידומה של העותרת נגועה בשיקולים זרים </w:t>
      </w:r>
      <w:r w:rsidRPr="000324A5">
        <w:rPr>
          <w:rFonts w:ascii="David" w:hAnsi="David" w:cs="David" w:hint="cs"/>
          <w:sz w:val="24"/>
          <w:szCs w:val="24"/>
          <w:rtl/>
        </w:rPr>
        <w:t>בעיקר בשל מעורבותה של העותרת בחקירות ובעדויות בתיקים הפליליים נגד ראש הממשלה ויועציו ותוך חשש כבד לפגיעה בעצמאות המשטרה</w:t>
      </w:r>
      <w:r>
        <w:rPr>
          <w:rFonts w:ascii="David" w:hAnsi="David" w:cs="David" w:hint="cs"/>
          <w:sz w:val="24"/>
          <w:szCs w:val="24"/>
          <w:rtl/>
        </w:rPr>
        <w:t xml:space="preserve"> ובאופן שעלול להטיל מורא על חוקרי המשטרה</w:t>
      </w:r>
      <w:r w:rsidRPr="000324A5">
        <w:rPr>
          <w:rFonts w:ascii="David" w:hAnsi="David" w:cs="David" w:hint="cs"/>
          <w:sz w:val="24"/>
          <w:szCs w:val="24"/>
          <w:rtl/>
        </w:rPr>
        <w:t xml:space="preserve">. </w:t>
      </w:r>
      <w:r>
        <w:rPr>
          <w:rFonts w:ascii="David" w:hAnsi="David" w:cs="David" w:hint="cs"/>
          <w:sz w:val="24"/>
          <w:szCs w:val="24"/>
          <w:rtl/>
        </w:rPr>
        <w:t xml:space="preserve">בית המשפט מצא כי השתלשלות הדברים מעלה חשש ממשי לקיומם של שיקולים זרים וציין בהקשר זה כי בעניינה של העותרת הועלו בדיעבד ובאורח חריג טענות וסוגיות שלא הועלו במקרים דומים אחרים ושאינן נבחנות כלל בהליכי קידום. </w:t>
      </w:r>
    </w:p>
    <w:p w14:paraId="0B011EB5" w14:textId="77777777" w:rsidR="005B49CF" w:rsidRDefault="005B49CF" w:rsidP="009702E2">
      <w:pPr>
        <w:spacing w:line="312" w:lineRule="auto"/>
        <w:jc w:val="both"/>
        <w:rPr>
          <w:rFonts w:ascii="David" w:hAnsi="David" w:cs="David"/>
          <w:sz w:val="24"/>
          <w:szCs w:val="24"/>
          <w:rtl/>
        </w:rPr>
      </w:pPr>
      <w:r>
        <w:rPr>
          <w:rFonts w:ascii="David" w:hAnsi="David" w:cs="David" w:hint="cs"/>
          <w:sz w:val="24"/>
          <w:szCs w:val="24"/>
          <w:rtl/>
        </w:rPr>
        <w:t xml:space="preserve">נוכח מכלול השיקולים שפורטו בפסק הדין </w:t>
      </w:r>
      <w:r>
        <w:rPr>
          <w:rFonts w:ascii="David" w:hAnsi="David" w:cs="David"/>
          <w:sz w:val="24"/>
          <w:szCs w:val="24"/>
          <w:rtl/>
        </w:rPr>
        <w:t>–</w:t>
      </w:r>
      <w:r>
        <w:rPr>
          <w:rFonts w:ascii="David" w:hAnsi="David" w:cs="David" w:hint="cs"/>
          <w:sz w:val="24"/>
          <w:szCs w:val="24"/>
          <w:rtl/>
        </w:rPr>
        <w:t xml:space="preserve"> נקבע כי יש לקבל את העתירה ולהורות לשר לאשר את קידומה של העותרת לדרגת סגן ניצב.</w:t>
      </w:r>
    </w:p>
    <w:p w14:paraId="496D5452" w14:textId="77777777" w:rsidR="00E13F6E" w:rsidRDefault="00E13F6E" w:rsidP="00E13F6E">
      <w:pPr>
        <w:spacing w:after="120" w:line="360" w:lineRule="auto"/>
        <w:jc w:val="both"/>
        <w:rPr>
          <w:rFonts w:ascii="FrankRuehl" w:hAnsi="FrankRuehl" w:cs="FrankRuehl"/>
          <w:color w:val="323E4F" w:themeColor="text2" w:themeShade="BF"/>
          <w:sz w:val="26"/>
          <w:szCs w:val="26"/>
          <w:rtl/>
        </w:rPr>
      </w:pPr>
    </w:p>
    <w:p w14:paraId="02489FFD" w14:textId="77777777" w:rsidR="00E13F6E" w:rsidRDefault="00E13F6E" w:rsidP="00E13F6E">
      <w:pPr>
        <w:spacing w:after="120" w:line="360" w:lineRule="auto"/>
        <w:jc w:val="both"/>
        <w:rPr>
          <w:rFonts w:ascii="FrankRuehl" w:hAnsi="FrankRuehl" w:cs="FrankRuehl"/>
          <w:color w:val="323E4F" w:themeColor="text2" w:themeShade="BF"/>
          <w:sz w:val="26"/>
          <w:szCs w:val="26"/>
        </w:rPr>
      </w:pPr>
    </w:p>
    <w:p w14:paraId="372E6A5A" w14:textId="77777777" w:rsidR="00E13F6E" w:rsidRDefault="00E13F6E" w:rsidP="00E13F6E">
      <w:pPr>
        <w:spacing w:after="120" w:line="360" w:lineRule="auto"/>
        <w:jc w:val="both"/>
        <w:rPr>
          <w:rFonts w:ascii="FrankRuehl" w:hAnsi="FrankRuehl" w:cs="FrankRuehl"/>
          <w:color w:val="323E4F" w:themeColor="text2" w:themeShade="BF"/>
          <w:sz w:val="26"/>
          <w:szCs w:val="26"/>
          <w:rtl/>
        </w:rPr>
      </w:pPr>
    </w:p>
    <w:p w14:paraId="0AB2D671" w14:textId="77777777" w:rsidR="00E13F6E" w:rsidRPr="000071E5" w:rsidRDefault="00E13F6E" w:rsidP="00E13F6E">
      <w:pPr>
        <w:spacing w:after="120" w:line="360" w:lineRule="auto"/>
        <w:jc w:val="center"/>
        <w:rPr>
          <w:rFonts w:ascii="FrankRuehl" w:hAnsi="FrankRuehl" w:cs="FrankRuehl"/>
          <w:b/>
          <w:bCs/>
          <w:color w:val="002060"/>
          <w:sz w:val="26"/>
          <w:szCs w:val="26"/>
        </w:rPr>
      </w:pPr>
      <w:r w:rsidRPr="000071E5">
        <w:rPr>
          <w:rFonts w:ascii="FrankRuehl" w:hAnsi="FrankRuehl" w:cs="FrankRuehl" w:hint="cs"/>
          <w:b/>
          <w:bCs/>
          <w:color w:val="002060"/>
          <w:sz w:val="26"/>
          <w:szCs w:val="26"/>
          <w:rtl/>
        </w:rPr>
        <w:t xml:space="preserve">*** </w:t>
      </w:r>
      <w:r>
        <w:rPr>
          <w:rFonts w:ascii="FrankRuehl" w:hAnsi="FrankRuehl" w:cs="FrankRuehl"/>
          <w:b/>
          <w:bCs/>
          <w:color w:val="002060"/>
          <w:sz w:val="26"/>
          <w:szCs w:val="26"/>
          <w:rtl/>
        </w:rPr>
        <w:t xml:space="preserve">הנוסח המחייב הוא </w:t>
      </w:r>
      <w:r w:rsidRPr="000071E5">
        <w:rPr>
          <w:rFonts w:ascii="FrankRuehl" w:hAnsi="FrankRuehl" w:cs="FrankRuehl"/>
          <w:b/>
          <w:bCs/>
          <w:color w:val="002060"/>
          <w:sz w:val="26"/>
          <w:szCs w:val="26"/>
          <w:rtl/>
        </w:rPr>
        <w:t>של פסק</w:t>
      </w:r>
      <w:r>
        <w:rPr>
          <w:rFonts w:ascii="FrankRuehl" w:hAnsi="FrankRuehl" w:cs="FrankRuehl" w:hint="cs"/>
          <w:b/>
          <w:bCs/>
          <w:color w:val="002060"/>
          <w:sz w:val="26"/>
          <w:szCs w:val="26"/>
          <w:rtl/>
        </w:rPr>
        <w:t xml:space="preserve"> </w:t>
      </w:r>
      <w:r w:rsidRPr="000071E5">
        <w:rPr>
          <w:rFonts w:ascii="FrankRuehl" w:hAnsi="FrankRuehl" w:cs="FrankRuehl"/>
          <w:b/>
          <w:bCs/>
          <w:color w:val="002060"/>
          <w:sz w:val="26"/>
          <w:szCs w:val="26"/>
          <w:rtl/>
        </w:rPr>
        <w:t>הדין המלא</w:t>
      </w:r>
      <w:r w:rsidRPr="000071E5">
        <w:rPr>
          <w:rFonts w:ascii="FrankRuehl" w:hAnsi="FrankRuehl" w:cs="FrankRuehl" w:hint="cs"/>
          <w:b/>
          <w:bCs/>
          <w:color w:val="002060"/>
          <w:sz w:val="26"/>
          <w:szCs w:val="26"/>
          <w:rtl/>
        </w:rPr>
        <w:t xml:space="preserve"> ***</w:t>
      </w:r>
    </w:p>
    <w:p w14:paraId="09D96C12" w14:textId="77777777" w:rsidR="00515986" w:rsidRPr="00E13F6E" w:rsidRDefault="00515986" w:rsidP="000C4D75">
      <w:pPr>
        <w:tabs>
          <w:tab w:val="num" w:pos="1080"/>
        </w:tabs>
        <w:spacing w:after="0" w:line="276" w:lineRule="auto"/>
        <w:jc w:val="both"/>
        <w:rPr>
          <w:rFonts w:ascii="Arial" w:eastAsia="Times New Roman" w:hAnsi="Arial" w:cs="David"/>
          <w:b/>
          <w:bCs/>
          <w:sz w:val="24"/>
          <w:szCs w:val="24"/>
          <w:rtl/>
        </w:rPr>
      </w:pPr>
    </w:p>
    <w:p w14:paraId="751398CC" w14:textId="77777777" w:rsidR="00515986" w:rsidRDefault="00515986" w:rsidP="000C4D75">
      <w:pPr>
        <w:tabs>
          <w:tab w:val="num" w:pos="1080"/>
        </w:tabs>
        <w:spacing w:after="0" w:line="276" w:lineRule="auto"/>
        <w:jc w:val="both"/>
        <w:rPr>
          <w:rFonts w:ascii="Arial" w:eastAsia="Times New Roman" w:hAnsi="Arial" w:cs="David"/>
          <w:b/>
          <w:bCs/>
          <w:sz w:val="24"/>
          <w:szCs w:val="24"/>
          <w:rtl/>
        </w:rPr>
      </w:pPr>
    </w:p>
    <w:p w14:paraId="0BD9B509" w14:textId="77777777" w:rsidR="002453CF" w:rsidRPr="007B7899" w:rsidRDefault="002453CF" w:rsidP="007B7899">
      <w:pPr>
        <w:spacing w:before="100" w:beforeAutospacing="1" w:after="100" w:afterAutospacing="1" w:line="240" w:lineRule="auto"/>
        <w:ind w:left="4320"/>
        <w:jc w:val="both"/>
        <w:rPr>
          <w:rFonts w:ascii="Times New Roman" w:eastAsia="Times New Roman" w:hAnsi="Times New Roman" w:cs="David"/>
          <w:b/>
          <w:bCs/>
          <w:color w:val="002060"/>
          <w:rtl/>
        </w:rPr>
      </w:pPr>
    </w:p>
    <w:sectPr w:rsidR="002453CF" w:rsidRPr="007B7899" w:rsidSect="00B16422">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8157C" w14:textId="77777777" w:rsidR="00990AF6" w:rsidRDefault="00990AF6" w:rsidP="00730CA1">
      <w:pPr>
        <w:spacing w:after="0" w:line="240" w:lineRule="auto"/>
      </w:pPr>
      <w:r>
        <w:separator/>
      </w:r>
    </w:p>
  </w:endnote>
  <w:endnote w:type="continuationSeparator" w:id="0">
    <w:p w14:paraId="32DFFF74" w14:textId="77777777" w:rsidR="00990AF6" w:rsidRDefault="00990AF6" w:rsidP="00730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448B4" w14:textId="77777777" w:rsidR="003A639C" w:rsidRPr="003A639C" w:rsidRDefault="003A639C" w:rsidP="003A639C">
    <w:pPr>
      <w:tabs>
        <w:tab w:val="center" w:pos="4153"/>
        <w:tab w:val="right" w:pos="8306"/>
      </w:tabs>
      <w:spacing w:after="0" w:line="240" w:lineRule="auto"/>
      <w:rPr>
        <w:rFonts w:ascii="Times New Roman" w:eastAsia="Times New Roman" w:hAnsi="Times New Roman" w:cs="FrankRuehl"/>
        <w:b/>
        <w:bCs/>
        <w:color w:val="000080"/>
        <w:spacing w:val="6"/>
        <w:sz w:val="24"/>
        <w:szCs w:val="24"/>
        <w:rtl/>
      </w:rPr>
    </w:pPr>
    <w:r w:rsidRPr="003A639C">
      <w:rPr>
        <w:rFonts w:ascii="Times New Roman" w:eastAsia="Times New Roman" w:hAnsi="Times New Roman" w:cs="FrankRuehl"/>
        <w:b/>
        <w:bCs/>
        <w:color w:val="000080"/>
        <w:spacing w:val="6"/>
        <w:sz w:val="24"/>
        <w:szCs w:val="24"/>
        <w:rtl/>
      </w:rPr>
      <w:t>________________________________________________________________</w:t>
    </w:r>
  </w:p>
  <w:p w14:paraId="0325E38E" w14:textId="77777777" w:rsidR="003A639C" w:rsidRPr="003A639C" w:rsidRDefault="003A639C" w:rsidP="003A639C">
    <w:pPr>
      <w:tabs>
        <w:tab w:val="center" w:pos="4153"/>
        <w:tab w:val="right" w:pos="8306"/>
      </w:tabs>
      <w:spacing w:after="0" w:line="240" w:lineRule="auto"/>
      <w:jc w:val="center"/>
      <w:rPr>
        <w:rFonts w:ascii="Times New Roman" w:eastAsia="Times New Roman" w:hAnsi="Times New Roman" w:cs="FrankRuehl"/>
        <w:b/>
        <w:bCs/>
        <w:color w:val="000080"/>
        <w:spacing w:val="6"/>
        <w:sz w:val="24"/>
        <w:szCs w:val="24"/>
        <w:rtl/>
      </w:rPr>
    </w:pPr>
    <w:r w:rsidRPr="003A639C">
      <w:rPr>
        <w:rFonts w:ascii="Times New Roman" w:eastAsia="Times New Roman" w:hAnsi="Times New Roman" w:cs="FrankRuehl" w:hint="cs"/>
        <w:b/>
        <w:bCs/>
        <w:color w:val="000080"/>
        <w:spacing w:val="6"/>
        <w:sz w:val="24"/>
        <w:szCs w:val="24"/>
        <w:rtl/>
      </w:rPr>
      <w:t xml:space="preserve">בית משפט העליון | דרך השופט מאיר שמגר 1 | </w:t>
    </w:r>
    <w:proofErr w:type="spellStart"/>
    <w:r w:rsidRPr="003A639C">
      <w:rPr>
        <w:rFonts w:ascii="Times New Roman" w:eastAsia="Times New Roman" w:hAnsi="Times New Roman" w:cs="FrankRuehl" w:hint="cs"/>
        <w:b/>
        <w:bCs/>
        <w:color w:val="000080"/>
        <w:spacing w:val="6"/>
        <w:sz w:val="24"/>
        <w:szCs w:val="24"/>
        <w:rtl/>
      </w:rPr>
      <w:t>קרית</w:t>
    </w:r>
    <w:proofErr w:type="spellEnd"/>
    <w:r w:rsidRPr="003A639C">
      <w:rPr>
        <w:rFonts w:ascii="Times New Roman" w:eastAsia="Times New Roman" w:hAnsi="Times New Roman" w:cs="FrankRuehl" w:hint="cs"/>
        <w:b/>
        <w:bCs/>
        <w:color w:val="000080"/>
        <w:spacing w:val="6"/>
        <w:sz w:val="24"/>
        <w:szCs w:val="24"/>
        <w:rtl/>
      </w:rPr>
      <w:t xml:space="preserve"> בן גוריון | ירושלים</w:t>
    </w:r>
  </w:p>
  <w:p w14:paraId="5F9780F9" w14:textId="77777777" w:rsidR="003C61AF" w:rsidRPr="003A639C" w:rsidRDefault="003A639C" w:rsidP="003A639C">
    <w:pPr>
      <w:tabs>
        <w:tab w:val="center" w:pos="4153"/>
        <w:tab w:val="right" w:pos="8306"/>
      </w:tabs>
      <w:spacing w:after="0" w:line="240" w:lineRule="auto"/>
      <w:jc w:val="center"/>
      <w:rPr>
        <w:rFonts w:ascii="Times New Roman" w:eastAsia="Times New Roman" w:hAnsi="Times New Roman" w:cs="FrankRuehl"/>
        <w:b/>
        <w:bCs/>
        <w:color w:val="000080"/>
        <w:spacing w:val="6"/>
        <w:sz w:val="24"/>
        <w:szCs w:val="24"/>
        <w:rtl/>
      </w:rPr>
    </w:pPr>
    <w:r w:rsidRPr="003A639C">
      <w:rPr>
        <w:rFonts w:ascii="Times New Roman" w:eastAsia="Times New Roman" w:hAnsi="Times New Roman" w:cs="FrankRuehl" w:hint="cs"/>
        <w:b/>
        <w:bCs/>
        <w:color w:val="000080"/>
        <w:spacing w:val="6"/>
        <w:sz w:val="24"/>
        <w:szCs w:val="24"/>
        <w:rtl/>
      </w:rPr>
      <w:t xml:space="preserve">טל: </w:t>
    </w:r>
    <w:r w:rsidRPr="003A639C">
      <w:rPr>
        <w:rFonts w:ascii="Times New Roman" w:eastAsia="Times New Roman" w:hAnsi="Times New Roman" w:cs="FrankRuehl"/>
        <w:b/>
        <w:bCs/>
        <w:color w:val="000080"/>
        <w:spacing w:val="6"/>
        <w:sz w:val="24"/>
        <w:szCs w:val="24"/>
      </w:rPr>
      <w:t>074-7480412</w:t>
    </w:r>
    <w:r w:rsidRPr="003A639C">
      <w:rPr>
        <w:rFonts w:ascii="Times New Roman" w:eastAsia="Times New Roman" w:hAnsi="Times New Roman" w:cs="FrankRuehl" w:hint="cs"/>
        <w:b/>
        <w:bCs/>
        <w:color w:val="000080"/>
        <w:spacing w:val="6"/>
        <w:sz w:val="24"/>
        <w:szCs w:val="24"/>
        <w:rtl/>
      </w:rPr>
      <w:t xml:space="preserve">                       דוא"ל</w:t>
    </w:r>
    <w:r w:rsidRPr="003A639C">
      <w:rPr>
        <w:rFonts w:ascii="Times New Roman" w:eastAsia="Times New Roman" w:hAnsi="Times New Roman" w:cs="FrankRuehl"/>
        <w:b/>
        <w:bCs/>
        <w:color w:val="000080"/>
        <w:spacing w:val="6"/>
        <w:sz w:val="24"/>
        <w:szCs w:val="24"/>
      </w:rPr>
      <w:t>:</w:t>
    </w:r>
    <w:r w:rsidRPr="003A639C">
      <w:rPr>
        <w:rFonts w:ascii="Times New Roman" w:eastAsia="Times New Roman" w:hAnsi="Times New Roman" w:cs="FrankRuehl" w:hint="cs"/>
        <w:b/>
        <w:bCs/>
        <w:color w:val="000080"/>
        <w:spacing w:val="6"/>
        <w:sz w:val="24"/>
        <w:szCs w:val="24"/>
        <w:rtl/>
      </w:rPr>
      <w:t xml:space="preserve">  </w:t>
    </w:r>
    <w:hyperlink r:id="rId1" w:history="1">
      <w:r w:rsidRPr="003A639C">
        <w:rPr>
          <w:rFonts w:ascii="Times New Roman" w:eastAsia="Times New Roman" w:hAnsi="Times New Roman" w:cs="FrankRuehl"/>
          <w:b/>
          <w:bCs/>
          <w:color w:val="0000FF"/>
          <w:spacing w:val="6"/>
          <w:sz w:val="24"/>
          <w:szCs w:val="24"/>
          <w:u w:val="single"/>
        </w:rPr>
        <w:t>Dover@court.gov.il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29FB5" w14:textId="77777777" w:rsidR="00990AF6" w:rsidRDefault="00990AF6" w:rsidP="00730CA1">
      <w:pPr>
        <w:spacing w:after="0" w:line="240" w:lineRule="auto"/>
      </w:pPr>
      <w:r>
        <w:separator/>
      </w:r>
    </w:p>
  </w:footnote>
  <w:footnote w:type="continuationSeparator" w:id="0">
    <w:p w14:paraId="5EE5F257" w14:textId="77777777" w:rsidR="00990AF6" w:rsidRDefault="00990AF6" w:rsidP="00730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64474" w14:textId="77777777" w:rsidR="005253B2" w:rsidRPr="005B49CF"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David"/>
        <w:sz w:val="14"/>
        <w:szCs w:val="18"/>
        <w:lang w:eastAsia="he-IL"/>
      </w:rPr>
    </w:pPr>
    <w:r w:rsidRPr="005B49CF">
      <w:rPr>
        <w:rFonts w:ascii="Times New Roman" w:eastAsia="Times New Roman" w:hAnsi="Times New Roman" w:cs="David"/>
        <w:noProof/>
        <w:sz w:val="12"/>
        <w:szCs w:val="16"/>
      </w:rPr>
      <w:drawing>
        <wp:inline distT="0" distB="0" distL="0" distR="0" wp14:anchorId="5C33C68F" wp14:editId="3500DF4D">
          <wp:extent cx="328612" cy="388360"/>
          <wp:effectExtent l="0" t="0" r="0" b="0"/>
          <wp:docPr id="1" name="תמונה 2" descr="תיאור: se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תיאור: sem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140" cy="390166"/>
                  </a:xfrm>
                  <a:prstGeom prst="rect">
                    <a:avLst/>
                  </a:prstGeom>
                  <a:noFill/>
                  <a:ln>
                    <a:noFill/>
                  </a:ln>
                </pic:spPr>
              </pic:pic>
            </a:graphicData>
          </a:graphic>
        </wp:inline>
      </w:drawing>
    </w:r>
    <w:r w:rsidRPr="005B49CF">
      <w:rPr>
        <w:rFonts w:ascii="Century" w:eastAsia="Times New Roman" w:hAnsi="Century" w:cs="FrankRuehl" w:hint="cs"/>
        <w:noProof/>
        <w:spacing w:val="10"/>
        <w:sz w:val="14"/>
        <w:szCs w:val="20"/>
        <w:rtl/>
        <w:lang w:eastAsia="he-IL"/>
      </w:rPr>
      <w:t xml:space="preserve">                                            </w:t>
    </w:r>
  </w:p>
  <w:p w14:paraId="705D03AF" w14:textId="77777777" w:rsidR="005253B2" w:rsidRPr="005B49CF"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FrankRuehl"/>
        <w:b/>
        <w:bCs/>
        <w:color w:val="000080"/>
        <w:spacing w:val="6"/>
        <w:sz w:val="20"/>
        <w:szCs w:val="20"/>
        <w:rtl/>
        <w:lang w:eastAsia="he-IL"/>
      </w:rPr>
    </w:pPr>
    <w:r w:rsidRPr="005B49CF">
      <w:rPr>
        <w:rFonts w:ascii="Times New Roman" w:eastAsia="Times New Roman" w:hAnsi="Times New Roman" w:cs="FrankRuehl" w:hint="cs"/>
        <w:b/>
        <w:bCs/>
        <w:color w:val="000080"/>
        <w:spacing w:val="6"/>
        <w:sz w:val="20"/>
        <w:szCs w:val="20"/>
        <w:rtl/>
        <w:lang w:eastAsia="he-IL"/>
      </w:rPr>
      <w:t>מערכת בתי המשפט</w:t>
    </w:r>
  </w:p>
  <w:p w14:paraId="3B633FD8" w14:textId="77777777" w:rsidR="007007D7" w:rsidRPr="005B49CF"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FrankRuehl"/>
        <w:b/>
        <w:bCs/>
        <w:color w:val="000080"/>
        <w:spacing w:val="6"/>
        <w:sz w:val="20"/>
        <w:szCs w:val="20"/>
        <w:lang w:eastAsia="he-IL"/>
      </w:rPr>
    </w:pPr>
    <w:r w:rsidRPr="005B49CF">
      <w:rPr>
        <w:rFonts w:ascii="Times New Roman" w:eastAsia="Times New Roman" w:hAnsi="Times New Roman" w:cs="FrankRuehl" w:hint="cs"/>
        <w:b/>
        <w:bCs/>
        <w:color w:val="000080"/>
        <w:spacing w:val="6"/>
        <w:sz w:val="20"/>
        <w:szCs w:val="20"/>
        <w:rtl/>
        <w:lang w:eastAsia="he-IL"/>
      </w:rPr>
      <w:t>דוברות והסברה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B27"/>
    <w:multiLevelType w:val="multilevel"/>
    <w:tmpl w:val="2EA02F4A"/>
    <w:lvl w:ilvl="0">
      <w:start w:val="1"/>
      <w:numFmt w:val="decimal"/>
      <w:lvlText w:val="%1."/>
      <w:lvlJc w:val="left"/>
      <w:pPr>
        <w:tabs>
          <w:tab w:val="num" w:pos="454"/>
        </w:tabs>
        <w:ind w:left="454" w:hanging="454"/>
      </w:pPr>
      <w:rPr>
        <w:rFonts w:hint="default"/>
        <w:bCs w:val="0"/>
        <w:iCs w:val="0"/>
        <w:szCs w:val="24"/>
      </w:rPr>
    </w:lvl>
    <w:lvl w:ilvl="1">
      <w:start w:val="1"/>
      <w:numFmt w:val="hebrew1"/>
      <w:lvlText w:val="%2."/>
      <w:lvlJc w:val="left"/>
      <w:pPr>
        <w:tabs>
          <w:tab w:val="num" w:pos="907"/>
        </w:tabs>
        <w:ind w:left="908" w:hanging="454"/>
      </w:pPr>
      <w:rPr>
        <w:rFonts w:cs="David" w:hint="cs"/>
        <w:bCs w:val="0"/>
        <w:iCs w:val="0"/>
        <w:szCs w:val="26"/>
      </w:rPr>
    </w:lvl>
    <w:lvl w:ilvl="2">
      <w:start w:val="1"/>
      <w:numFmt w:val="decimal"/>
      <w:lvlText w:val="(%3)"/>
      <w:lvlJc w:val="left"/>
      <w:pPr>
        <w:tabs>
          <w:tab w:val="num" w:pos="1361"/>
        </w:tabs>
        <w:ind w:left="1362" w:hanging="454"/>
      </w:pPr>
      <w:rPr>
        <w:rFonts w:ascii="Times New Roman" w:hAnsi="Times New Roman" w:cs="David" w:hint="default"/>
        <w:b w:val="0"/>
        <w:bCs w:val="0"/>
        <w:i w:val="0"/>
        <w:iCs w:val="0"/>
        <w:sz w:val="24"/>
        <w:szCs w:val="24"/>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num w:numId="1" w16cid:durableId="12534979">
    <w:abstractNumId w:val="0"/>
  </w:num>
  <w:num w:numId="2" w16cid:durableId="2044749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3CF"/>
    <w:rsid w:val="000011AE"/>
    <w:rsid w:val="00025761"/>
    <w:rsid w:val="000C4D75"/>
    <w:rsid w:val="00166460"/>
    <w:rsid w:val="001D42A7"/>
    <w:rsid w:val="001E08E4"/>
    <w:rsid w:val="002453CF"/>
    <w:rsid w:val="002C0E83"/>
    <w:rsid w:val="003921C3"/>
    <w:rsid w:val="003A639C"/>
    <w:rsid w:val="003C61AF"/>
    <w:rsid w:val="003E6E39"/>
    <w:rsid w:val="003E7EB7"/>
    <w:rsid w:val="00426AA7"/>
    <w:rsid w:val="00515986"/>
    <w:rsid w:val="005253B2"/>
    <w:rsid w:val="00541C9E"/>
    <w:rsid w:val="005B49CF"/>
    <w:rsid w:val="00631744"/>
    <w:rsid w:val="00690B6F"/>
    <w:rsid w:val="006B7B96"/>
    <w:rsid w:val="006C3B1F"/>
    <w:rsid w:val="006F1E1F"/>
    <w:rsid w:val="007007D7"/>
    <w:rsid w:val="00711675"/>
    <w:rsid w:val="00730CA1"/>
    <w:rsid w:val="007B7899"/>
    <w:rsid w:val="00832AD7"/>
    <w:rsid w:val="008C02E0"/>
    <w:rsid w:val="0096696E"/>
    <w:rsid w:val="009702E2"/>
    <w:rsid w:val="00983123"/>
    <w:rsid w:val="00990AF6"/>
    <w:rsid w:val="009E5C0E"/>
    <w:rsid w:val="00AA72A6"/>
    <w:rsid w:val="00AD7644"/>
    <w:rsid w:val="00B16422"/>
    <w:rsid w:val="00B22AFC"/>
    <w:rsid w:val="00BA3143"/>
    <w:rsid w:val="00C22E08"/>
    <w:rsid w:val="00C37F37"/>
    <w:rsid w:val="00C50C55"/>
    <w:rsid w:val="00C529CC"/>
    <w:rsid w:val="00C842A7"/>
    <w:rsid w:val="00C85A27"/>
    <w:rsid w:val="00CA2D6A"/>
    <w:rsid w:val="00CB4940"/>
    <w:rsid w:val="00CD280B"/>
    <w:rsid w:val="00D11F77"/>
    <w:rsid w:val="00D205AB"/>
    <w:rsid w:val="00D43C0E"/>
    <w:rsid w:val="00D5319F"/>
    <w:rsid w:val="00E13F6E"/>
    <w:rsid w:val="00E35DF3"/>
    <w:rsid w:val="00EA6DF3"/>
    <w:rsid w:val="00EB6609"/>
    <w:rsid w:val="00F46250"/>
    <w:rsid w:val="00FF55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DD0D4"/>
  <w15:chartTrackingRefBased/>
  <w15:docId w15:val="{73C43B57-6867-4F06-9DF1-55588D3D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6AA7"/>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426AA7"/>
    <w:rPr>
      <w:rFonts w:ascii="Tahoma" w:hAnsi="Tahoma" w:cs="Tahoma"/>
      <w:sz w:val="18"/>
      <w:szCs w:val="18"/>
    </w:rPr>
  </w:style>
  <w:style w:type="character" w:styleId="Hyperlink">
    <w:name w:val="Hyperlink"/>
    <w:basedOn w:val="a0"/>
    <w:uiPriority w:val="99"/>
    <w:unhideWhenUsed/>
    <w:rsid w:val="00E35DF3"/>
    <w:rPr>
      <w:color w:val="0563C1" w:themeColor="hyperlink"/>
      <w:u w:val="single"/>
    </w:rPr>
  </w:style>
  <w:style w:type="paragraph" w:styleId="a5">
    <w:name w:val="header"/>
    <w:basedOn w:val="a"/>
    <w:link w:val="a6"/>
    <w:uiPriority w:val="99"/>
    <w:unhideWhenUsed/>
    <w:rsid w:val="00730CA1"/>
    <w:pPr>
      <w:tabs>
        <w:tab w:val="center" w:pos="4153"/>
        <w:tab w:val="right" w:pos="8306"/>
      </w:tabs>
      <w:spacing w:after="0" w:line="240" w:lineRule="auto"/>
    </w:pPr>
  </w:style>
  <w:style w:type="character" w:customStyle="1" w:styleId="a6">
    <w:name w:val="כותרת עליונה תו"/>
    <w:basedOn w:val="a0"/>
    <w:link w:val="a5"/>
    <w:uiPriority w:val="99"/>
    <w:rsid w:val="00730CA1"/>
  </w:style>
  <w:style w:type="paragraph" w:styleId="a7">
    <w:name w:val="footer"/>
    <w:basedOn w:val="a"/>
    <w:link w:val="a8"/>
    <w:uiPriority w:val="99"/>
    <w:unhideWhenUsed/>
    <w:rsid w:val="00730CA1"/>
    <w:pPr>
      <w:tabs>
        <w:tab w:val="center" w:pos="4153"/>
        <w:tab w:val="right" w:pos="8306"/>
      </w:tabs>
      <w:spacing w:after="0" w:line="240" w:lineRule="auto"/>
    </w:pPr>
  </w:style>
  <w:style w:type="character" w:customStyle="1" w:styleId="a8">
    <w:name w:val="כותרת תחתונה תו"/>
    <w:basedOn w:val="a0"/>
    <w:link w:val="a7"/>
    <w:uiPriority w:val="99"/>
    <w:rsid w:val="00730CA1"/>
  </w:style>
  <w:style w:type="paragraph" w:styleId="a9">
    <w:name w:val="List Paragraph"/>
    <w:basedOn w:val="a"/>
    <w:uiPriority w:val="34"/>
    <w:qFormat/>
    <w:rsid w:val="005B4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739060">
      <w:bodyDiv w:val="1"/>
      <w:marLeft w:val="0"/>
      <w:marRight w:val="0"/>
      <w:marTop w:val="0"/>
      <w:marBottom w:val="0"/>
      <w:divBdr>
        <w:top w:val="none" w:sz="0" w:space="0" w:color="auto"/>
        <w:left w:val="none" w:sz="0" w:space="0" w:color="auto"/>
        <w:bottom w:val="none" w:sz="0" w:space="0" w:color="auto"/>
        <w:right w:val="none" w:sz="0" w:space="0" w:color="auto"/>
      </w:divBdr>
    </w:div>
    <w:div w:id="1171139320">
      <w:bodyDiv w:val="1"/>
      <w:marLeft w:val="0"/>
      <w:marRight w:val="0"/>
      <w:marTop w:val="0"/>
      <w:marBottom w:val="0"/>
      <w:divBdr>
        <w:top w:val="none" w:sz="0" w:space="0" w:color="auto"/>
        <w:left w:val="none" w:sz="0" w:space="0" w:color="auto"/>
        <w:bottom w:val="none" w:sz="0" w:space="0" w:color="auto"/>
        <w:right w:val="none" w:sz="0" w:space="0" w:color="auto"/>
      </w:divBdr>
    </w:div>
    <w:div w:id="1552304460">
      <w:bodyDiv w:val="1"/>
      <w:marLeft w:val="0"/>
      <w:marRight w:val="0"/>
      <w:marTop w:val="0"/>
      <w:marBottom w:val="0"/>
      <w:divBdr>
        <w:top w:val="none" w:sz="0" w:space="0" w:color="auto"/>
        <w:left w:val="none" w:sz="0" w:space="0" w:color="auto"/>
        <w:bottom w:val="none" w:sz="0" w:space="0" w:color="auto"/>
        <w:right w:val="none" w:sz="0" w:space="0" w:color="auto"/>
      </w:divBdr>
    </w:div>
    <w:div w:id="206425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over@court.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SixthEditionOfficeOnline.xsl"/>
</file>

<file path=customXml/itemProps1.xml><?xml version="1.0" encoding="utf-8"?>
<ds:datastoreItem xmlns:ds="http://schemas.openxmlformats.org/officeDocument/2006/customXml" ds:itemID="{4DAA7125-493E-41D4-BA34-AEF79D05E8C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581</Words>
  <Characters>2909</Characters>
  <Application>Microsoft Office Word</Application>
  <DocSecurity>0</DocSecurity>
  <Lines>24</Lines>
  <Paragraphs>6</Paragraphs>
  <ScaleCrop>false</ScaleCrop>
  <HeadingPairs>
    <vt:vector size="2" baseType="variant">
      <vt:variant>
        <vt:lpstr>שם</vt:lpstr>
      </vt:variant>
      <vt:variant>
        <vt:i4>1</vt:i4>
      </vt:variant>
    </vt:vector>
  </HeadingPairs>
  <TitlesOfParts>
    <vt:vector size="1" baseType="lpstr">
      <vt:lpstr/>
    </vt:vector>
  </TitlesOfParts>
  <Company>court</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נירית לזימי</dc:creator>
  <cp:keywords/>
  <dc:description/>
  <cp:lastModifiedBy>שני קמחי נידם</cp:lastModifiedBy>
  <cp:revision>5</cp:revision>
  <cp:lastPrinted>2017-11-13T12:38:00Z</cp:lastPrinted>
  <dcterms:created xsi:type="dcterms:W3CDTF">2026-02-09T07:33:00Z</dcterms:created>
  <dcterms:modified xsi:type="dcterms:W3CDTF">2026-02-09T09:00:00Z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Eng">
    <vt:lpwstr>09 בפברואר 2026</vt:lpwstr>
  </property>
  <property fmtid="{D5CDD505-2E9C-101B-9397-08002B2CF9AE}" pid="3" name="DocDateHeb">
    <vt:lpwstr>כ"ב בשבט תשפ"ו</vt:lpwstr>
  </property>
  <property fmtid="{D5CDD505-2E9C-101B-9397-08002B2CF9AE}" pid="4" name="DocNumber">
    <vt:lpwstr>4700-1039-2026-000987</vt:lpwstr>
  </property>
  <property fmtid="{D5CDD505-2E9C-101B-9397-08002B2CF9AE}" pid="5" name="DocRecipientsName">
    <vt:lpwstr/>
  </property>
  <property fmtid="{D5CDD505-2E9C-101B-9397-08002B2CF9AE}" pid="6" name="DocToName">
    <vt:lpwstr/>
  </property>
  <property fmtid="{D5CDD505-2E9C-101B-9397-08002B2CF9AE}" pid="7" name="DocObjectName">
    <vt:lpwstr>תקציר פס"ד בעתירה מנהלית נגד השר לביטחון לאומי בנוגע להליך קידומה של רפ"ק רינת סבן</vt:lpwstr>
  </property>
</Properties>
</file>