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משרד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מחלקת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חנינות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Department of Pardons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חוות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דעת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בנימין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נתניהו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זוהי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להלן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נתניהו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הנתונה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סעיף</w:t>
      </w:r>
      <w:r w:rsidDel="00000000" w:rsidR="00000000" w:rsidRPr="00000000">
        <w:rPr>
          <w:sz w:val="24"/>
          <w:szCs w:val="24"/>
          <w:rtl w:val="1"/>
        </w:rPr>
        <w:t xml:space="preserve"> 11 (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</w:t>
      </w:r>
      <w:r w:rsidDel="00000000" w:rsidR="00000000" w:rsidRPr="00000000">
        <w:rPr>
          <w:sz w:val="24"/>
          <w:szCs w:val="24"/>
          <w:rtl w:val="1"/>
        </w:rPr>
        <w:t xml:space="preserve"> 67104-01-20 </w:t>
      </w:r>
      <w:r w:rsidDel="00000000" w:rsidR="00000000" w:rsidRPr="00000000">
        <w:rPr>
          <w:sz w:val="24"/>
          <w:szCs w:val="24"/>
          <w:rtl w:val="1"/>
        </w:rPr>
        <w:t xml:space="preserve">בחשד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ושלוש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שיוחסו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הנוחות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שמסמך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כדלקמן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שהוגשה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בקצרה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סטטוס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הרביעי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ונימוקיה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ויחולק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הנושאים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האינטרסים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הציבוריים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שביסוד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המסגרת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הנורמטיבית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מושתתת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שעמדו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יתייחס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התביעה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השביעי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והאחרון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וההמלצה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יכלול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הקדמה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היסטורי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וחקיקתי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תמציתי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מהותה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ותפקידיה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העיקרי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השביעי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בהתבסס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 428/86 </w:t>
      </w:r>
      <w:r w:rsidDel="00000000" w:rsidR="00000000" w:rsidRPr="00000000">
        <w:rPr>
          <w:sz w:val="24"/>
          <w:szCs w:val="24"/>
          <w:rtl w:val="1"/>
        </w:rPr>
        <w:t xml:space="preserve">ברזילי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יישומו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שיקולים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הנוגעים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שיקולים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הנוגעים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הפעלתה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יבחין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שנידונה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בבג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ברזילי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ויסקור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ההבדלים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המהותיים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תיחתם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סיכום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שלפנינו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חריגה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עוסקת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ובעיצומו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מתנהל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לפיכך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להסתמך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בהחלטתו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מוסכמת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המבוססת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שיפוטית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הדורשים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לאישומים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מהווים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מבוקשת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לזכור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להחליף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ערכאה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שיפוטית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ומכריעה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בטענות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עובדתיות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ומשפטיות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נפנה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האישומים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בקצרה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אליהם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תמצית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נסיבות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האישומים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הפליליים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הנפרש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</w:t>
      </w:r>
      <w:r w:rsidDel="00000000" w:rsidR="00000000" w:rsidRPr="00000000">
        <w:rPr>
          <w:sz w:val="24"/>
          <w:szCs w:val="24"/>
          <w:rtl w:val="1"/>
        </w:rPr>
        <w:t xml:space="preserve"> 46 </w:t>
      </w:r>
      <w:r w:rsidDel="00000000" w:rsidR="00000000" w:rsidRPr="00000000">
        <w:rPr>
          <w:sz w:val="24"/>
          <w:szCs w:val="24"/>
          <w:rtl w:val="1"/>
        </w:rPr>
        <w:t xml:space="preserve">עמודים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נספחים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המתייחסות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שהתרחשו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הנטען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השנים</w:t>
      </w:r>
      <w:r w:rsidDel="00000000" w:rsidR="00000000" w:rsidRPr="00000000">
        <w:rPr>
          <w:sz w:val="24"/>
          <w:szCs w:val="24"/>
          <w:rtl w:val="1"/>
        </w:rPr>
        <w:t xml:space="preserve"> 2017-2008 -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התקשורת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המפורטים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מתארים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וקח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תקשורת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ממוניות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בהיקף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עסקים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בניגוד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העתק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נעמוד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בקצרה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בנפרד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ונציין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מורחבת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צורפה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מורחבת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ומסומנת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1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אישום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מס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4000",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לתקופה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2012 - 2017,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והיתרים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ורעייתו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ויצרו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ואיריס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ובאתר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ומשפחתו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לפרסם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ושליליות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יריביהם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לדרישות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בסמכויותיו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ובזק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בהיקפים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וריכוך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רגולציה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פילבר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ספציפיים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מינואר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לדצמבר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הוצגו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קונקרטיות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וההיענות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ואירועי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צנזורה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במעורבות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-284,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- 1977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אישום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מס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2000",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2008- 2014,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חשאיות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ארנון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דרמטי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בסיקורו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ליריביו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שתגביל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המתחרה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ותיטיב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הרבעון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2014,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ולהגנת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העיתונות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הכתובה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-2014,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ופיזור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והבחירות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וחשאיים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תועדו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ביומנים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הוקלטו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ידיעתו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במפגשים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שתטיל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בהגבלת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תפוצת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-2/3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מתפוצתו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קונקרטיים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בפגישה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יסייע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להיבחר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שתטיב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כאילו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בוחן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ימשיך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ובהבטחת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אישום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מס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1000",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ולרעייתו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קופסאות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מארזי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שמפניה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ותכשיטים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מצטבר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העסקים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ארנון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2016-2011)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יימס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פאקר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2016-2014).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בסמכויותיו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ועסקיים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בחידוש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הפטור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וסיוע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רגולציה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למיזוג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מגורמים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ההנאה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462,602 ₪;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ההנאה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מפאקר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229,174 ₪,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למעמדו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תמצית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תשובת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נתניהו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לכתב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האישום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בתמצית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תשובתו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לאישומים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שהוצגה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ומסומן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ככלל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טענות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נחלקות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קטגוריות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הקטגוריה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העובדות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המפורטות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מדויקות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יתרה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נטען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הרכיבה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פסיפס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ממקטעים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והקשר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וחיברה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מלאכותי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לסלף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שהתרחש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ולהתאים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בסיס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הקטגוריה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והעיקרית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שמהותה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משפטית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נורמטיבית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נטען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שבוצעו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גיבשו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פלילית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נטען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לשגגות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מהותיות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האחד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ברובד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העניקה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ושגויה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לעובדות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המוזכרות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השני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ברובד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הנורמטיבי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וחסרה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הנוהגת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תקשורת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הילוכם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הסדרים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פרלמנטריים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טוענת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ותקדימי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לאסור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הנורמטיבי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להזהיר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הציבור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הראשון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"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תיק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4000"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מאינטראקציה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לגיטימית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ומקובלת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פוליטיקאים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לבעלי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לאזן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ואוהדת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מובהקת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הפוליטי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מאוזן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אוהד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הרגולטוריות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פילבר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במהותן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התבססו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ונועדו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להיטיב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שנעשו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משפחתו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יועציו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מגמתי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להתמקד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התעלמות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פרסומים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מאוזנים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אלוביץ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פורסם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השני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"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תיק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2000"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ממאבק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לגיטימי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שתפגע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לאיזון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תקשורתי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לגיטימיים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ובוודאי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שדבריו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נתפסו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התכוון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מוכחש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שהתקיימה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חמורות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ונועדו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ופוליטיים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לגיטימיים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ומקובלים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השלישי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"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תיק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1000"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השמפניות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והתכשיטים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ורעייתו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ומפאקר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מרצונם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החופשי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שפעולותיו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הוויזה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לגיטימיות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ומוסרית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העסקים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מוסתרת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דיווח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למזג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ורעייתו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התעלמות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מהבחנה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לעובדי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רטרואקטיבי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סיכומו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שהתביעה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להפליל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שגרתיות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לגיטימיות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ותקינות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מרחיבה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וחסרת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המרמה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תזת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מעשיו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הנורמות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המקובלות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הניסיון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להפלילו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ניסיון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לדמוקרטיה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ולחופש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הביטוי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סטטוס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ההליך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המשפטי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להשלמת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נציין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ינואר</w:t>
      </w:r>
      <w:r w:rsidDel="00000000" w:rsidR="00000000" w:rsidRPr="00000000">
        <w:rPr>
          <w:sz w:val="24"/>
          <w:szCs w:val="24"/>
          <w:rtl w:val="1"/>
        </w:rPr>
        <w:t xml:space="preserve"> 2020 </w:t>
      </w:r>
      <w:r w:rsidDel="00000000" w:rsidR="00000000" w:rsidRPr="00000000">
        <w:rPr>
          <w:sz w:val="24"/>
          <w:szCs w:val="24"/>
          <w:rtl w:val="1"/>
        </w:rPr>
        <w:t xml:space="preserve">ותוקן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בינואר</w:t>
      </w:r>
      <w:r w:rsidDel="00000000" w:rsidR="00000000" w:rsidRPr="00000000">
        <w:rPr>
          <w:sz w:val="24"/>
          <w:szCs w:val="24"/>
          <w:rtl w:val="1"/>
        </w:rPr>
        <w:t xml:space="preserve"> 2021, </w:t>
      </w:r>
      <w:r w:rsidDel="00000000" w:rsidR="00000000" w:rsidRPr="00000000">
        <w:rPr>
          <w:sz w:val="24"/>
          <w:szCs w:val="24"/>
          <w:rtl w:val="1"/>
        </w:rPr>
        <w:t xml:space="preserve">כנוסחו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התביעה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הסתיימה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אוגוסט</w:t>
      </w:r>
      <w:r w:rsidDel="00000000" w:rsidR="00000000" w:rsidRPr="00000000">
        <w:rPr>
          <w:sz w:val="24"/>
          <w:szCs w:val="24"/>
          <w:rtl w:val="1"/>
        </w:rPr>
        <w:t xml:space="preserve"> 2024 </w:t>
      </w:r>
      <w:r w:rsidDel="00000000" w:rsidR="00000000" w:rsidRPr="00000000">
        <w:rPr>
          <w:sz w:val="24"/>
          <w:szCs w:val="24"/>
          <w:rtl w:val="1"/>
        </w:rPr>
        <w:t xml:space="preserve">ובחודש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דצמבר</w:t>
      </w:r>
      <w:r w:rsidDel="00000000" w:rsidR="00000000" w:rsidRPr="00000000">
        <w:rPr>
          <w:sz w:val="24"/>
          <w:szCs w:val="24"/>
          <w:rtl w:val="1"/>
        </w:rPr>
        <w:t xml:space="preserve"> 2024 </w:t>
      </w:r>
      <w:r w:rsidDel="00000000" w:rsidR="00000000" w:rsidRPr="00000000">
        <w:rPr>
          <w:sz w:val="24"/>
          <w:szCs w:val="24"/>
          <w:rtl w:val="1"/>
        </w:rPr>
        <w:t xml:space="preserve">החלה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בעיצומה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הנגדית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03.06.25. </w:t>
      </w:r>
      <w:r w:rsidDel="00000000" w:rsidR="00000000" w:rsidRPr="00000000">
        <w:rPr>
          <w:sz w:val="24"/>
          <w:szCs w:val="24"/>
          <w:rtl w:val="1"/>
        </w:rPr>
        <w:t xml:space="preserve">יצוין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29.06.23, </w:t>
      </w:r>
      <w:r w:rsidDel="00000000" w:rsidR="00000000" w:rsidRPr="00000000">
        <w:rPr>
          <w:sz w:val="24"/>
          <w:szCs w:val="24"/>
          <w:rtl w:val="1"/>
        </w:rPr>
        <w:t xml:space="preserve">בתום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תביעה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לתיק</w:t>
      </w:r>
      <w:r w:rsidDel="00000000" w:rsidR="00000000" w:rsidRPr="00000000">
        <w:rPr>
          <w:sz w:val="24"/>
          <w:szCs w:val="24"/>
          <w:rtl w:val="1"/>
        </w:rPr>
        <w:t xml:space="preserve"> 4000 (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ניתנה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בתיק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שהתייחסה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בעבירה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כדלקמן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לצדדים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נמסרה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בפתח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עמדת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המותב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לפיה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קיימים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קשיים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בביסוס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השוחד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שבאישום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הראשון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בכתב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רקע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קשיים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הוצע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תשקול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לחזור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מעבירות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השוחד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עניין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הסיבה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היחידה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לזימון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הצדדים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לישיבה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בישיבה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הוטעם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נאמרים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בזהירות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המתחייבת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קיום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הישיבה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בלשכת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ראשת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המותב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נבע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מרגישותו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העניין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הנוכחים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הביע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הסתייגות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כלשהי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מקיום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הישיבה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בדרך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ואיש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ביקש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פרוטוקול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נציין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בתגובה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לעיל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מסרה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עמדתה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רואה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באופן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תעביר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לממונים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בשלב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הוצגה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לבית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תמונה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חלקית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בלבד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צפוי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בפרשת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ההגנה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יוצגו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עניינים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נוספים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אגב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ובשוליהם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התקיים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שיג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ושיח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קצר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כוח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הצדדים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בסופו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צוין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הצורך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בסיום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לטובת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העניין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).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נאמרו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לאופן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סיום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לתוצאת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03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מאז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בהיעדר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הסכמות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הצדדים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כסדרו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בקשת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ונימוקיה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הוגשה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30.11.2025, </w:t>
      </w:r>
      <w:r w:rsidDel="00000000" w:rsidR="00000000" w:rsidRPr="00000000">
        <w:rPr>
          <w:sz w:val="24"/>
          <w:szCs w:val="24"/>
          <w:rtl w:val="1"/>
        </w:rPr>
        <w:t xml:space="preserve">כאמור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בעיצומה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ובשלב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הנגדית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ששלח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הברית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דונלד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טראמפ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(</w:t>
      </w:r>
      <w:r w:rsidDel="00000000" w:rsidR="00000000" w:rsidRPr="00000000">
        <w:rPr>
          <w:sz w:val="24"/>
          <w:szCs w:val="24"/>
          <w:rtl w:val="1"/>
        </w:rPr>
        <w:t xml:space="preserve">המצורף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לחוות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הדעת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לאומית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ואזרחיה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המחייבת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המתנהלים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מודגש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צפוי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בייחוד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שהתבררו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שתומכות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ומחזקות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תפיסתו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שהחקירות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חריג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והתמקדו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בעבירה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בוצעו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תרגילי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ניסו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להסתיר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קיומם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הופעלו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עיתונאים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שישמשו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לאיסוף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בוצעו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בניגוד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נעשה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ברוגלה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בניגוד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הופעלו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חוקיים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ארוכה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התנהלויות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חריגות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ויוצאות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דופן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לטענותיו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מאוזכרת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29.06.23 </w:t>
      </w:r>
      <w:r w:rsidDel="00000000" w:rsidR="00000000" w:rsidRPr="00000000">
        <w:rPr>
          <w:sz w:val="24"/>
          <w:szCs w:val="24"/>
          <w:rtl w:val="1"/>
        </w:rPr>
        <w:t xml:space="preserve">שהובאה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מקיומם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בביסוס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האישום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ואולם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כנטען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ענייניו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הפרטיים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הזדמנויות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וביטחוניות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חוזרות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באיחוד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ואיחוי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שנוצרו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כוחו</w:t>
      </w:r>
      <w:r w:rsidDel="00000000" w:rsidR="00000000" w:rsidRPr="00000000">
        <w:rPr>
          <w:sz w:val="24"/>
          <w:szCs w:val="24"/>
          <w:rtl w:val="1"/>
        </w:rPr>
        <w:t xml:space="preserve">, "</w:t>
      </w:r>
      <w:r w:rsidDel="00000000" w:rsidR="00000000" w:rsidRPr="00000000">
        <w:rPr>
          <w:sz w:val="24"/>
          <w:szCs w:val="24"/>
          <w:rtl w:val="1"/>
        </w:rPr>
        <w:t xml:space="preserve">טובת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עיניו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עתה</w:t>
      </w:r>
      <w:r w:rsidDel="00000000" w:rsidR="00000000" w:rsidRPr="00000000">
        <w:rPr>
          <w:sz w:val="24"/>
          <w:szCs w:val="24"/>
          <w:rtl w:val="1"/>
        </w:rPr>
        <w:t xml:space="preserve">" (</w:t>
      </w:r>
      <w:r w:rsidDel="00000000" w:rsidR="00000000" w:rsidRPr="00000000">
        <w:rPr>
          <w:sz w:val="24"/>
          <w:szCs w:val="24"/>
          <w:rtl w:val="1"/>
        </w:rPr>
        <w:t xml:space="preserve">סעיף</w:t>
      </w:r>
      <w:r w:rsidDel="00000000" w:rsidR="00000000" w:rsidRPr="00000000">
        <w:rPr>
          <w:sz w:val="24"/>
          <w:szCs w:val="24"/>
          <w:rtl w:val="1"/>
        </w:rPr>
        <w:t xml:space="preserve"> 13 </w:t>
      </w:r>
      <w:r w:rsidDel="00000000" w:rsidR="00000000" w:rsidRPr="00000000">
        <w:rPr>
          <w:sz w:val="24"/>
          <w:szCs w:val="24"/>
          <w:rtl w:val="1"/>
        </w:rPr>
        <w:t xml:space="preserve">לבקשה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4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הנימוק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לפיו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האינטרס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הציבורי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מחייב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מתן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למר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נתניהו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הנימוק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להצדקת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לשלושה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מרכזיים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ועתיד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ההצדקה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והעיקרית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מיטבי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התמשכות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מונעת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ההצדקה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הפוליטי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והמדיני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ההצדקה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המביטה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מתייחסת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בטעמים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ההצדקה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לצורך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תפקודו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המלא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ממשלה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ואזרחיה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ורקורד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ומרשים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מאבקים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גלובליים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מכריעים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כדוגמת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האיראנית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והוכיח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מנהיגות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מורכבות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המערכה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והלחימה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בחיזבאללה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שהובילו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חטופים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הנהגת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להישגים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דיפלומטיים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כדוגמת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וקידמה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רפורמות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ותחבורתיות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שחיזקו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וההייטק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התפתחויות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במזרח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התיכון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אסטרטגית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מאמצים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דיפלומטיים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אינטנסיביים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ועיסוק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מסביב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לשעון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הזדמנויות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חיזוק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וביסוס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כמעצמה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ופורצת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המחייבים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והאנרגיה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ומרצו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ההזדמנויות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ולצידן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שניצבות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שמתקיימות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ומטבע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המובנת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אודותם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אמונתו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בחפותו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למעמסה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ארבעה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2026.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לחקירתו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דצמבר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2025,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הנגדית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הצפויים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והצהרות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הנגדית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מחקירתו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ההתקדמות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הנוכחית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2026;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נשמעים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נשמעו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בודדים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הקפיד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בפעילותו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כמנהיג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שנדרש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משפחתו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להגדיל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המתקיימים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משלושה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לארבעה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ההרכב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2028.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לצמצם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ועומס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כתפיו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שהמאמץ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ובפרט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מהגדלת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שמרבית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מוקדשים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לניהולו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הולכת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כתפיו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מוטלת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ומרצו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למהלכים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המתרחשים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במזרח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התיכון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ומכאן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ההצדקה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השנייה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למען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איחוי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הקרע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בעם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כמתואר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התגברו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ובחלקים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להתנגחויות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ולהתנצחויות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לתסכול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ותחושת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ומסיטים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מהסוגיות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ההצדקה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השלישית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תרומתו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הציבורית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החריגה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למדינת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ומגוונים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לדברי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היריעה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מלתאר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בתמצית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בשירותו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כלוחם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לוחמים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מורשתם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מהוריהם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נפילת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האהוב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במבצע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באנטבה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ששינתה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לזכר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ולערכים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שספג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בעשייה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ובלתי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-80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הקודמת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מארבעה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כציר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בוושינגטון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כשגריר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-80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מנהיג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בתולדות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מישורים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והדיפלומטיה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כהונתו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רפורמות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שחיזקו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ופיתחו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כהונתו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חילץ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בתולדות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רפורמות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צמצום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קצבאות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פתיחת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לתחרות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והפחתת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ליציאה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מהמיתון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ולבסיס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לשגשוג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בעשורים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הרפורמה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הפנסיה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לניהול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והקטינה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התחייבויות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חופשי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עידוד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השקעות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צמיחה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ויזמות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מהפכה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תחבורתית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בסלילת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כבישים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עירונית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במרכזי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המתקדמים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שסייעו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החופשי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וההשקעות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שהנהיג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כהונתו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הארוכות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לצמיחה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ולשיעורי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אבטלה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לחיזוק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ההייטק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ויזמות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2015,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ופוליטית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החתימה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לעצמאות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אנרגטית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מיליארדים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ולחיזוק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הדיפלומטיה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ויחסי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האמריקני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אובמה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שהתגלעו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דונלד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טראמפ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שהכיר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שגרירות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והוציא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מהסכם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להישג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בכריתת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(2020)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איחוד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האמירויות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מרוקו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וסודאן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ולנרמול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השקיע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ופיתח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אסטרטגיים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קפריסין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ומדינות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אפריקה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וטכנולוגיים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למיצוב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ובינלאומית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לבסוף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הייחודית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חיזק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התפיסה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בכוחות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תקיפות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התבססות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איראנית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בסוריה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והברחות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לחיזבאללה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שנכנסה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העורף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האזרחי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הסייבר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שהפך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למעצמת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סייבר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מתרומותיו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במאבק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התחמשות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גרעינית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קמפיין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JCPOA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2015,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דרמטי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בקונגרס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האמריקני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להעלאת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המודעות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לנושא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לעיצוב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אמריקניים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62.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היסטורית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להיאבק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ביכולותיה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הגרעיניות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והבליסטיות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שאיימו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מבצע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כלביא</w:t>
      </w:r>
      <w:r w:rsidDel="00000000" w:rsidR="00000000" w:rsidRPr="00000000">
        <w:rPr>
          <w:sz w:val="24"/>
          <w:szCs w:val="24"/>
          <w:rtl w:val="1"/>
        </w:rPr>
        <w:t xml:space="preserve">").</w:t>
      </w:r>
    </w:p>
    <w:p w:rsidR="00000000" w:rsidDel="00000000" w:rsidP="00000000" w:rsidRDefault="00000000" w:rsidRPr="00000000" w14:paraId="00000066">
      <w:pPr>
        <w:bidi w:val="1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63. </w:t>
      </w:r>
      <w:r w:rsidDel="00000000" w:rsidR="00000000" w:rsidRPr="00000000">
        <w:rPr>
          <w:sz w:val="24"/>
          <w:szCs w:val="24"/>
          <w:rtl w:val="1"/>
        </w:rPr>
        <w:t xml:space="preserve">בשנים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מדינת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בהובלתו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הובילה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ושלוחותיה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חיסולם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החמאס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מוחמד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איסמעיל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ויחיא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סינוואר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חיסולו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חיזבאללה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חסן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נסראללה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ושרשרת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חיזבאללה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ולאחרונה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רמטכ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חיזבאללה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טבטבאאיי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הפגיעה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בחיזבאללה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ובנסראללה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הובילה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משטר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בסוריה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64.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שקיבל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ופעל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חסמים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בירוקרטיים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ותקציביים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העצום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מסתננים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מאפריקה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נשטפת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בלמעלה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ממיליון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מסתננים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ודמוקרטית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65. </w:t>
      </w:r>
      <w:r w:rsidDel="00000000" w:rsidR="00000000" w:rsidRPr="00000000">
        <w:rPr>
          <w:sz w:val="24"/>
          <w:szCs w:val="24"/>
          <w:rtl w:val="1"/>
        </w:rPr>
        <w:t xml:space="preserve">בטרם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חתימת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הוגשה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30.11.25, </w:t>
      </w:r>
      <w:r w:rsidDel="00000000" w:rsidR="00000000" w:rsidRPr="00000000">
        <w:rPr>
          <w:sz w:val="24"/>
          <w:szCs w:val="24"/>
          <w:rtl w:val="1"/>
        </w:rPr>
        <w:t xml:space="preserve">נבקש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לעדכן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צבאית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קיומית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ומשמעותית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ושלוחותיה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ונשיאה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דונלד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טראמפ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מבצע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שאגת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הארי</w:t>
      </w:r>
      <w:r w:rsidDel="00000000" w:rsidR="00000000" w:rsidRPr="00000000">
        <w:rPr>
          <w:sz w:val="24"/>
          <w:szCs w:val="24"/>
          <w:rtl w:val="1"/>
        </w:rPr>
        <w:t xml:space="preserve">"). </w:t>
      </w:r>
      <w:r w:rsidDel="00000000" w:rsidR="00000000" w:rsidRPr="00000000">
        <w:rPr>
          <w:sz w:val="24"/>
          <w:szCs w:val="24"/>
          <w:rtl w:val="1"/>
        </w:rPr>
        <w:t xml:space="preserve">מערכה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מונהגת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ומהווה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נדבך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לתרומתו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הייחודית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ולחוסנה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המסגרת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הנורמטיבית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עליה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מושתתת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הבקשה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ומתייחסים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שמקורו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מנגנון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כפופה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למגבלות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נוקשות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(1)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ורחמים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(2)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להשגת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(3)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הרלוונטית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מודגש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בפועלו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וסמכויותיו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לביקורת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החסינות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המהותית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המוקנית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לטענת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לרוחה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לערכי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וליסודות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המשותפים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אדמונד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10021/06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זוהר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E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בדומה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לחנינות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שניתנו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בעבר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רקע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מלחמות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ואירועים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לאומיים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סברו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קשים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כמותם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ידעה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מצדיקים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ואף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מחייבים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הפעלת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בצורה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נרחבת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רצון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להציע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הקלה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מסוימת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לאזרחי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המתמודדים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חודשים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ארוכים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אתגרים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משמעותיים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במסגרת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המתווה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השימוש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יהיה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רחב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הרגיל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ויינתן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משקל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מיוחד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למאפיינים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ולנסיבות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אישיות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ומשפחתיות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וכן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לתהליכי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ושיקום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יינתן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במתווה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דגש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תורם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תרם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לביטחון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ולחוסנה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בפרט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במסגרת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מלחמת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חרבות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ברזל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ובפסיקה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בתחילת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כתוארו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אגרנט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177/50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וחברי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13/60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כתוארו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אגרנט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הצטרפו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428/86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ואושררה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שקודם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בקצרה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המיעוט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שלשון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נוקטת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בביטוי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המילולי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שהורשעו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לדבריהם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נדחתה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שדן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-1950,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המושג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כמחייב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להסתמך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ואזרחות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1227/98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מלבסקי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הוטעם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בקביעותיו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1951,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לתיקופים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לקביעתו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534/19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זיאדה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(20.08.19,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פורסם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חיזוק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בהנחיית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10.9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תגובת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להנחיה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מטופלת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לארצות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ניקסון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ניקסון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וסירב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במופגן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כמוצא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אפשרי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יחידי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במקרה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שלפנינו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מתפקידיו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ולעיתים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ולעיתים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חוקתית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במוסדות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שכבוד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להפסיק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המסכנת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578).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ובאמון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המנגנון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הממלכתי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והיחיד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2023,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והעמיקה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וחיוניים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חיזוק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והבטחת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חוסנה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ויכולתה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לאתגרי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העתיד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מכבוד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ראיית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מסמכים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רלבנטיים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לבקשה</w:t>
      </w:r>
    </w:p>
    <w:p w:rsidR="00000000" w:rsidDel="00000000" w:rsidP="00000000" w:rsidRDefault="00000000" w:rsidRPr="00000000" w14:paraId="0000007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המסמכים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צורפו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מכתבו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27.11.2025, </w:t>
      </w:r>
      <w:r w:rsidDel="00000000" w:rsidR="00000000" w:rsidRPr="00000000">
        <w:rPr>
          <w:sz w:val="24"/>
          <w:szCs w:val="24"/>
          <w:rtl w:val="1"/>
        </w:rPr>
        <w:t xml:space="preserve">בזו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הלשון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F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בשנים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התגברו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המתחים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והמחלוקות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חלקי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רשויות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השונות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מודע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שההליך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המתנהל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בענייני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למוקד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להתנצחויות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עזות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נושא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באחריות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ציבורית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וערכית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רחבה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הבנה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להשלכות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אף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האינטרס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האישי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לנהל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ולהוכיח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חפותי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זיכוי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סבור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שהאינטרס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הציבורי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מורה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ציבורית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כראש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לנסות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להביא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לפיוס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חלקי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ספק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שסיום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יסייע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להוריד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עוצמת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הלהבות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בוויכוח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שנוצר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סביבו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האתגרים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הביטחוניים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וההזדמנויות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שניצבים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מחויב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לעשות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שביכולתי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לאיחוי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הקרעים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להשגת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אחדות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ולהשבת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האמון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במערכות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מצפה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שיעשו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ראשי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זרועות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הרכב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השופטים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29.06.2023, </w:t>
      </w:r>
      <w:r w:rsidDel="00000000" w:rsidR="00000000" w:rsidRPr="00000000">
        <w:rPr>
          <w:sz w:val="24"/>
          <w:szCs w:val="24"/>
          <w:rtl w:val="1"/>
        </w:rPr>
        <w:t xml:space="preserve">שהובאה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המתייחסת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פניית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הברית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דונאלד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טראמפ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12.11.2025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הברית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דונלד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טראמפ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חתומה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לשקול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טראמפ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כדלקמן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בתרגום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חופשי</w:t>
      </w:r>
      <w:r w:rsidDel="00000000" w:rsidR="00000000" w:rsidRPr="00000000">
        <w:rPr>
          <w:sz w:val="24"/>
          <w:szCs w:val="24"/>
          <w:rtl w:val="1"/>
        </w:rPr>
        <w:t xml:space="preserve">):</w:t>
      </w:r>
    </w:p>
    <w:p w:rsidR="00000000" w:rsidDel="00000000" w:rsidP="00000000" w:rsidRDefault="00000000" w:rsidRPr="00000000" w14:paraId="0000008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לכבוד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היסטורית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שהשגנו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שחיפשנו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לפחות</w:t>
      </w:r>
      <w:r w:rsidDel="00000000" w:rsidR="00000000" w:rsidRPr="00000000">
        <w:rPr>
          <w:sz w:val="24"/>
          <w:szCs w:val="24"/>
          <w:rtl w:val="1"/>
        </w:rPr>
        <w:t xml:space="preserve"> 3,000 </w:t>
      </w:r>
      <w:r w:rsidDel="00000000" w:rsidR="00000000" w:rsidRPr="00000000">
        <w:rPr>
          <w:sz w:val="24"/>
          <w:szCs w:val="24"/>
          <w:rtl w:val="1"/>
        </w:rPr>
        <w:t xml:space="preserve">שנה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והאדיב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מתייחס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בנאומי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בכנסת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והחלטי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מלחמה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מנהיגים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במזרח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התיכון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להוסיף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להסכמי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ההיסטוריים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הסכמי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אברהם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וסיכויים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קלושים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ותשומת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לצורך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דרישותיה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התיק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ביבי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שנלחם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יריבתה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איראן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פוליטית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מוצדקת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יצחק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יצרנו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נהדרת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ומתכבד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והסכמנו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שהושבעתי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בינואר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שהמיקוד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מרוכז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והשלמת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שהשגנו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הצלחות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חסרות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ושומרים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חמאס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המאבק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ולתמיד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מכתבו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ומסומן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bidi w:val="1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1"/>
        </w:rPr>
        <w:t xml:space="preserve">גיליון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יצוין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מסייעת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הנשיא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מלאכותית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בסקירת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שפרסם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המעוניין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להביע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סיכום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במסמך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נפרד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7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פניות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מחלקת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חנינות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לקבלת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עמדת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גורמי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התביעה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הועברה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03.12.25 </w:t>
      </w:r>
      <w:r w:rsidDel="00000000" w:rsidR="00000000" w:rsidRPr="00000000">
        <w:rPr>
          <w:sz w:val="24"/>
          <w:szCs w:val="24"/>
          <w:rtl w:val="1"/>
        </w:rPr>
        <w:t xml:space="preserve">וזאת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הרלוונטיים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בהליכים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07.12.25 </w:t>
      </w:r>
      <w:r w:rsidDel="00000000" w:rsidR="00000000" w:rsidRPr="00000000">
        <w:rPr>
          <w:sz w:val="24"/>
          <w:szCs w:val="24"/>
          <w:rtl w:val="1"/>
        </w:rPr>
        <w:t xml:space="preserve">מנהלת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המחלקה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30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שבנדון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הפנייה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הועברה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08.12.25 </w:t>
      </w:r>
      <w:r w:rsidDel="00000000" w:rsidR="00000000" w:rsidRPr="00000000">
        <w:rPr>
          <w:sz w:val="24"/>
          <w:szCs w:val="24"/>
          <w:rtl w:val="1"/>
        </w:rPr>
        <w:t xml:space="preserve">מהמחלקה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התובעים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תירוש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ויהונתן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תדמור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מיסוי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וכלכלה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אביב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26.01.26 </w:t>
      </w:r>
      <w:r w:rsidDel="00000000" w:rsidR="00000000" w:rsidRPr="00000000">
        <w:rPr>
          <w:sz w:val="24"/>
          <w:szCs w:val="24"/>
          <w:rtl w:val="1"/>
        </w:rPr>
        <w:t xml:space="preserve">מנהלת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תירוש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ותדמור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14 </w:t>
      </w:r>
      <w:r w:rsidDel="00000000" w:rsidR="00000000" w:rsidRPr="00000000">
        <w:rPr>
          <w:sz w:val="24"/>
          <w:szCs w:val="24"/>
          <w:rtl w:val="1"/>
        </w:rPr>
        <w:t xml:space="preserve">ימים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לחילופין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התבקשו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לעדכן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מטעמה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09.03.26, </w:t>
      </w:r>
      <w:r w:rsidDel="00000000" w:rsidR="00000000" w:rsidRPr="00000000">
        <w:rPr>
          <w:sz w:val="24"/>
          <w:szCs w:val="24"/>
          <w:rtl w:val="1"/>
        </w:rPr>
        <w:t xml:space="preserve">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התקבלה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נעדכן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06.03.26 </w:t>
      </w:r>
      <w:r w:rsidDel="00000000" w:rsidR="00000000" w:rsidRPr="00000000">
        <w:rPr>
          <w:sz w:val="24"/>
          <w:szCs w:val="24"/>
          <w:rtl w:val="1"/>
        </w:rPr>
        <w:t xml:space="preserve">התקבלה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טלפונית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היועצת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ממנה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בדעתם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בנושא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בחלוף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חודשים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ובהעדר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התביעה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בטווח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מצאנו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החיונית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להשלכות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הציבוריות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המשקל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המאזניים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שתועבר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הפרקליטות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היועצת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נפעל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לעדכון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ולהשלמת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שהעמדות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תובאנה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במארג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השיקולים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הנוגעים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לעניין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דיון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והמלצה</w:t>
      </w:r>
    </w:p>
    <w:p w:rsidR="00000000" w:rsidDel="00000000" w:rsidP="00000000" w:rsidRDefault="00000000" w:rsidRPr="00000000" w14:paraId="0000009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בפתחו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הנתונה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וזאת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יגיע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להכרעה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שיפוטית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כלשהו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לכאורה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ההיסטורי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שבפנינו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</w:t>
      </w:r>
      <w:r w:rsidDel="00000000" w:rsidR="00000000" w:rsidRPr="00000000">
        <w:rPr>
          <w:sz w:val="24"/>
          <w:szCs w:val="24"/>
          <w:rtl w:val="1"/>
        </w:rPr>
        <w:t xml:space="preserve"> 300".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שיבואר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ורכיבים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שהכווינו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שיקול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בפסק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</w:t>
      </w:r>
      <w:r w:rsidDel="00000000" w:rsidR="00000000" w:rsidRPr="00000000">
        <w:rPr>
          <w:sz w:val="24"/>
          <w:szCs w:val="24"/>
          <w:rtl w:val="1"/>
        </w:rPr>
        <w:t xml:space="preserve"> 300"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ברזילי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מתקיימים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שלפנינו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שנעמיק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בהשוואה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תתחדד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העובדה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הוגשו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הרשעה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ביניהן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השווה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ייאמר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ניסיונה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המצטבר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פעילותה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סממנים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לפסול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שבמעשה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לדפוסים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שליליים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שהביאו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העבירה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התחייבות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נוהג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מפתח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הנתון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החסד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והרחמים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שיפוטית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היעדרה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לשמוט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בעצם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דוחקת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ההכרעה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אובייקט</w:t>
      </w:r>
      <w:r w:rsidDel="00000000" w:rsidR="00000000" w:rsidRPr="00000000">
        <w:rPr>
          <w:sz w:val="24"/>
          <w:szCs w:val="24"/>
          <w:rtl w:val="1"/>
        </w:rPr>
        <w:t xml:space="preserve">" (</w:t>
      </w:r>
      <w:r w:rsidDel="00000000" w:rsidR="00000000" w:rsidRPr="00000000">
        <w:rPr>
          <w:sz w:val="24"/>
          <w:szCs w:val="24"/>
          <w:rtl w:val="1"/>
        </w:rPr>
        <w:t xml:space="preserve">מעשים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שניתן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הקדמה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ונזכיר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נימוקי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לזיכויו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ומרצו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שעומדות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הזדמנויות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לשיקומה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חיזוקה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וביסוסה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כמעצמה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ההייטק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ובתחומים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וריפוי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מעצם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טבעה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וראשוניות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שילוב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וחריג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הבכירה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לעקרונות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במשטר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דמוקרטי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רבדיו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לבסוף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בבואה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ולנתח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ולגבש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נשיא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רקע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היסטורי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וחקיקתי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בתמצית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ההיסטורי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המנדטורי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במועצה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פלשתינה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1922,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B">
      <w:pPr>
        <w:bidi w:val="1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פשע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בפלשתינה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)...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הנציב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הפשע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העברה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וכמו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עבריין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העונש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לפועל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ויכול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בראותו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למחול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הקנסות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העונשים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וההתרמות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שנתחייבו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להתחייב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..."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- 1948.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המכוננת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לכנסת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- 1949,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ולהפחית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נחקק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לעגן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בכנסת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בתמוז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1964,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(1)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תחולתו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המעגן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הייחודית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F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עבריינים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ולהקל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בעונשים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הפחתתם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המרתם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bidi w:val="1"/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בתצורתה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הנוכחית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סעיף</w:t>
      </w:r>
      <w:r w:rsidDel="00000000" w:rsidR="00000000" w:rsidRPr="00000000">
        <w:rPr>
          <w:sz w:val="24"/>
          <w:szCs w:val="24"/>
          <w:rtl w:val="1"/>
        </w:rPr>
        <w:t xml:space="preserve"> 11(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המחוקק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להתפרש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מתוכו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שלעיתים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להסתייע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להבהרת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ייחודיותה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בשיקול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הנתון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הכפוף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לביקורת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מצומצמת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לחתימת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ביקורת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פרלמנטרית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וביקורת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שיפוטית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להשלמת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מתרחבת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ומקנה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ההתיישנות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והמחיקה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פלילי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לקצוב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מאסרי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המוטלים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מוסדרים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מהותה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ותפקידיה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נהוג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לסווג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מרכזיות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והמזוהה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ורחמים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תופעל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התרחשה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החמרה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דרמטית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הרפואי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המשפחתי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לדוגמה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שהתרחש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הנידון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הופך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מנשוא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כאמצעי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לעשיית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ומפעילה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רגישים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לאיתור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ומיוחדים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המצדיקים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כדברי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אדמונד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6">
      <w:pPr>
        <w:bidi w:val="1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שמצדיק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שינוי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בראייה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ערכית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רחבה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ובנסיבות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השוררות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הענקתה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בתוצאה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בפעולתן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הרגילה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לגדרי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נכנסים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אחידות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המעוגן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113),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-2011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המחוקק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השיפוטי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להאריך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כשהיושבים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מבטאים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בגזירת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בגדרי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ולעיתים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מזכירים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תקוותם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תביא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לתוצאה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צודקת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תסייע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להשגת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לשיקוף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ומוסריים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שהתחוללו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וחומרתה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ומצדיקים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וקודמו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יוזמות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ומתווים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ונבעו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מהרצון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לקרב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ולהעצים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החגיגיות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ועבריינים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הזדמנות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הרוחביות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בעומס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המצטבר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מחודשת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ויעילה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במלחמה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בפשיעה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יוזמות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הפיכת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קנאביס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לצריכה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שהצדיק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שהורשעו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יוזמות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ולתת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אקטואליות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2018 - 2025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עידוד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וחברתיות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ההתמקדות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באוכלוסייה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ספציפית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שהושק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האתיופיות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לתופעה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שיטור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אוכלוסייה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למחיקת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ועידוד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היציאה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ממעגל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וכיוצ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בודדים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ומחיקת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רישומים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ההתנתקות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-2010,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למחיקת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לתוכנית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ההתנתקות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תכליתו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שנוצרו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ההתנתקות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למתנגדי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המהלך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אזרחים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נורמטיביים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שומרי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מחאתם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הפכו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בפלילים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להותיר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פתיחת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שדבקה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המוכרות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להשלמת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הופעלה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ואזרחים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חטופים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אוגוסט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2014,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תוקן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- 2001,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וביטחונה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יתבצע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בטרם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הרשעה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המוגשת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המבקשים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המתמקדת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בהתחשב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העומדים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לדורותיהם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לנכון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להדגיש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כערכאת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ערעור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שיפוטיות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המחייבת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177/50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וחברי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כתוארו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אגרנט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המנדט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פחותה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2">
      <w:pPr>
        <w:bidi w:val="1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הנתונה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באנגליה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התוצאות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הנובעות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להקטין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היקפה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הנתונה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בהשוואה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באנגליה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מכאן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עבריינים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ההרשעה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כלשהו</w:t>
      </w:r>
      <w:r w:rsidDel="00000000" w:rsidR="00000000" w:rsidRPr="00000000">
        <w:rPr>
          <w:sz w:val="24"/>
          <w:szCs w:val="24"/>
          <w:rtl w:val="1"/>
        </w:rPr>
        <w:t xml:space="preserve">..."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שנדונה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שנמחק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מפנקס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לפנקס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דהיינו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הציטוט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אגרנט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אוביטר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13/60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שהסתיים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להשוואה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מסמכויותיו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הפררוגטיביות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יודגש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שנדונה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להפחית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דהיינו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להמרת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נקודת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מוצא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משפטית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פרשת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קו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112.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הידוע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בשנת</w:t>
      </w:r>
      <w:r w:rsidDel="00000000" w:rsidR="00000000" w:rsidRPr="00000000">
        <w:rPr>
          <w:sz w:val="24"/>
          <w:szCs w:val="24"/>
          <w:rtl w:val="1"/>
        </w:rPr>
        <w:t xml:space="preserve"> 1964 </w:t>
      </w:r>
      <w:r w:rsidDel="00000000" w:rsidR="00000000" w:rsidRPr="00000000">
        <w:rPr>
          <w:sz w:val="24"/>
          <w:szCs w:val="24"/>
          <w:rtl w:val="1"/>
        </w:rPr>
        <w:t xml:space="preserve">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ימינו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עשורים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הופעלה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8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113.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25 </w:t>
      </w:r>
      <w:r w:rsidDel="00000000" w:rsidR="00000000" w:rsidRPr="00000000">
        <w:rPr>
          <w:sz w:val="24"/>
          <w:szCs w:val="24"/>
          <w:rtl w:val="1"/>
        </w:rPr>
        <w:t xml:space="preserve">ביוני</w:t>
      </w:r>
      <w:r w:rsidDel="00000000" w:rsidR="00000000" w:rsidRPr="00000000">
        <w:rPr>
          <w:sz w:val="24"/>
          <w:szCs w:val="24"/>
          <w:rtl w:val="1"/>
        </w:rPr>
        <w:t xml:space="preserve"> 1986 </w:t>
      </w:r>
      <w:r w:rsidDel="00000000" w:rsidR="00000000" w:rsidRPr="00000000">
        <w:rPr>
          <w:sz w:val="24"/>
          <w:szCs w:val="24"/>
          <w:rtl w:val="1"/>
        </w:rPr>
        <w:t xml:space="preserve">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דאז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הרצוג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אברהם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יוסי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גנוסר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היועצים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הארגון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הכרוכות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הידועה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</w:t>
      </w:r>
      <w:r w:rsidDel="00000000" w:rsidR="00000000" w:rsidRPr="00000000">
        <w:rPr>
          <w:sz w:val="24"/>
          <w:szCs w:val="24"/>
          <w:rtl w:val="1"/>
        </w:rPr>
        <w:t xml:space="preserve"> 300".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24 </w:t>
      </w:r>
      <w:r w:rsidDel="00000000" w:rsidR="00000000" w:rsidRPr="00000000">
        <w:rPr>
          <w:sz w:val="24"/>
          <w:szCs w:val="24"/>
          <w:rtl w:val="1"/>
        </w:rPr>
        <w:t xml:space="preserve">באוגוסט</w:t>
      </w:r>
      <w:r w:rsidDel="00000000" w:rsidR="00000000" w:rsidRPr="00000000">
        <w:rPr>
          <w:sz w:val="24"/>
          <w:szCs w:val="24"/>
          <w:rtl w:val="1"/>
        </w:rPr>
        <w:t xml:space="preserve"> 1986 </w:t>
      </w:r>
      <w:r w:rsidDel="00000000" w:rsidR="00000000" w:rsidRPr="00000000">
        <w:rPr>
          <w:sz w:val="24"/>
          <w:szCs w:val="24"/>
          <w:rtl w:val="1"/>
        </w:rPr>
        <w:t xml:space="preserve">הוענקה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אהוד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יתום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114.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בבסיס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? </w:t>
      </w:r>
      <w:r w:rsidDel="00000000" w:rsidR="00000000" w:rsidRPr="00000000">
        <w:rPr>
          <w:sz w:val="24"/>
          <w:szCs w:val="24"/>
          <w:rtl w:val="1"/>
        </w:rPr>
        <w:t xml:space="preserve">נפנה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לעובדות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בתמצית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115. </w:t>
      </w: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חמישי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-12 </w:t>
      </w:r>
      <w:r w:rsidDel="00000000" w:rsidR="00000000" w:rsidRPr="00000000">
        <w:rPr>
          <w:sz w:val="24"/>
          <w:szCs w:val="24"/>
          <w:rtl w:val="1"/>
        </w:rPr>
        <w:t xml:space="preserve">באפריל</w:t>
      </w:r>
      <w:r w:rsidDel="00000000" w:rsidR="00000000" w:rsidRPr="00000000">
        <w:rPr>
          <w:sz w:val="24"/>
          <w:szCs w:val="24"/>
          <w:rtl w:val="1"/>
        </w:rPr>
        <w:t xml:space="preserve"> 1984, </w:t>
      </w:r>
      <w:r w:rsidDel="00000000" w:rsidR="00000000" w:rsidRPr="00000000">
        <w:rPr>
          <w:sz w:val="24"/>
          <w:szCs w:val="24"/>
          <w:rtl w:val="1"/>
        </w:rPr>
        <w:t xml:space="preserve">בשעת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השתלטו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אוטובוס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אגד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בקו</w:t>
      </w:r>
      <w:r w:rsidDel="00000000" w:rsidR="00000000" w:rsidRPr="00000000">
        <w:rPr>
          <w:sz w:val="24"/>
          <w:szCs w:val="24"/>
          <w:rtl w:val="1"/>
        </w:rPr>
        <w:t xml:space="preserve"> 300 </w:t>
      </w:r>
      <w:r w:rsidDel="00000000" w:rsidR="00000000" w:rsidRPr="00000000">
        <w:rPr>
          <w:sz w:val="24"/>
          <w:szCs w:val="24"/>
          <w:rtl w:val="1"/>
        </w:rPr>
        <w:t xml:space="preserve">שיצא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לאשקלון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הנסיעה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האוטובוס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מחסום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ונעצר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לבסוף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לשעה</w:t>
      </w:r>
      <w:r w:rsidDel="00000000" w:rsidR="00000000" w:rsidRPr="00000000">
        <w:rPr>
          <w:sz w:val="24"/>
          <w:szCs w:val="24"/>
          <w:rtl w:val="1"/>
        </w:rPr>
        <w:t xml:space="preserve"> 22:00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בלח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לאורך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למחבלים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שדרשו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500 </w:t>
      </w:r>
      <w:r w:rsidDel="00000000" w:rsidR="00000000" w:rsidRPr="00000000">
        <w:rPr>
          <w:sz w:val="24"/>
          <w:szCs w:val="24"/>
          <w:rtl w:val="1"/>
        </w:rPr>
        <w:t xml:space="preserve">אסירי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פת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הערובה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B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116. </w:t>
      </w:r>
      <w:r w:rsidDel="00000000" w:rsidR="00000000" w:rsidRPr="00000000">
        <w:rPr>
          <w:sz w:val="24"/>
          <w:szCs w:val="24"/>
          <w:rtl w:val="1"/>
        </w:rPr>
        <w:t xml:space="preserve">למחרת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-13 </w:t>
      </w:r>
      <w:r w:rsidDel="00000000" w:rsidR="00000000" w:rsidRPr="00000000">
        <w:rPr>
          <w:sz w:val="24"/>
          <w:szCs w:val="24"/>
          <w:rtl w:val="1"/>
        </w:rPr>
        <w:t xml:space="preserve">באפריל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בוקר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לאוטובוס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ההשתלטות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נהרגה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הנוסעות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הנוספים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נתפסו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והורדו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מהאוטובוס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לשעה</w:t>
      </w:r>
      <w:r w:rsidDel="00000000" w:rsidR="00000000" w:rsidRPr="00000000">
        <w:rPr>
          <w:sz w:val="24"/>
          <w:szCs w:val="24"/>
          <w:rtl w:val="1"/>
        </w:rPr>
        <w:t xml:space="preserve"> 07:00 </w:t>
      </w:r>
      <w:r w:rsidDel="00000000" w:rsidR="00000000" w:rsidRPr="00000000">
        <w:rPr>
          <w:sz w:val="24"/>
          <w:szCs w:val="24"/>
          <w:rtl w:val="1"/>
        </w:rPr>
        <w:t xml:space="preserve">בבוקר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פורסמה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רשמית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נהרגו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ההשתלטות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C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117. </w:t>
      </w:r>
      <w:r w:rsidDel="00000000" w:rsidR="00000000" w:rsidRPr="00000000">
        <w:rPr>
          <w:sz w:val="24"/>
          <w:szCs w:val="24"/>
          <w:rtl w:val="1"/>
        </w:rPr>
        <w:t xml:space="preserve">בפועל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הסיירת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הועברו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שנותרו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שנחשפו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נלקחו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למחצבה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הומתו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בראשם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בהוראת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אברהם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נחשף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פרסום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תצלומים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בעיתונות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שהוכיחו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נלקח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מהזירה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בניגוד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לדיווח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שמסרו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והצנזורה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118.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הוקמו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לחקר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זורע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ולאחריה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בלטמן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והוחלט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העמדתם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המעורבים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פקודיהם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למסור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שקריות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תיאמו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גרסאות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ניסו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להטיל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מפקד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צבאי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בזירה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בשנת</w:t>
      </w:r>
      <w:r w:rsidDel="00000000" w:rsidR="00000000" w:rsidRPr="00000000">
        <w:rPr>
          <w:sz w:val="24"/>
          <w:szCs w:val="24"/>
          <w:rtl w:val="1"/>
        </w:rPr>
        <w:t xml:space="preserve"> 1986, </w:t>
      </w:r>
      <w:r w:rsidDel="00000000" w:rsidR="00000000" w:rsidRPr="00000000">
        <w:rPr>
          <w:sz w:val="24"/>
          <w:szCs w:val="24"/>
          <w:rtl w:val="1"/>
        </w:rPr>
        <w:t xml:space="preserve">חשפו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בארגון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העובדות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לאשורן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היועץ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למשטרה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פתיחת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פלילית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בארגון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נשיאותית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הצורך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בפרשת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קו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נולדה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הריגתם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מחוטפי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האוטובוס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שנתפסו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בפעולת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החילוץ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והועברו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לחשיפת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ויחידה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למשטרה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תאלץ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להתגונן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להתגונן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ההאשמות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המלכוד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והמבוי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לסדרת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C3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הקבינט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היועץ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כזאת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5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אברהם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יפרוש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6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תתמנה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לבדיקת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נוהלי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דומה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7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יחתום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חתימת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הקבינט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ולשלושה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הכרוכות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אוטובוס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300".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CA">
      <w:pPr>
        <w:bidi w:val="1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"... </w:t>
      </w:r>
      <w:r w:rsidDel="00000000" w:rsidR="00000000" w:rsidRPr="00000000">
        <w:rPr>
          <w:sz w:val="24"/>
          <w:szCs w:val="24"/>
          <w:rtl w:val="1"/>
        </w:rPr>
        <w:t xml:space="preserve">החלטתי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עמוקה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וטובת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מחייבות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בטחוננו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ולהציל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הפרשה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כנשיא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להתייצב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ביודעי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המפרכת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והחשאית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עושים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ולמנוע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מוראלית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בקהיליית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המודיעין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ובמערך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האבטחה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והלחימה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בטרור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נוכח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הודעתו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משמעית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היועץ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הקבינט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מהפעלת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המשטרתית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בפרשה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נוצר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בחקירה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יחשפו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ביטחוניים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ראיתי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וראשונה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ולפעול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שפעלתי</w:t>
      </w:r>
      <w:r w:rsidDel="00000000" w:rsidR="00000000" w:rsidRPr="00000000">
        <w:rPr>
          <w:sz w:val="24"/>
          <w:szCs w:val="24"/>
          <w:rtl w:val="1"/>
        </w:rPr>
        <w:t xml:space="preserve">" (</w:t>
      </w:r>
      <w:r w:rsidDel="00000000" w:rsidR="00000000" w:rsidRPr="00000000">
        <w:rPr>
          <w:sz w:val="24"/>
          <w:szCs w:val="24"/>
          <w:rtl w:val="1"/>
        </w:rPr>
        <w:t xml:space="preserve">בג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ברזילי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להלן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' 518-517).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עתירה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ההכרעה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המשפטית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בבג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428/86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ברזילי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ואח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נגד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ממשלת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ואח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שהוצגה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518).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המיעוט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כתוארו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במונח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בביצועה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שהורשע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לעומתם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המיעוט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וחומר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התעמקות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מורכבים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מובילים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למסקנה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שעמדו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המתנגשים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נבחין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שיוחסו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העובדתי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מפסקי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3">
      <w:pPr>
        <w:bidi w:val="1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משנחה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העבירות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פורטו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הנשיא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ובכתב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ומשנתברר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מבקשי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החנינה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וביקשו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יחונו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לפניו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נתונים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מספקים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לשקול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בקשתם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להתערבותנו</w:t>
      </w:r>
      <w:r w:rsidDel="00000000" w:rsidR="00000000" w:rsidRPr="00000000">
        <w:rPr>
          <w:sz w:val="24"/>
          <w:szCs w:val="24"/>
          <w:rtl w:val="1"/>
        </w:rPr>
        <w:t xml:space="preserve">" (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' 557).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תימוכין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23.03.93 -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מינויו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יוסי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גינוסר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והשיכון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מדבריו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גינוסר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בתצהירו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שהגיש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300:</w:t>
      </w:r>
    </w:p>
    <w:p w:rsidR="00000000" w:rsidDel="00000000" w:rsidP="00000000" w:rsidRDefault="00000000" w:rsidRPr="00000000" w14:paraId="000000D5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"...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ארוע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הפרשה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הידועה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כפרשת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אוטובוס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300,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התמניתי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כחבר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ועדת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חקירה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לחקירת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נסיבות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מותם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שניים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המחבלים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שהשתלטו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אוטובוס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כחבר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הועדה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פעלתי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להעלמת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חלקם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אנשי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בטחון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בהריגת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המחבלים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עברתי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חוקי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-24.6.86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נמסר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-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בטחון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וסיפר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פרטי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אוטובוס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300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והליכי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החקירה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שלאחריה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ולרבות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העבירות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שנעברו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-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-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במהלכם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בטחון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הציע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אפנה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בבקשת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פניתי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לפיכך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בבקשת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בחתימת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הבקשה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והגשתה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התכוונתי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להודות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ואף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הודיתי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בעבירת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וביקשתי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מהנשיא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מהן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....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טענתי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בבקשה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פעולותי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נעשו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בהוראה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ובאישור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הממונים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למען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בטחון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ושמירת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סודותיה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באמרי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התכוונתי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לטעון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טענת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הגנה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השוללת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בג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ץ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6163/92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אייזנברג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הבינוי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והשיכון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פסקה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24).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27.12.01 -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מינויו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ללוחמה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7">
      <w:pPr>
        <w:bidi w:val="1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בבקשתו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10.8.1986)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ופקודיו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בפקודת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ואמונתו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רצחני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ייחלצו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בעדויותיהם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בהליכי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החקירה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זורע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בראשות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פרקליט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העלימו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ואנשיו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העובדה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בעצמו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והינחה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לנהוג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..." (</w:t>
      </w:r>
      <w:r w:rsidDel="00000000" w:rsidR="00000000" w:rsidRPr="00000000">
        <w:rPr>
          <w:sz w:val="24"/>
          <w:szCs w:val="24"/>
          <w:rtl w:val="1"/>
        </w:rPr>
        <w:t xml:space="preserve">בג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ץ</w:t>
      </w:r>
      <w:r w:rsidDel="00000000" w:rsidR="00000000" w:rsidRPr="00000000">
        <w:rPr>
          <w:sz w:val="24"/>
          <w:szCs w:val="24"/>
          <w:rtl w:val="1"/>
        </w:rPr>
        <w:t xml:space="preserve"> 4668/01 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ואח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נ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פסקה</w:t>
      </w:r>
      <w:r w:rsidDel="00000000" w:rsidR="00000000" w:rsidRPr="00000000">
        <w:rPr>
          <w:sz w:val="24"/>
          <w:szCs w:val="24"/>
          <w:rtl w:val="1"/>
        </w:rPr>
        <w:t xml:space="preserve"> 5).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הקוטבי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לזיכוי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בהוכחת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החפות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לחלוטין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הצטרפה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מהפנייתו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שנשא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בסימפוזיון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A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כמובן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שהמילה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עבריין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צריכה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לקבל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המובן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שהורשע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שבא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אומר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עברתי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מבקש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שתחון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אינני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דעתי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לבוא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ולומר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אמנם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עברתי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עברתי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אנא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528).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והמרכזיים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עיניו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החריגה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בייחוד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וקיצוני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הושאר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553).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בנקודה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מסויגת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לקרוא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מוכנה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להינתן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לחפותו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שעצם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החריגה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מאבק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ובצדו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ומניחים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D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זוהי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שהשימוש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חייב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נדיר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טרם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נועדה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לתקן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עוול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שנגרם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לנדון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אדרבא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מהרהרים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אשמתו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מבקש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ומניחים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שהעבירה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המיוחסת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במשטרה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-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התביעה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)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אמנם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בוצעה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ידיו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לפיכך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שוקלים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חומרת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עבירה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כנגד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האינטרס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האחר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הומאני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ביטחוני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וכו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לשון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טרם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הרשעה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מבוססת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תמיד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מאבק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האינטרסים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שוויון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אינטרס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ציבורי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בכך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לצמצם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מאד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המקרים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הראוי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להשתמש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582).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והיעדר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נידונה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בעובדות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המגבשות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נבחין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231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-1982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2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שלאחר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הגשת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ולפני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הכרעת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הדין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רשאי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היועץ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לממשלה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בהודעה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מנומקת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בכתב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לבית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לעכב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הליכי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הוגשה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הודעה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כאמור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יפסיק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ההליכים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באותו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בהנחיות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4.3030 (51.000).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תינתן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הנובעים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מנימוקים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6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לעכב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הליכים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מופעלת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באופן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חריג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הכלל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הרחב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שהיועץ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לממשלה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אינו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מהווה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ערכאת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ערעור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הבודקת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מחדש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החלטת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התובע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להגיש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לברר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קיימות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ראיות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מספיקות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להגשת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עניין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לציבור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בהגשת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בדרך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טענה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ראיות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התביעה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אינן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אמינות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אינן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מספיקות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תצדיק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עיכוב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הליכים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ההכרעה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גרסאות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עובדתיות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סותרות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שהוגש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כתב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מופקדת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בידי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השומע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העדים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ובודק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יתר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הראיות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יודגש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לנימוקים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ההנחיה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שיצאה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נימוקי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נימוקים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בהסתמך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4957/08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למטרות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לארץ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קובלנה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הווקף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המוסלמי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מבכירי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נציגיו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היזק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בזדון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השחתת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מקרקעין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וגרימת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ועלבון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במתחם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בקובלנה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231(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-1982,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לביקורת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A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המשיבים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טוענים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החלטת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היועץ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לעכב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ההליכים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בקובלנה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הפרטית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ניתנה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כדין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והתבססה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שיקולים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אינטרס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ציבורי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מדובר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בסוגיה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רגישות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ציבורית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דתית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ומדינית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מיוחדת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ליועץ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המשפטי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לממשלה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נתון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שיקול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דעת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רחב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בתחום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אכיפת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"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בסופו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לעכב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בקובלנה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וראויה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נדגיש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ששיקולי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נסובו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שברגישות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דתית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ומדינית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ובהינתן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מוסגר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מסמרות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שתוגש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פרישה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מול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המשך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כהונה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כהונת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הכרוכה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ולקיחת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בפרישתו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ייטול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בשינוי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שנתגלו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כנפסדות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תפקודו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וכהונתו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מנומק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היעתרות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וכוחותיו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ולהתמודד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וההזדמנויות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הרובצים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5, 9, 71, 79,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הממצאים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שנחשפו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במובן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לעורר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רדיפה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המורכבות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ודאי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והטענה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לרדיפה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בהחלט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להישמע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לגיטימית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התקיימות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משלושה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מכהונה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פורמלית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השלב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מצוי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ההליך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המשפטי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לעיתוי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נהנה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מנותק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וכדברי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מבטאת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219/09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זוהר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נגזרת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תפיסתה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כפעולה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נוקשותה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והכללים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הכובלים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הימנעות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להחלשתה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במשטרה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הקבינט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מרכזיות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ובהסכמה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במהלכו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נשמעו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הפקעה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ובהכרח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נלווית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ובסדרי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הדמוקרטי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תמריץ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לנאשמים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שיאפשרו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שבבסיסו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ורחמים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לעקוף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כסמל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לעמדת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שיכריע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במחלוקת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ונוקבת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ובמקום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פירוד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ופילוג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השלישית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ולזכות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בהיעדר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נחשפו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במחלוקת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למוקד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להתנצחויות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כדברי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התנצחות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ודאות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שנמצא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המחלוקת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להעמיק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שנשמע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הושקעו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במשטרת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אפקט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מאבק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בשחיתות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המשאבים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העצומים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שהושקעו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מתבטלים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באבחה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בתמריץ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לחקירת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לכרסם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בנורמות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ההתנהגותיות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להיתפס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ולרפות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המשתקפת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0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מבחינת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הפרדת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הרשויות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המקובלת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הכול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לראות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שיורית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בלשון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חברי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ברק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)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רזרבית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כלשונו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אגרנט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בבג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177/50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13/60),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וכזאת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להישאר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ככל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שיקפיד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נשיא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לדון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קיימת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רשות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המוסמכת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עדיין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לפעול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ייטב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ברזילי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554).</w:t>
      </w:r>
    </w:p>
    <w:p w:rsidR="00000000" w:rsidDel="00000000" w:rsidP="00000000" w:rsidRDefault="00000000" w:rsidRPr="00000000" w14:paraId="0000010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השלכות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נאשמים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בכתב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האישום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לעובדת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קיומם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נאשמים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להתעורר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בסופו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השותפים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יימצאו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צדדיות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שמעשיהם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שיוחסו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שמשמעות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6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לשלטון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למשמעות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הפורמאלית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גם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משמעות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מהותית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שלטונו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הראוי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איזון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צורכי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הכלל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והפרט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משמעותו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בראש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ובראשונה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שוויון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שוויון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בהפעלת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ובשימוש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שלטון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קיים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מפלים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שווים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חוקרים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האחד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השווה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נפגם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שלטון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נותנים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חנינה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לאחד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לשווה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נפגם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שלטון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ברזילי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585).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לנאשמים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בררנית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149(1)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-1982),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ודאי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בהיותם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בהיררכיה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המתוארים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להיווצר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שיוטל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הנוספים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אחידות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9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אחידות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הענישה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יסוד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במשפט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הפלילי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נועד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להבטיח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שוויון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בפני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ולמנוע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שרירות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בענישה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...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מקבל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משנה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חשיבות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מדובר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בנאשמים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שונים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המורשעים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בגדרה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במצב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מצדד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אחידות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הענישה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בהטלת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עונשים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דומים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שביצעו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מעשים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דומים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וכן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בשמירה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יחס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שקילות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מבצעיהם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מעשים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הנבדלים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מזה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במניינם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חומרתם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בנסיבותיו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האישיות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המבצע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2580/14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חסן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למשל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7350/12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פלוני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7907/14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ואזנה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)."</w:t>
      </w:r>
    </w:p>
    <w:p w:rsidR="00000000" w:rsidDel="00000000" w:rsidP="00000000" w:rsidRDefault="00000000" w:rsidRPr="00000000" w14:paraId="0000010A">
      <w:pPr>
        <w:bidi w:val="1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0B">
      <w:pPr>
        <w:bidi w:val="1"/>
        <w:ind w:left="144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הלכה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פסוקה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להקפיד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אחידות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הענישה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בעיקר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מדובר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בנאשמים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לרבות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שמירת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מדרג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הולם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העונשים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המוטלים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המעורבים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פלילית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לפי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מידת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אשמם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סטייה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מעקרון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אחידות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הענישה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עשויה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להוות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נימוק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להקלה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בעונשו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שהורשע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יחד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אך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נגזר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עליו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עונש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באופן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הולם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מידת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מעורבותו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באותה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פרשה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פלילית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לעומת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מעורבים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." (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ע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2166/18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פלוני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נ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מדינת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פס</w:t>
      </w:r>
      <w:r w:rsidDel="00000000" w:rsidR="00000000" w:rsidRPr="00000000">
        <w:rPr>
          <w:i w:val="1"/>
          <w:iCs w:val="1"/>
          <w:sz w:val="24"/>
          <w:szCs w:val="24"/>
          <w:rtl w:val="1"/>
        </w:rPr>
        <w:t xml:space="preserve">' 10).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הקיצוני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ולחלופין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לעונש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שייגזר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יורשעו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התוצאה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במיצוי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שחיתות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ביכולת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ההרתעה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וביכולת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האינטרסים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הציבוריים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שעל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כף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המאזניים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המתנגשים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במוקד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שהוגדר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כחשש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לחשיפת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בביטחונה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במחלוקת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הותנתה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ומשותפת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הקבינט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מנומקת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ברשימה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מעוגנים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בהסכמה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ומשותפת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המחייבים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שננקט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לתרומתו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יודגש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בבואה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המלצותיה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נשקלים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הרתעה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ונערך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כמתבקש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השיפוטית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ובקביעותיו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הטיעונים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המצוינים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ואמפיריים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ולאזנם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להעריך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אמפירי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הטיעונים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מבוטלים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לכשעצמם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ורגישה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שאגת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והאיומים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הצפונית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ביכולתה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נקיטה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בצעד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הושהו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ונדחו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"...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תידרש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ומאמצים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ומוכנות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לניסיונות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אויבנו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להיערכות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והתעצמות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שמטבע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ההזדמנויות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והסכנות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שניצבות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פורטו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העיתיות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שמתקיימות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המובנת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והתמונה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מונח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ובנסיבות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התעלמנו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מהעובדה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למכתבו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דונלד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טראמפ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טראמפ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תפיסתו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האסטרטגית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וכוללת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היציבות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הגלובלית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נחוש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להישגים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הטרור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חמאס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והרחבת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לשיטתו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הקיומיים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הניצבים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טראמפ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הצהרותיו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שפורסמו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מעתיקה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מהזירה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הפרסונלית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והבינלאומית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בטיעונים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ולאזן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לגזור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לטיעון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המתייחס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מתאפיינות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במחלוקות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הובילו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להעמקת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ולהעצמת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הקיטוב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הכמיהה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לריפוי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תימצא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הנכונה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לאיחוי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שהפסקת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תגביר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בהפרדת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והיעדר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ופסולה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יצוין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תוביל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לביטולו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הנאשמים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יימשכו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מחויב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במתן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להקדיש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וזמנו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לטיעונים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לתרומה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הייחודית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גיסא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עשייתו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הנרחבת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בתפקידיו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מתקופת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בנתון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ממארג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מאידך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גיסא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בטיעונים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ומקומם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להיבחן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כמקובל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סוף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תקדימית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וחריגה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וסיום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יגיע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מצטברים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הייחוס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הרלבנטית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לאנשי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שהובהר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ורכיבים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שעמדו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והכווינו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בהחלטתו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מתקיימים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העמקה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בהשוואה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ביניהן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מתבקשת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בעיצומו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המתנהל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במשטרה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מפרישת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300);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חלופה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המיוחסים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ניסיונה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המצטבר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בטיפול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ינותק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ומוסרי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מעוגן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המסורת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וידוי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ונטישת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ועוזב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מכסה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פשעיו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מכחיש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והרחמים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מושתתים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נעולים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נניח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שהפעלת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לגרום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הנאשמים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להימשך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ובעקרון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האשם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ופסולה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לגרום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במוסד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והנשיאות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כאחד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להעמיק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הקרעים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והקיטוב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נזכיר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מושתתת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שחלקם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מרבית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החיוביות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בהענקת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שאמיתותה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להתברר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בדיעבד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מדידים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ואמפיריים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שמוצגים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ולאזנם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להעריך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אמפירי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החברתי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בנימוקיה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באתגרים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והביטחוניים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חנינות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והכוללת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כנטען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אשר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יסוד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התשתית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העובדתית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והמשפטית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ומערכת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הנסיבות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הכוללת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המונחת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ביום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בפנינו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נוכל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לקבוע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הקבועה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בחוק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יסוד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נשיא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חלה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במקרה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דנן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2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כן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נוכל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להמליץ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לנשיא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לנקוט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בצעד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חריג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ומרחיק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לכת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הפעלת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סמכות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החנינה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הפסקת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ההליך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המשפטי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המתנהל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נגד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נתניהו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</w:p>
    <w:p w:rsidR="00000000" w:rsidDel="00000000" w:rsidP="00000000" w:rsidRDefault="00000000" w:rsidRPr="00000000" w14:paraId="0000012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</w:p>
    <w:p w:rsidR="00000000" w:rsidDel="00000000" w:rsidP="00000000" w:rsidRDefault="00000000" w:rsidRPr="00000000" w14:paraId="0000012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מחלקת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חנינות</w:t>
      </w:r>
    </w:p>
    <w:p w:rsidR="00000000" w:rsidDel="00000000" w:rsidP="00000000" w:rsidRDefault="00000000" w:rsidRPr="00000000" w14:paraId="0000012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באדר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תשפ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, 9 </w:t>
      </w:r>
      <w:r w:rsidDel="00000000" w:rsidR="00000000" w:rsidRPr="00000000">
        <w:rPr>
          <w:sz w:val="24"/>
          <w:szCs w:val="24"/>
          <w:rtl w:val="1"/>
        </w:rPr>
        <w:t xml:space="preserve">במרץ</w:t>
      </w:r>
      <w:r w:rsidDel="00000000" w:rsidR="00000000" w:rsidRPr="00000000">
        <w:rPr>
          <w:sz w:val="24"/>
          <w:szCs w:val="24"/>
          <w:rtl w:val="1"/>
        </w:rPr>
        <w:t xml:space="preserve"> 2026</w:t>
      </w:r>
    </w:p>
    <w:p w:rsidR="00000000" w:rsidDel="00000000" w:rsidP="00000000" w:rsidRDefault="00000000" w:rsidRPr="00000000" w14:paraId="0000012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: 1451-25</w:t>
      </w:r>
    </w:p>
    <w:p w:rsidR="00000000" w:rsidDel="00000000" w:rsidP="00000000" w:rsidRDefault="00000000" w:rsidRPr="00000000" w14:paraId="0000012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  <w:r w:rsidDel="00000000" w:rsidR="00000000" w:rsidRPr="00000000">
      <w:rPr>
        <w:rtl w:val="1"/>
      </w:rPr>
      <w:t xml:space="preserve"> (</w:t>
    </w:r>
    <w:r w:rsidDel="00000000" w:rsidR="00000000" w:rsidRPr="00000000">
      <w:rPr>
        <w:rtl w:val="1"/>
      </w:rPr>
      <w:t xml:space="preserve">לא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מופיע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במקור</w:t>
    </w:r>
    <w:r w:rsidDel="00000000" w:rsidR="00000000" w:rsidRPr="00000000">
      <w:rPr>
        <w:rtl w:val="1"/>
      </w:rPr>
      <w:t xml:space="preserve">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28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8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9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6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1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47D7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47D7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47D7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D47D7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D47D7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D47D7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D47D7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D47D74"/>
    <w:rPr>
      <w:rFonts w:cstheme="majorBidi" w:eastAsiaTheme="majorEastAsia"/>
      <w:color w:val="2f5496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D47D7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D47D74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D47D7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D47D74"/>
    <w:rPr>
      <w:rFonts w:cstheme="majorBidi" w:eastAsiaTheme="majorEastAsia"/>
      <w:color w:val="272727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D47D7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D47D7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47D7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D47D74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D47D74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D47D74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D47D7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D47D74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D47D74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IpDf0vjK063xJfTSnsiTENbIg==">CgMxLjA4AHIhMUdFWnBUTk5INnJmN29DdTE3OVpYZm4yUU9vU3lEbGRC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2026-03-12T06:17:00Z</dcterms:created>
  <dc:creator>עמיחי אליהו</dc:creator>
</cp:coreProperties>
</file>