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8356.0" w:type="dxa"/>
        <w:jc w:val="left"/>
        <w:tblInd w:w="2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356"/>
        <w:tblGridChange w:id="0">
          <w:tblGrid>
            <w:gridCol w:w="8356"/>
          </w:tblGrid>
        </w:tblGridChange>
      </w:tblGrid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בבית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המשפט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העליון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בשבתו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כבית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משפט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גבוה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לצדק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bidi w:val="1"/>
        <w:ind w:right="-142"/>
        <w:jc w:val="right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בג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ץ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 63904-03-26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ind w:right="-142"/>
        <w:jc w:val="right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בג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ץ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 64783-03-26</w:t>
      </w:r>
    </w:p>
    <w:p w:rsidR="00000000" w:rsidDel="00000000" w:rsidP="00000000" w:rsidRDefault="00000000" w:rsidRPr="00000000" w14:paraId="00000006">
      <w:pPr>
        <w:bidi w:val="1"/>
        <w:ind w:right="-142"/>
        <w:jc w:val="right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בג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ץ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 75014-03-26</w:t>
      </w:r>
    </w:p>
    <w:p w:rsidR="00000000" w:rsidDel="00000000" w:rsidP="00000000" w:rsidRDefault="00000000" w:rsidRPr="00000000" w14:paraId="00000007">
      <w:pPr>
        <w:bidi w:val="1"/>
        <w:ind w:right="-142"/>
        <w:jc w:val="right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בג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ץ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 75473-03-26</w:t>
      </w:r>
    </w:p>
    <w:p w:rsidR="00000000" w:rsidDel="00000000" w:rsidP="00000000" w:rsidRDefault="00000000" w:rsidRPr="00000000" w14:paraId="00000008">
      <w:pPr>
        <w:bidi w:val="1"/>
        <w:ind w:right="-142"/>
        <w:jc w:val="right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בג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ץ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   4588-04-26</w:t>
      </w:r>
    </w:p>
    <w:tbl>
      <w:tblPr>
        <w:tblStyle w:val="Table2"/>
        <w:bidiVisual w:val="1"/>
        <w:tblW w:w="8641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3544"/>
        <w:gridCol w:w="5090"/>
        <w:gridCol w:w="7"/>
        <w:tblGridChange w:id="0">
          <w:tblGrid>
            <w:gridCol w:w="3544"/>
            <w:gridCol w:w="5090"/>
            <w:gridCol w:w="7"/>
          </w:tblGrid>
        </w:tblGridChange>
      </w:tblGrid>
      <w:tr>
        <w:trPr>
          <w:cantSplit w:val="0"/>
          <w:trHeight w:val="29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9">
            <w:pPr>
              <w:bidi w:val="1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bidi w:val="1"/>
              <w:ind w:right="-295"/>
              <w:jc w:val="both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לפני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C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כבוד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הנשיא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יצחק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עמית</w:t>
            </w:r>
          </w:p>
          <w:p w:rsidR="00000000" w:rsidDel="00000000" w:rsidP="00000000" w:rsidRDefault="00000000" w:rsidRPr="00000000" w14:paraId="0000000D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כבוד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השופט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אלכס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שטיין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0E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כבוד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השופטת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רות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רונן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העותר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63904-03-26:</w:t>
            </w:r>
          </w:p>
          <w:p w:rsidR="00000000" w:rsidDel="00000000" w:rsidP="00000000" w:rsidRDefault="00000000" w:rsidRPr="00000000" w14:paraId="00000012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ארגון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העיתונאים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והעיתונאיות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בישראל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)</w:t>
              <w:br w:type="textWrapping"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העותרת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64783-03-26:</w:t>
            </w:r>
          </w:p>
          <w:p w:rsidR="00000000" w:rsidDel="00000000" w:rsidP="00000000" w:rsidRDefault="00000000" w:rsidRPr="00000000" w14:paraId="00000015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חברת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החדשות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הישראלית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בע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מ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העותרת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75014-03-26:</w:t>
            </w:r>
          </w:p>
          <w:p w:rsidR="00000000" w:rsidDel="00000000" w:rsidP="00000000" w:rsidRDefault="00000000" w:rsidRPr="00000000" w14:paraId="00000018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התנועה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למען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איכות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השלטון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בישראל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)</w:t>
              <w:br w:type="textWrapping"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העותרת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75473-03-26:</w:t>
            </w:r>
          </w:p>
          <w:p w:rsidR="00000000" w:rsidDel="00000000" w:rsidP="00000000" w:rsidRDefault="00000000" w:rsidRPr="00000000" w14:paraId="0000001B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מועצת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העיתונות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והתקשורת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בישראל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העותרת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4588-04-26:</w:t>
            </w:r>
          </w:p>
        </w:tc>
        <w:tc>
          <w:tcPr/>
          <w:p w:rsidR="00000000" w:rsidDel="00000000" w:rsidP="00000000" w:rsidRDefault="00000000" w:rsidRPr="00000000" w14:paraId="0000001E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העמותה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לשמירת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ערכי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המשפט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F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bidi w:val="1"/>
              <w:ind w:left="2160" w:firstLine="0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     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נגד</w:t>
            </w:r>
          </w:p>
          <w:p w:rsidR="00000000" w:rsidDel="00000000" w:rsidP="00000000" w:rsidRDefault="00000000" w:rsidRPr="00000000" w14:paraId="00000021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המשיבים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63904-03-26:</w:t>
            </w:r>
          </w:p>
          <w:p w:rsidR="00000000" w:rsidDel="00000000" w:rsidP="00000000" w:rsidRDefault="00000000" w:rsidRPr="00000000" w14:paraId="00000024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1.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ממשלת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ישראל</w:t>
            </w:r>
          </w:p>
          <w:p w:rsidR="00000000" w:rsidDel="00000000" w:rsidP="00000000" w:rsidRDefault="00000000" w:rsidRPr="00000000" w14:paraId="00000026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2.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שר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התקשורת</w:t>
            </w:r>
          </w:p>
          <w:p w:rsidR="00000000" w:rsidDel="00000000" w:rsidP="00000000" w:rsidRDefault="00000000" w:rsidRPr="00000000" w14:paraId="00000027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3.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משרד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התקשורת</w:t>
            </w:r>
          </w:p>
          <w:p w:rsidR="00000000" w:rsidDel="00000000" w:rsidP="00000000" w:rsidRDefault="00000000" w:rsidRPr="00000000" w14:paraId="00000028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4.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הרשות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השניה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לטלוויזיה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ורדיו</w:t>
            </w:r>
          </w:p>
          <w:p w:rsidR="00000000" w:rsidDel="00000000" w:rsidP="00000000" w:rsidRDefault="00000000" w:rsidRPr="00000000" w14:paraId="00000029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5.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היועצת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המשפטית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לממשלה</w:t>
            </w:r>
          </w:p>
          <w:p w:rsidR="00000000" w:rsidDel="00000000" w:rsidP="00000000" w:rsidRDefault="00000000" w:rsidRPr="00000000" w14:paraId="0000002A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6.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הוועדה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לבדיקת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מינויים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לפי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חוק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החברות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הממשלתיות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התשל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-1975</w:t>
            </w:r>
          </w:p>
          <w:p w:rsidR="00000000" w:rsidDel="00000000" w:rsidP="00000000" w:rsidRDefault="00000000" w:rsidRPr="00000000" w14:paraId="0000002B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7.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יפעת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חי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שגב</w:t>
            </w:r>
          </w:p>
          <w:p w:rsidR="00000000" w:rsidDel="00000000" w:rsidP="00000000" w:rsidRDefault="00000000" w:rsidRPr="00000000" w14:paraId="0000002C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8.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כנרת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בראשי</w:t>
            </w:r>
          </w:p>
          <w:p w:rsidR="00000000" w:rsidDel="00000000" w:rsidP="00000000" w:rsidRDefault="00000000" w:rsidRPr="00000000" w14:paraId="0000002D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9.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חיים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שיין</w:t>
            </w:r>
          </w:p>
          <w:p w:rsidR="00000000" w:rsidDel="00000000" w:rsidP="00000000" w:rsidRDefault="00000000" w:rsidRPr="00000000" w14:paraId="0000002E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המשיבים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64783-03-26:</w:t>
            </w:r>
          </w:p>
          <w:p w:rsidR="00000000" w:rsidDel="00000000" w:rsidP="00000000" w:rsidRDefault="00000000" w:rsidRPr="00000000" w14:paraId="00000030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1.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ממשלת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ישראל</w:t>
            </w:r>
          </w:p>
          <w:p w:rsidR="00000000" w:rsidDel="00000000" w:rsidP="00000000" w:rsidRDefault="00000000" w:rsidRPr="00000000" w14:paraId="00000032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2.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שר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התקשורת</w:t>
            </w:r>
          </w:p>
          <w:p w:rsidR="00000000" w:rsidDel="00000000" w:rsidP="00000000" w:rsidRDefault="00000000" w:rsidRPr="00000000" w14:paraId="00000033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3.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הוועדה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לבדיקת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מינויים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לפי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חוק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החברות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הממשלתיות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התשל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-1975</w:t>
            </w:r>
          </w:p>
          <w:p w:rsidR="00000000" w:rsidDel="00000000" w:rsidP="00000000" w:rsidRDefault="00000000" w:rsidRPr="00000000" w14:paraId="00000034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4.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יפעת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חי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שגב</w:t>
            </w:r>
          </w:p>
          <w:p w:rsidR="00000000" w:rsidDel="00000000" w:rsidP="00000000" w:rsidRDefault="00000000" w:rsidRPr="00000000" w14:paraId="00000035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5.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מועצת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הרשות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השניה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לטלוויזיה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ורדיו</w:t>
            </w:r>
          </w:p>
          <w:p w:rsidR="00000000" w:rsidDel="00000000" w:rsidP="00000000" w:rsidRDefault="00000000" w:rsidRPr="00000000" w14:paraId="00000036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המשיבים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75014-03-26: </w:t>
            </w:r>
          </w:p>
          <w:p w:rsidR="00000000" w:rsidDel="00000000" w:rsidP="00000000" w:rsidRDefault="00000000" w:rsidRPr="00000000" w14:paraId="00000038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1.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ממשלת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ישראל</w:t>
            </w:r>
          </w:p>
          <w:p w:rsidR="00000000" w:rsidDel="00000000" w:rsidP="00000000" w:rsidRDefault="00000000" w:rsidRPr="00000000" w14:paraId="0000003A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2.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שר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התקשורת</w:t>
            </w:r>
          </w:p>
          <w:p w:rsidR="00000000" w:rsidDel="00000000" w:rsidP="00000000" w:rsidRDefault="00000000" w:rsidRPr="00000000" w14:paraId="0000003B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3.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ראש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הממשלה</w:t>
            </w:r>
          </w:p>
          <w:p w:rsidR="00000000" w:rsidDel="00000000" w:rsidP="00000000" w:rsidRDefault="00000000" w:rsidRPr="00000000" w14:paraId="0000003C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4.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היועצת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המשפטית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לממשלה</w:t>
            </w:r>
          </w:p>
          <w:p w:rsidR="00000000" w:rsidDel="00000000" w:rsidP="00000000" w:rsidRDefault="00000000" w:rsidRPr="00000000" w14:paraId="0000003D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5.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הוועדה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לבדיקת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מינויים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לפי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חוק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החברות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הממשלתיות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התשל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-1975</w:t>
            </w:r>
          </w:p>
          <w:p w:rsidR="00000000" w:rsidDel="00000000" w:rsidP="00000000" w:rsidRDefault="00000000" w:rsidRPr="00000000" w14:paraId="0000003E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6.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הרשות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השניה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לטלוויזיה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ורדיו</w:t>
            </w:r>
          </w:p>
          <w:p w:rsidR="00000000" w:rsidDel="00000000" w:rsidP="00000000" w:rsidRDefault="00000000" w:rsidRPr="00000000" w14:paraId="0000003F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21-7.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יפעת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חי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שגב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ואח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'</w:t>
            </w:r>
          </w:p>
          <w:p w:rsidR="00000000" w:rsidDel="00000000" w:rsidP="00000000" w:rsidRDefault="00000000" w:rsidRPr="00000000" w14:paraId="00000040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המשיבים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75473-03-26:</w:t>
            </w:r>
          </w:p>
          <w:p w:rsidR="00000000" w:rsidDel="00000000" w:rsidP="00000000" w:rsidRDefault="00000000" w:rsidRPr="00000000" w14:paraId="00000042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1.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ממשלת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ישראל</w:t>
            </w:r>
          </w:p>
          <w:p w:rsidR="00000000" w:rsidDel="00000000" w:rsidP="00000000" w:rsidRDefault="00000000" w:rsidRPr="00000000" w14:paraId="00000044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2.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ראש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ממשלת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ישראל</w:t>
            </w:r>
          </w:p>
          <w:p w:rsidR="00000000" w:rsidDel="00000000" w:rsidP="00000000" w:rsidRDefault="00000000" w:rsidRPr="00000000" w14:paraId="00000045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3.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שר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התקשורת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46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4.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מועצת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הרשות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השניה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לטלוויזיה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ורדיו</w:t>
            </w:r>
          </w:p>
          <w:p w:rsidR="00000000" w:rsidDel="00000000" w:rsidP="00000000" w:rsidRDefault="00000000" w:rsidRPr="00000000" w14:paraId="00000047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5.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הוועדה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לבדיקת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מינויים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לפי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חוק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החברות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הממשלתיות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התשל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-1975</w:t>
            </w:r>
          </w:p>
          <w:p w:rsidR="00000000" w:rsidDel="00000000" w:rsidP="00000000" w:rsidRDefault="00000000" w:rsidRPr="00000000" w14:paraId="00000048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6.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היועצת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המשפטית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לממשלה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49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7.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יפעת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חי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שגב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4A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21-8.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המיועדים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לכהן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כחברי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המשיבה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4</w:t>
            </w:r>
          </w:p>
          <w:p w:rsidR="00000000" w:rsidDel="00000000" w:rsidP="00000000" w:rsidRDefault="00000000" w:rsidRPr="00000000" w14:paraId="0000004B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22.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חברת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החדשות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של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ערוץ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12</w:t>
            </w:r>
          </w:p>
          <w:p w:rsidR="00000000" w:rsidDel="00000000" w:rsidP="00000000" w:rsidRDefault="00000000" w:rsidRPr="00000000" w14:paraId="0000004C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23.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חדשות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13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בע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מ</w:t>
            </w:r>
          </w:p>
          <w:p w:rsidR="00000000" w:rsidDel="00000000" w:rsidP="00000000" w:rsidRDefault="00000000" w:rsidRPr="00000000" w14:paraId="0000004D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המשיבים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4588-04-26:</w:t>
            </w:r>
          </w:p>
          <w:p w:rsidR="00000000" w:rsidDel="00000000" w:rsidP="00000000" w:rsidRDefault="00000000" w:rsidRPr="00000000" w14:paraId="0000004F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1.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ראש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הממשלה</w:t>
            </w:r>
          </w:p>
          <w:p w:rsidR="00000000" w:rsidDel="00000000" w:rsidP="00000000" w:rsidRDefault="00000000" w:rsidRPr="00000000" w14:paraId="00000051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2.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ממשלת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ישראל</w:t>
            </w:r>
          </w:p>
          <w:p w:rsidR="00000000" w:rsidDel="00000000" w:rsidP="00000000" w:rsidRDefault="00000000" w:rsidRPr="00000000" w14:paraId="00000052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3.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היועצת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המשפטית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לממשלה</w:t>
            </w:r>
          </w:p>
          <w:p w:rsidR="00000000" w:rsidDel="00000000" w:rsidP="00000000" w:rsidRDefault="00000000" w:rsidRPr="00000000" w14:paraId="00000053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4.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יפעת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חי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שגב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bidi w:val="1"/>
              <w:rPr>
                <w:rFonts w:ascii="David" w:cs="David" w:eastAsia="David" w:hAnsi="Davi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bidi w:val="1"/>
              <w:rPr>
                <w:rFonts w:ascii="David" w:cs="David" w:eastAsia="David" w:hAnsi="David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bidi w:val="1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הודעת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עדכון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מטעם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הייעוץ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המשפטי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לממשלה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;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הודעת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עדכון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מטעם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העותר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63904-03-26</w:t>
            </w:r>
          </w:p>
          <w:p w:rsidR="00000000" w:rsidDel="00000000" w:rsidP="00000000" w:rsidRDefault="00000000" w:rsidRPr="00000000" w14:paraId="00000057">
            <w:pPr>
              <w:bidi w:val="1"/>
              <w:rPr>
                <w:rFonts w:ascii="David" w:cs="David" w:eastAsia="David" w:hAnsi="David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בשם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העותר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63904-03-26:</w:t>
            </w:r>
          </w:p>
        </w:tc>
        <w:tc>
          <w:tcPr/>
          <w:p w:rsidR="00000000" w:rsidDel="00000000" w:rsidP="00000000" w:rsidRDefault="00000000" w:rsidRPr="00000000" w14:paraId="00000059">
            <w:pPr>
              <w:bidi w:val="1"/>
              <w:jc w:val="both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bidi w:val="1"/>
              <w:jc w:val="both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גיורא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ארדינסט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;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עמיחי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וסרטיל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;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נעם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חפץ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;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אמיר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בשה</w:t>
            </w:r>
          </w:p>
          <w:p w:rsidR="00000000" w:rsidDel="00000000" w:rsidP="00000000" w:rsidRDefault="00000000" w:rsidRPr="00000000" w14:paraId="0000005B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בשם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העותרת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64783-03-26:</w:t>
            </w:r>
          </w:p>
          <w:p w:rsidR="00000000" w:rsidDel="00000000" w:rsidP="00000000" w:rsidRDefault="00000000" w:rsidRPr="00000000" w14:paraId="0000005D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bidi w:val="1"/>
              <w:jc w:val="both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bidi w:val="1"/>
              <w:jc w:val="both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ישגב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נקדימון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;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דקלה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בירן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;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ירדן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איבצן</w:t>
            </w:r>
          </w:p>
          <w:p w:rsidR="00000000" w:rsidDel="00000000" w:rsidP="00000000" w:rsidRDefault="00000000" w:rsidRPr="00000000" w14:paraId="00000060">
            <w:pPr>
              <w:bidi w:val="1"/>
              <w:jc w:val="both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בשם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העותרת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75014-03-26:</w:t>
            </w:r>
          </w:p>
          <w:p w:rsidR="00000000" w:rsidDel="00000000" w:rsidP="00000000" w:rsidRDefault="00000000" w:rsidRPr="00000000" w14:paraId="00000062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תומר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נאור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;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יניב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גולדברג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;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טלילה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דביר</w:t>
            </w:r>
          </w:p>
          <w:p w:rsidR="00000000" w:rsidDel="00000000" w:rsidP="00000000" w:rsidRDefault="00000000" w:rsidRPr="00000000" w14:paraId="00000065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בשם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העותרת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75473-03-26:</w:t>
            </w:r>
          </w:p>
          <w:p w:rsidR="00000000" w:rsidDel="00000000" w:rsidP="00000000" w:rsidRDefault="00000000" w:rsidRPr="00000000" w14:paraId="00000067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יעל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גרוסמן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בשם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העותרת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4588-04-26:</w:t>
            </w:r>
          </w:p>
        </w:tc>
        <w:tc>
          <w:tcPr/>
          <w:p w:rsidR="00000000" w:rsidDel="00000000" w:rsidP="00000000" w:rsidRDefault="00000000" w:rsidRPr="00000000" w14:paraId="0000006B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שחר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מאיר</w:t>
            </w:r>
          </w:p>
          <w:p w:rsidR="00000000" w:rsidDel="00000000" w:rsidP="00000000" w:rsidRDefault="00000000" w:rsidRPr="00000000" w14:paraId="0000006D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בשם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משיבי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הממשלה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6F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יצחק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בם</w:t>
            </w:r>
          </w:p>
          <w:p w:rsidR="00000000" w:rsidDel="00000000" w:rsidP="00000000" w:rsidRDefault="00000000" w:rsidRPr="00000000" w14:paraId="00000070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בשם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המשיבה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4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63904-03-26:</w:t>
            </w:r>
          </w:p>
        </w:tc>
        <w:tc>
          <w:tcPr/>
          <w:p w:rsidR="00000000" w:rsidDel="00000000" w:rsidP="00000000" w:rsidRDefault="00000000" w:rsidRPr="00000000" w14:paraId="00000072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עופר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קורלנדר</w:t>
            </w:r>
          </w:p>
          <w:p w:rsidR="00000000" w:rsidDel="00000000" w:rsidP="00000000" w:rsidRDefault="00000000" w:rsidRPr="00000000" w14:paraId="00000074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בשם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המשיבה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5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64783-03-26:</w:t>
            </w:r>
          </w:p>
        </w:tc>
        <w:tc>
          <w:tcPr/>
          <w:p w:rsidR="00000000" w:rsidDel="00000000" w:rsidP="00000000" w:rsidRDefault="00000000" w:rsidRPr="00000000" w14:paraId="00000076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אביעד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הכהן</w:t>
            </w:r>
          </w:p>
          <w:p w:rsidR="00000000" w:rsidDel="00000000" w:rsidP="00000000" w:rsidRDefault="00000000" w:rsidRPr="00000000" w14:paraId="00000078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בשם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המשיבים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14-7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-21-16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75014-03-26:</w:t>
            </w:r>
          </w:p>
        </w:tc>
        <w:tc>
          <w:tcPr/>
          <w:p w:rsidR="00000000" w:rsidDel="00000000" w:rsidP="00000000" w:rsidRDefault="00000000" w:rsidRPr="00000000" w14:paraId="0000007A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דוד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פטר</w:t>
            </w:r>
          </w:p>
          <w:p w:rsidR="00000000" w:rsidDel="00000000" w:rsidP="00000000" w:rsidRDefault="00000000" w:rsidRPr="00000000" w14:paraId="0000007C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בשם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הייעוץ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המשפטי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לממשלה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7E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תהילה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רוט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;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מיה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ציפין</w:t>
            </w:r>
          </w:p>
        </w:tc>
      </w:tr>
    </w:tbl>
    <w:p w:rsidR="00000000" w:rsidDel="00000000" w:rsidP="00000000" w:rsidRDefault="00000000" w:rsidRPr="00000000" w14:paraId="0000007F">
      <w:pPr>
        <w:bidi w:val="1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836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8360"/>
        <w:tblGridChange w:id="0">
          <w:tblGrid>
            <w:gridCol w:w="83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jc w:val="center"/>
              <w:rPr>
                <w:rFonts w:ascii="David" w:cs="David" w:eastAsia="David" w:hAnsi="David"/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bCs w:val="1"/>
                <w:sz w:val="28"/>
                <w:szCs w:val="28"/>
                <w:u w:val="single"/>
                <w:rtl w:val="1"/>
              </w:rPr>
              <w:t xml:space="preserve">החלטה</w:t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rFonts w:ascii="David" w:cs="David" w:eastAsia="David" w:hAnsi="David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bookmarkStart w:colFirst="0" w:colLast="0" w:name="cf0mlaibfoa9" w:id="0"/>
    <w:bookmarkEnd w:id="0"/>
    <w:p w:rsidR="00000000" w:rsidDel="00000000" w:rsidP="00000000" w:rsidRDefault="00000000" w:rsidRPr="00000000" w14:paraId="00000082">
      <w:pPr>
        <w:bidi w:val="1"/>
        <w:spacing w:line="360" w:lineRule="auto"/>
        <w:jc w:val="both"/>
        <w:rPr>
          <w:rFonts w:ascii="FrankRuehl" w:cs="FrankRuehl" w:eastAsia="FrankRuehl" w:hAnsi="FrankRueh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רשמנו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לפנינו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האמור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בהודעות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העדכון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בנסיבות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העניין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דומה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מקום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לשוב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מושכלות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יסוד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644" w:right="1276" w:firstLine="0"/>
        <w:jc w:val="both"/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חובת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הציות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לפסקי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דין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וכיבודם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נמנים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תנאי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היסוד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שעליהם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מושתת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משטר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חוק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במדינה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דמוקרטית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[...]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בלא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ציות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לפסקי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דין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בתי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מתערער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עקרון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שלטון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החוק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והמשפט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והסדר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החברתי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מתפורר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איש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הישר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בעיניו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יעשה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והמרחק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שלטון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לאנרכיה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כחוט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השערה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644" w:right="1276" w:firstLine="0"/>
        <w:jc w:val="both"/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[...]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כיבוד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פסק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דין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משפט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אזרח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גילוי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חמור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פגיעה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בשלטון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החוק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חמור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מכך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שבעתיים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כיבודו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פסק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דין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רשות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מרשויות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השלטון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[...]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מדינה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שבה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רשות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שלטונית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נוטלת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החוק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לידיה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ברצותה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מקיימת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צו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שיפוטי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שניתן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נגדה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וברצותה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מתעלמת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ממנו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מדינה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שנזרעים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זרעי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פורענות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ואנרכיה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ומתפתחת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תרבות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מסוכנת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שלטון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הכוח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ושרירות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 (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בג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ץ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4805/07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המרכז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לפלורליזם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יהודי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התנועה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ליהדות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מתקדמת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בישראל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משרד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החינוך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סב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(4) 571, 602 (2008);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ראו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דברי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המשנה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לנשיא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סולברג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בבג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ץ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18225-06-25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גילון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ממשלת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פסקה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3 ‏(10.8.2025‏)‏).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עקרונות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בסיסיים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יפים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הן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ביחס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לפעולתם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נבחרי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ציבור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הן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ביחס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לפעולתם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עובדי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ציבור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הנדרשים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כולם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לפעול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בהתאם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להוראות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בעניינם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האחרונים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למותר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להעיר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פעולת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עובדי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ציבור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בניגוד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להחלטות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שיפוטיות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עלולה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להוביל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במקרים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המתאימים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לכך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שהסדר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החסינות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האישית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המוקנה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מפני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תביעות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נזיקין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יחול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7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לפקודת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הנזיקין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נוסח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חדש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]).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bidi w:val="1"/>
        <w:spacing w:line="360" w:lineRule="auto"/>
        <w:ind w:firstLine="720"/>
        <w:jc w:val="both"/>
        <w:rPr>
          <w:rFonts w:ascii="FrankRuehl" w:cs="FrankRuehl" w:eastAsia="FrankRuehl" w:hAnsi="FrankRuehl"/>
          <w:sz w:val="28"/>
          <w:szCs w:val="28"/>
        </w:rPr>
      </w:pP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ניתנה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היום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כ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ב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תמוז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תשפ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ו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(07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יולי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2026).</w:t>
      </w:r>
    </w:p>
    <w:p w:rsidR="00000000" w:rsidDel="00000000" w:rsidP="00000000" w:rsidRDefault="00000000" w:rsidRPr="00000000" w14:paraId="0000008B">
      <w:pPr>
        <w:tabs>
          <w:tab w:val="left" w:leader="none" w:pos="2553"/>
        </w:tabs>
        <w:bidi w:val="1"/>
        <w:rPr>
          <w:rFonts w:ascii="FrankRuehl" w:cs="FrankRuehl" w:eastAsia="FrankRuehl" w:hAnsi="FrankRuehl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0" w:bottomFromText="0" w:vertAnchor="text" w:horzAnchor="text" w:tblpX="0" w:tblpY="459"/>
        <w:bidiVisual w:val="1"/>
        <w:tblW w:w="8307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769"/>
        <w:gridCol w:w="2770"/>
        <w:gridCol w:w="2768"/>
        <w:tblGridChange w:id="0">
          <w:tblGrid>
            <w:gridCol w:w="2769"/>
            <w:gridCol w:w="2770"/>
            <w:gridCol w:w="2768"/>
          </w:tblGrid>
        </w:tblGridChange>
      </w:tblGrid>
      <w:tr>
        <w:trPr>
          <w:cantSplit w:val="1"/>
          <w:trHeight w:val="426" w:hRule="atLeast"/>
          <w:tblHeader w:val="0"/>
        </w:trPr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FrankRuehl" w:cs="FrankRuehl" w:eastAsia="FrankRuehl" w:hAnsi="FrankRueh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bidiVisual w:val="1"/>
              <w:tblW w:w="2551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000"/>
            </w:tblPr>
            <w:tblGrid>
              <w:gridCol w:w="2551"/>
              <w:tblGridChange w:id="0">
                <w:tblGrid>
                  <w:gridCol w:w="2551"/>
                </w:tblGrid>
              </w:tblGridChange>
            </w:tblGrid>
            <w:tr>
              <w:trPr>
                <w:cantSplit w:val="0"/>
                <w:trHeight w:val="124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08D">
                  <w:pPr>
                    <w:bidi w:val="1"/>
                    <w:jc w:val="center"/>
                    <w:rPr>
                      <w:rFonts w:ascii="Courier New" w:cs="Courier New" w:eastAsia="Courier New" w:hAnsi="Courier New"/>
                    </w:rPr>
                  </w:pPr>
                  <w:r w:rsidDel="00000000" w:rsidR="00000000" w:rsidRPr="00000000">
                    <w:rPr>
                      <w:rFonts w:ascii="Courier New" w:cs="Courier New" w:eastAsia="Courier New" w:hAnsi="Courier New"/>
                    </w:rPr>
                    <w:drawing>
                      <wp:inline distB="0" distT="0" distL="0" distR="0">
                        <wp:extent cx="660400" cy="704850"/>
                        <wp:effectExtent b="0" l="0" r="0" t="0"/>
                        <wp:docPr descr="יצחק עמית" id="1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descr="יצחק עמית" id="0" name="image1.png"/>
                                <pic:cNvPicPr preferRelativeResize="0"/>
                              </pic:nvPicPr>
                              <pic:blipFill>
                                <a:blip r:embed="rId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0400" cy="7048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5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08E">
                  <w:pPr>
                    <w:bidi w:val="1"/>
                    <w:jc w:val="center"/>
                    <w:rPr>
                      <w:rFonts w:ascii="FrankRuehl" w:cs="FrankRuehl" w:eastAsia="FrankRuehl" w:hAnsi="FrankRuehl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FrankRuehl" w:cs="FrankRuehl" w:eastAsia="FrankRuehl" w:hAnsi="FrankRuehl"/>
                      <w:sz w:val="28"/>
                      <w:szCs w:val="28"/>
                      <w:rtl w:val="1"/>
                    </w:rPr>
                    <w:t xml:space="preserve">יצחק</w:t>
                  </w:r>
                  <w:r w:rsidDel="00000000" w:rsidR="00000000" w:rsidRPr="00000000">
                    <w:rPr>
                      <w:rFonts w:ascii="FrankRuehl" w:cs="FrankRuehl" w:eastAsia="FrankRuehl" w:hAnsi="FrankRuehl"/>
                      <w:sz w:val="28"/>
                      <w:szCs w:val="2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FrankRuehl" w:cs="FrankRuehl" w:eastAsia="FrankRuehl" w:hAnsi="FrankRuehl"/>
                      <w:sz w:val="28"/>
                      <w:szCs w:val="28"/>
                      <w:rtl w:val="1"/>
                    </w:rPr>
                    <w:t xml:space="preserve">עמית</w:t>
                  </w:r>
                </w:p>
                <w:p w:rsidR="00000000" w:rsidDel="00000000" w:rsidP="00000000" w:rsidRDefault="00000000" w:rsidRPr="00000000" w14:paraId="0000008F">
                  <w:pPr>
                    <w:bidi w:val="1"/>
                    <w:jc w:val="center"/>
                    <w:rPr>
                      <w:rFonts w:ascii="Courier New" w:cs="Courier New" w:eastAsia="Courier New" w:hAnsi="Courier New"/>
                    </w:rPr>
                  </w:pPr>
                  <w:r w:rsidDel="00000000" w:rsidR="00000000" w:rsidRPr="00000000">
                    <w:rPr>
                      <w:rFonts w:ascii="FrankRuehl" w:cs="FrankRuehl" w:eastAsia="FrankRuehl" w:hAnsi="FrankRuehl"/>
                      <w:sz w:val="28"/>
                      <w:szCs w:val="28"/>
                      <w:rtl w:val="1"/>
                    </w:rPr>
                    <w:t xml:space="preserve">נשיא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90">
            <w:pPr>
              <w:bidi w:val="1"/>
              <w:spacing w:line="360" w:lineRule="auto"/>
              <w:rPr>
                <w:rFonts w:ascii="FrankRuehl" w:cs="FrankRuehl" w:eastAsia="FrankRuehl" w:hAnsi="FrankRueh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FrankRuehl" w:cs="FrankRuehl" w:eastAsia="FrankRuehl" w:hAnsi="FrankRueh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bidiVisual w:val="1"/>
              <w:tblW w:w="2551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000"/>
            </w:tblPr>
            <w:tblGrid>
              <w:gridCol w:w="2551"/>
              <w:tblGridChange w:id="0">
                <w:tblGrid>
                  <w:gridCol w:w="2551"/>
                </w:tblGrid>
              </w:tblGridChange>
            </w:tblGrid>
            <w:tr>
              <w:trPr>
                <w:cantSplit w:val="0"/>
                <w:trHeight w:val="124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092">
                  <w:pPr>
                    <w:bidi w:val="1"/>
                    <w:jc w:val="center"/>
                    <w:rPr>
                      <w:rFonts w:ascii="Courier New" w:cs="Courier New" w:eastAsia="Courier New" w:hAnsi="Courier New"/>
                    </w:rPr>
                  </w:pPr>
                  <w:r w:rsidDel="00000000" w:rsidR="00000000" w:rsidRPr="00000000">
                    <w:rPr/>
                    <w:drawing>
                      <wp:inline distB="0" distT="0" distL="0" distR="0">
                        <wp:extent cx="774700" cy="685800"/>
                        <wp:effectExtent b="0" l="0" r="0" t="0"/>
                        <wp:docPr descr="השופט אלכס שטיין" id="3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descr="השופט אלכס שטיין" id="0" name="image3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4700" cy="6858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5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093">
                  <w:pPr>
                    <w:pStyle w:val="Heading3"/>
                    <w:bidi w:val="1"/>
                    <w:jc w:val="center"/>
                    <w:rPr>
                      <w:rFonts w:ascii="FrankRuehl" w:cs="FrankRuehl" w:eastAsia="FrankRuehl" w:hAnsi="FrankRuehl"/>
                      <w:b w:val="1"/>
                      <w:bCs w:val="1"/>
                      <w:color w:val="000000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FrankRuehl" w:cs="FrankRuehl" w:eastAsia="FrankRuehl" w:hAnsi="FrankRuehl"/>
                      <w:color w:val="000000"/>
                      <w:sz w:val="28"/>
                      <w:szCs w:val="28"/>
                      <w:rtl w:val="1"/>
                    </w:rPr>
                    <w:t xml:space="preserve">אלכס</w:t>
                  </w:r>
                  <w:r w:rsidDel="00000000" w:rsidR="00000000" w:rsidRPr="00000000">
                    <w:rPr>
                      <w:rFonts w:ascii="FrankRuehl" w:cs="FrankRuehl" w:eastAsia="FrankRuehl" w:hAnsi="FrankRuehl"/>
                      <w:color w:val="000000"/>
                      <w:sz w:val="28"/>
                      <w:szCs w:val="2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FrankRuehl" w:cs="FrankRuehl" w:eastAsia="FrankRuehl" w:hAnsi="FrankRuehl"/>
                      <w:color w:val="000000"/>
                      <w:sz w:val="28"/>
                      <w:szCs w:val="28"/>
                      <w:rtl w:val="1"/>
                    </w:rPr>
                    <w:t xml:space="preserve">שטיין</w:t>
                  </w:r>
                  <w:r w:rsidDel="00000000" w:rsidR="00000000" w:rsidRPr="00000000">
                    <w:rPr>
                      <w:rFonts w:ascii="FrankRuehl" w:cs="FrankRuehl" w:eastAsia="FrankRuehl" w:hAnsi="FrankRuehl"/>
                      <w:color w:val="000000"/>
                      <w:sz w:val="28"/>
                      <w:szCs w:val="2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4">
                  <w:pPr>
                    <w:pStyle w:val="Heading3"/>
                    <w:bidi w:val="1"/>
                    <w:jc w:val="center"/>
                    <w:rPr>
                      <w:rFonts w:ascii="FrankRuehl" w:cs="FrankRuehl" w:eastAsia="FrankRuehl" w:hAnsi="FrankRuehl"/>
                      <w:b w:val="1"/>
                      <w:bCs w:val="1"/>
                      <w:color w:val="000000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FrankRuehl" w:cs="FrankRuehl" w:eastAsia="FrankRuehl" w:hAnsi="FrankRuehl"/>
                      <w:color w:val="000000"/>
                      <w:sz w:val="28"/>
                      <w:szCs w:val="28"/>
                      <w:rtl w:val="1"/>
                    </w:rPr>
                    <w:t xml:space="preserve">שופט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95">
            <w:pPr>
              <w:bidi w:val="1"/>
              <w:spacing w:line="360" w:lineRule="auto"/>
              <w:rPr>
                <w:rFonts w:ascii="FrankRuehl" w:cs="FrankRuehl" w:eastAsia="FrankRuehl" w:hAnsi="FrankRueh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FrankRuehl" w:cs="FrankRuehl" w:eastAsia="FrankRuehl" w:hAnsi="FrankRueh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bidiVisual w:val="1"/>
              <w:tblW w:w="2551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000"/>
            </w:tblPr>
            <w:tblGrid>
              <w:gridCol w:w="2551"/>
              <w:tblGridChange w:id="0">
                <w:tblGrid>
                  <w:gridCol w:w="2551"/>
                </w:tblGrid>
              </w:tblGridChange>
            </w:tblGrid>
            <w:tr>
              <w:trPr>
                <w:cantSplit w:val="0"/>
                <w:trHeight w:val="124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097">
                  <w:pPr>
                    <w:bidi w:val="1"/>
                    <w:jc w:val="center"/>
                    <w:rPr>
                      <w:rFonts w:ascii="Courier New" w:cs="Courier New" w:eastAsia="Courier New" w:hAnsi="Courier New"/>
                    </w:rPr>
                  </w:pPr>
                  <w:r w:rsidDel="00000000" w:rsidR="00000000" w:rsidRPr="00000000">
                    <w:rPr>
                      <w:rFonts w:ascii="Courier New" w:cs="Courier New" w:eastAsia="Courier New" w:hAnsi="Courier New"/>
                    </w:rPr>
                    <w:drawing>
                      <wp:inline distB="0" distT="0" distL="0" distR="0">
                        <wp:extent cx="1409700" cy="469900"/>
                        <wp:effectExtent b="0" l="0" r="0" t="0"/>
                        <wp:docPr descr="רות רונן" id="2" name="image2.png"/>
                        <a:graphic>
                          <a:graphicData uri="http://schemas.openxmlformats.org/drawingml/2006/picture">
                            <pic:pic>
                              <pic:nvPicPr>
                                <pic:cNvPr descr="רות רונן" id="0" name="image2.png"/>
                                <pic:cNvPicPr preferRelativeResize="0"/>
                              </pic:nvPicPr>
                              <pic:blipFill>
                                <a:blip r:embed="rId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9700" cy="4699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vAlign w:val="bottom"/>
                </w:tcPr>
                <w:p w:rsidR="00000000" w:rsidDel="00000000" w:rsidP="00000000" w:rsidRDefault="00000000" w:rsidRPr="00000000" w14:paraId="00000098">
                  <w:pPr>
                    <w:bidi w:val="1"/>
                    <w:jc w:val="center"/>
                    <w:rPr>
                      <w:rFonts w:ascii="FrankRuehl" w:cs="FrankRuehl" w:eastAsia="FrankRuehl" w:hAnsi="FrankRuehl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FrankRuehl" w:cs="FrankRuehl" w:eastAsia="FrankRuehl" w:hAnsi="FrankRuehl"/>
                      <w:sz w:val="28"/>
                      <w:szCs w:val="28"/>
                      <w:rtl w:val="1"/>
                    </w:rPr>
                    <w:t xml:space="preserve">רות</w:t>
                  </w:r>
                  <w:r w:rsidDel="00000000" w:rsidR="00000000" w:rsidRPr="00000000">
                    <w:rPr>
                      <w:rFonts w:ascii="FrankRuehl" w:cs="FrankRuehl" w:eastAsia="FrankRuehl" w:hAnsi="FrankRuehl"/>
                      <w:sz w:val="28"/>
                      <w:szCs w:val="2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FrankRuehl" w:cs="FrankRuehl" w:eastAsia="FrankRuehl" w:hAnsi="FrankRuehl"/>
                      <w:sz w:val="28"/>
                      <w:szCs w:val="28"/>
                      <w:rtl w:val="1"/>
                    </w:rPr>
                    <w:t xml:space="preserve">רונן</w:t>
                  </w:r>
                </w:p>
                <w:p w:rsidR="00000000" w:rsidDel="00000000" w:rsidP="00000000" w:rsidRDefault="00000000" w:rsidRPr="00000000" w14:paraId="00000099">
                  <w:pPr>
                    <w:bidi w:val="1"/>
                    <w:jc w:val="center"/>
                    <w:rPr>
                      <w:rFonts w:ascii="Courier New" w:cs="Courier New" w:eastAsia="Courier New" w:hAnsi="Courier New"/>
                    </w:rPr>
                  </w:pPr>
                  <w:r w:rsidDel="00000000" w:rsidR="00000000" w:rsidRPr="00000000">
                    <w:rPr>
                      <w:rFonts w:ascii="FrankRuehl" w:cs="FrankRuehl" w:eastAsia="FrankRuehl" w:hAnsi="FrankRuehl"/>
                      <w:sz w:val="28"/>
                      <w:szCs w:val="28"/>
                      <w:rtl w:val="1"/>
                    </w:rPr>
                    <w:t xml:space="preserve">שופטת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9A">
            <w:pPr>
              <w:bidi w:val="1"/>
              <w:spacing w:line="360" w:lineRule="auto"/>
              <w:rPr>
                <w:rFonts w:ascii="FrankRuehl" w:cs="FrankRuehl" w:eastAsia="FrankRuehl" w:hAnsi="FrankRueh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tabs>
          <w:tab w:val="left" w:leader="none" w:pos="2553"/>
        </w:tabs>
        <w:bidi w:val="1"/>
        <w:rPr>
          <w:rFonts w:ascii="FrankRuehl" w:cs="FrankRuehl" w:eastAsia="FrankRuehl" w:hAnsi="FrankRuehl"/>
          <w:sz w:val="28"/>
          <w:szCs w:val="28"/>
        </w:rPr>
      </w:pP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0"/>
        </w:rPr>
        <w:tab/>
        <w:tab/>
        <w:tab/>
        <w:tab/>
        <w:t xml:space="preserve">        </w:t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40" w:w="11907" w:orient="portrait"/>
      <w:pgMar w:bottom="1440" w:top="1440" w:left="1800" w:right="1800" w:header="720" w:footer="51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Tahoma"/>
  <w:font w:name="David"/>
  <w:font w:name="FrankRuehl"/>
  <w:font w:name="Arimo"/>
  <w:font w:name="Century"/>
  <w:font w:name="Courier New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E">
    <w:pPr>
      <w:bidi w:val="1"/>
      <w:jc w:val="right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464820" cy="449580"/>
          <wp:effectExtent b="0" l="0" r="0" t="0"/>
          <wp:docPr id="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4820" cy="4495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bidi w:val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</w:rPr>
  </w:style>
  <w:style w:type="paragraph" w:styleId="Heading4">
    <w:name w:val="heading 4"/>
    <w:basedOn w:val="Normal"/>
    <w:next w:val="Normal"/>
    <w:pPr>
      <w:keepNext w:val="1"/>
      <w:ind w:left="5760" w:firstLine="720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